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C399F" w14:textId="77777777" w:rsidR="00B40B5F" w:rsidRPr="00D968AE" w:rsidRDefault="00B40B5F" w:rsidP="00B40B5F">
      <w:pPr>
        <w:spacing w:line="480" w:lineRule="auto"/>
        <w:jc w:val="both"/>
        <w:rPr>
          <w:rFonts w:ascii="Times New Roman" w:hAnsi="Times New Roman" w:cs="Times New Roman"/>
          <w:b/>
          <w:bCs/>
          <w:sz w:val="22"/>
          <w:szCs w:val="22"/>
        </w:rPr>
      </w:pPr>
      <w:r>
        <w:rPr>
          <w:rFonts w:ascii="Times New Roman" w:hAnsi="Times New Roman" w:cs="Times New Roman"/>
          <w:b/>
          <w:bCs/>
          <w:sz w:val="22"/>
          <w:szCs w:val="22"/>
        </w:rPr>
        <w:t>Supplementary</w:t>
      </w:r>
      <w:r w:rsidRPr="00D968AE">
        <w:rPr>
          <w:rFonts w:ascii="Times New Roman" w:hAnsi="Times New Roman" w:cs="Times New Roman"/>
          <w:b/>
          <w:bCs/>
          <w:sz w:val="22"/>
          <w:szCs w:val="22"/>
        </w:rPr>
        <w:t xml:space="preserve"> Figure Legends</w:t>
      </w:r>
    </w:p>
    <w:p w14:paraId="150B7051" w14:textId="77777777" w:rsidR="00B40B5F" w:rsidRPr="00D968AE" w:rsidRDefault="00B40B5F" w:rsidP="00B40B5F">
      <w:pPr>
        <w:spacing w:line="480" w:lineRule="auto"/>
        <w:jc w:val="both"/>
        <w:rPr>
          <w:rFonts w:ascii="Times New Roman" w:hAnsi="Times New Roman" w:cs="Times New Roman"/>
          <w:color w:val="000000" w:themeColor="text1"/>
          <w:sz w:val="22"/>
          <w:szCs w:val="22"/>
        </w:rPr>
      </w:pPr>
      <w:r w:rsidRPr="24FBD350">
        <w:rPr>
          <w:rFonts w:ascii="Times New Roman" w:hAnsi="Times New Roman" w:cs="Times New Roman"/>
          <w:b/>
          <w:bCs/>
          <w:sz w:val="22"/>
          <w:szCs w:val="22"/>
        </w:rPr>
        <w:t xml:space="preserve">Figure S1| </w:t>
      </w:r>
      <w:r w:rsidRPr="0076225D">
        <w:rPr>
          <w:rFonts w:ascii="Times New Roman" w:hAnsi="Times New Roman" w:cs="Times New Roman"/>
          <w:b/>
          <w:bCs/>
          <w:sz w:val="22"/>
          <w:szCs w:val="22"/>
        </w:rPr>
        <w:t>Related to Figure 1.</w:t>
      </w:r>
      <w:r>
        <w:rPr>
          <w:rFonts w:ascii="Times New Roman" w:hAnsi="Times New Roman" w:cs="Times New Roman"/>
          <w:sz w:val="22"/>
          <w:szCs w:val="22"/>
        </w:rPr>
        <w:t xml:space="preserve"> </w:t>
      </w:r>
      <w:r w:rsidRPr="000D15F6">
        <w:rPr>
          <w:rFonts w:ascii="Times New Roman" w:hAnsi="Times New Roman" w:cs="Times New Roman"/>
          <w:b/>
          <w:bCs/>
          <w:sz w:val="22"/>
          <w:szCs w:val="22"/>
        </w:rPr>
        <w:t>A</w:t>
      </w:r>
      <w:r w:rsidRPr="24FBD350">
        <w:rPr>
          <w:rFonts w:ascii="Times New Roman" w:hAnsi="Times New Roman" w:cs="Times New Roman"/>
          <w:b/>
          <w:bCs/>
          <w:sz w:val="22"/>
          <w:szCs w:val="22"/>
        </w:rPr>
        <w:t>.</w:t>
      </w:r>
      <w:r w:rsidRPr="24FBD350">
        <w:rPr>
          <w:rFonts w:ascii="Times New Roman" w:hAnsi="Times New Roman" w:cs="Times New Roman"/>
          <w:sz w:val="22"/>
          <w:szCs w:val="22"/>
        </w:rPr>
        <w:t xml:space="preserve"> Confinement device scheme explaining the mounting strategy and how the cells are confined. </w:t>
      </w:r>
      <w:r w:rsidRPr="000D15F6">
        <w:rPr>
          <w:rFonts w:ascii="Times New Roman" w:hAnsi="Times New Roman" w:cs="Times New Roman"/>
          <w:b/>
          <w:bCs/>
          <w:sz w:val="22"/>
          <w:szCs w:val="22"/>
        </w:rPr>
        <w:t>B</w:t>
      </w:r>
      <w:r w:rsidRPr="24FBD350">
        <w:rPr>
          <w:rFonts w:ascii="Times New Roman" w:hAnsi="Times New Roman" w:cs="Times New Roman"/>
          <w:b/>
          <w:bCs/>
          <w:sz w:val="22"/>
          <w:szCs w:val="22"/>
        </w:rPr>
        <w:t xml:space="preserve">. </w:t>
      </w:r>
      <w:r w:rsidRPr="24FBD350">
        <w:rPr>
          <w:rFonts w:ascii="Times New Roman" w:hAnsi="Times New Roman" w:cs="Times New Roman"/>
          <w:sz w:val="22"/>
          <w:szCs w:val="22"/>
        </w:rPr>
        <w:t xml:space="preserve">Gating strategy for the isolation of LT-HSC from young BM cells from a representative experiment. </w:t>
      </w:r>
      <w:r w:rsidRPr="24FBD350">
        <w:rPr>
          <w:rFonts w:ascii="Times New Roman" w:hAnsi="Times New Roman" w:cs="Times New Roman"/>
          <w:b/>
          <w:bCs/>
          <w:sz w:val="22"/>
          <w:szCs w:val="22"/>
        </w:rPr>
        <w:t xml:space="preserve">C. </w:t>
      </w:r>
      <w:r w:rsidRPr="24FBD350">
        <w:rPr>
          <w:rFonts w:ascii="Times New Roman" w:hAnsi="Times New Roman" w:cs="Times New Roman"/>
          <w:sz w:val="22"/>
          <w:szCs w:val="22"/>
        </w:rPr>
        <w:t>Stripplot</w:t>
      </w:r>
      <w:r w:rsidRPr="24FBD350">
        <w:rPr>
          <w:rFonts w:ascii="Times New Roman" w:hAnsi="Times New Roman" w:cs="Times New Roman"/>
          <w:b/>
          <w:bCs/>
          <w:sz w:val="22"/>
          <w:szCs w:val="22"/>
        </w:rPr>
        <w:t xml:space="preserve"> </w:t>
      </w:r>
      <w:r w:rsidRPr="24FBD350">
        <w:rPr>
          <w:rFonts w:ascii="Times New Roman" w:hAnsi="Times New Roman" w:cs="Times New Roman"/>
          <w:sz w:val="22"/>
          <w:szCs w:val="22"/>
        </w:rPr>
        <w:t xml:space="preserve">showing the increase of the excess of perimeter (EOP) upon confinement measured in 2D. </w:t>
      </w:r>
      <w:r w:rsidRPr="000D15F6">
        <w:rPr>
          <w:rFonts w:ascii="Times New Roman" w:hAnsi="Times New Roman" w:cs="Times New Roman"/>
          <w:b/>
          <w:bCs/>
          <w:sz w:val="22"/>
          <w:szCs w:val="22"/>
        </w:rPr>
        <w:t>D</w:t>
      </w:r>
      <w:r w:rsidRPr="24FBD350">
        <w:rPr>
          <w:rFonts w:ascii="Times New Roman" w:hAnsi="Times New Roman" w:cs="Times New Roman"/>
          <w:b/>
          <w:bCs/>
          <w:sz w:val="22"/>
          <w:szCs w:val="22"/>
        </w:rPr>
        <w:t xml:space="preserve">. </w:t>
      </w:r>
      <w:r w:rsidRPr="24FBD350">
        <w:rPr>
          <w:rFonts w:ascii="Times New Roman" w:hAnsi="Times New Roman" w:cs="Times New Roman"/>
          <w:sz w:val="22"/>
          <w:szCs w:val="22"/>
        </w:rPr>
        <w:t>Stripplot showing an increase in major nuclear axis length upon confinement at different heights.</w:t>
      </w:r>
      <w:r w:rsidRPr="24FBD350">
        <w:rPr>
          <w:rFonts w:ascii="Times New Roman" w:hAnsi="Times New Roman" w:cs="Times New Roman"/>
          <w:b/>
          <w:bCs/>
          <w:sz w:val="22"/>
          <w:szCs w:val="22"/>
        </w:rPr>
        <w:t xml:space="preserve"> E, </w:t>
      </w:r>
      <w:r w:rsidRPr="24FBD350">
        <w:rPr>
          <w:rFonts w:ascii="Times New Roman" w:hAnsi="Times New Roman" w:cs="Times New Roman"/>
          <w:sz w:val="22"/>
          <w:szCs w:val="22"/>
        </w:rPr>
        <w:t xml:space="preserve">DAPI intensity profiles of representative confocal images from HSC under different levels of confinement as a function of the distance to the nuclear border. </w:t>
      </w:r>
      <w:r w:rsidRPr="000D15F6">
        <w:rPr>
          <w:rFonts w:ascii="Times New Roman" w:hAnsi="Times New Roman" w:cs="Times New Roman"/>
          <w:b/>
          <w:bCs/>
          <w:sz w:val="22"/>
          <w:szCs w:val="22"/>
        </w:rPr>
        <w:t>F</w:t>
      </w:r>
      <w:r w:rsidRPr="24FBD350">
        <w:rPr>
          <w:rFonts w:ascii="Times New Roman" w:hAnsi="Times New Roman" w:cs="Times New Roman"/>
          <w:b/>
          <w:bCs/>
          <w:sz w:val="22"/>
          <w:szCs w:val="22"/>
        </w:rPr>
        <w:t>,</w:t>
      </w:r>
      <w:r w:rsidRPr="24FBD350">
        <w:rPr>
          <w:rFonts w:ascii="Times New Roman" w:hAnsi="Times New Roman" w:cs="Times New Roman"/>
          <w:sz w:val="22"/>
          <w:szCs w:val="22"/>
        </w:rPr>
        <w:t xml:space="preserve"> RhoA </w:t>
      </w:r>
      <w:r w:rsidRPr="24FBD350">
        <w:rPr>
          <w:rFonts w:ascii="Times New Roman" w:hAnsi="Times New Roman" w:cs="Times New Roman"/>
          <w:i/>
          <w:iCs/>
          <w:sz w:val="22"/>
          <w:szCs w:val="22"/>
        </w:rPr>
        <w:t>locus</w:t>
      </w:r>
      <w:r w:rsidRPr="24FBD350">
        <w:rPr>
          <w:rFonts w:ascii="Times New Roman" w:hAnsi="Times New Roman" w:cs="Times New Roman"/>
          <w:sz w:val="22"/>
          <w:szCs w:val="22"/>
        </w:rPr>
        <w:t xml:space="preserve"> genetic maps of RhoA</w:t>
      </w:r>
      <w:r w:rsidRPr="24FBD350">
        <w:rPr>
          <w:rFonts w:ascii="Times New Roman" w:hAnsi="Times New Roman" w:cs="Times New Roman"/>
          <w:i/>
          <w:iCs/>
          <w:sz w:val="22"/>
          <w:szCs w:val="22"/>
        </w:rPr>
        <w:t>wt</w:t>
      </w:r>
      <w:r w:rsidRPr="24FBD350">
        <w:rPr>
          <w:rFonts w:ascii="Times New Roman" w:hAnsi="Times New Roman" w:cs="Times New Roman"/>
          <w:sz w:val="22"/>
          <w:szCs w:val="22"/>
        </w:rPr>
        <w:t xml:space="preserve"> and RhoA</w:t>
      </w:r>
      <w:r w:rsidRPr="24FBD350">
        <w:rPr>
          <w:rFonts w:ascii="Times New Roman" w:hAnsi="Times New Roman" w:cs="Times New Roman"/>
          <w:i/>
          <w:iCs/>
          <w:sz w:val="22"/>
          <w:szCs w:val="22"/>
        </w:rPr>
        <w:t xml:space="preserve">fl </w:t>
      </w:r>
      <w:r w:rsidRPr="24FBD350">
        <w:rPr>
          <w:rFonts w:ascii="Times New Roman" w:hAnsi="Times New Roman" w:cs="Times New Roman"/>
          <w:sz w:val="22"/>
          <w:szCs w:val="22"/>
        </w:rPr>
        <w:t xml:space="preserve">mice and schematic result of </w:t>
      </w:r>
      <w:r w:rsidRPr="24FBD350">
        <w:rPr>
          <w:rFonts w:ascii="Times New Roman" w:hAnsi="Times New Roman" w:cs="Times New Roman"/>
          <w:i/>
          <w:iCs/>
          <w:sz w:val="22"/>
          <w:szCs w:val="22"/>
        </w:rPr>
        <w:t xml:space="preserve">in vitro </w:t>
      </w:r>
      <w:r w:rsidRPr="24FBD350">
        <w:rPr>
          <w:rFonts w:ascii="Times New Roman" w:hAnsi="Times New Roman" w:cs="Times New Roman"/>
          <w:sz w:val="22"/>
          <w:szCs w:val="22"/>
        </w:rPr>
        <w:t xml:space="preserve">Cre tamoxifen-induced deletion of RhoA exon3. Black arrowhead stands for the </w:t>
      </w:r>
      <w:r w:rsidRPr="24FBD350">
        <w:rPr>
          <w:rFonts w:ascii="Times New Roman" w:hAnsi="Times New Roman" w:cs="Times New Roman"/>
          <w:i/>
          <w:iCs/>
          <w:sz w:val="22"/>
          <w:szCs w:val="22"/>
        </w:rPr>
        <w:t xml:space="preserve">flox </w:t>
      </w:r>
      <w:r w:rsidRPr="24FBD350">
        <w:rPr>
          <w:rFonts w:ascii="Times New Roman" w:hAnsi="Times New Roman" w:cs="Times New Roman"/>
          <w:sz w:val="22"/>
          <w:szCs w:val="22"/>
        </w:rPr>
        <w:t xml:space="preserve">sequence location at the RhoA </w:t>
      </w:r>
      <w:r w:rsidRPr="24FBD350">
        <w:rPr>
          <w:rFonts w:ascii="Times New Roman" w:hAnsi="Times New Roman" w:cs="Times New Roman"/>
          <w:i/>
          <w:iCs/>
          <w:sz w:val="22"/>
          <w:szCs w:val="22"/>
        </w:rPr>
        <w:t>locus</w:t>
      </w:r>
      <w:r w:rsidRPr="24FBD350">
        <w:rPr>
          <w:rFonts w:ascii="Times New Roman" w:hAnsi="Times New Roman" w:cs="Times New Roman"/>
          <w:sz w:val="22"/>
          <w:szCs w:val="22"/>
        </w:rPr>
        <w:t xml:space="preserve">. PCR results are shown for the RhoA </w:t>
      </w:r>
      <w:r w:rsidRPr="24FBD350">
        <w:rPr>
          <w:rFonts w:ascii="Times New Roman" w:hAnsi="Times New Roman" w:cs="Times New Roman"/>
          <w:i/>
          <w:iCs/>
          <w:sz w:val="22"/>
          <w:szCs w:val="22"/>
        </w:rPr>
        <w:t>floxed</w:t>
      </w:r>
      <w:r w:rsidRPr="24FBD350">
        <w:rPr>
          <w:rFonts w:ascii="Times New Roman" w:hAnsi="Times New Roman" w:cs="Times New Roman"/>
          <w:sz w:val="22"/>
          <w:szCs w:val="22"/>
        </w:rPr>
        <w:t xml:space="preserve"> (RAp1&amp;RAp2) and RhoAKO (RAp1&amp;RAp3) pair of primers performed on BM cells genomic DNA from Cre</w:t>
      </w:r>
      <w:r w:rsidRPr="24FBD350">
        <w:rPr>
          <w:rFonts w:ascii="Times New Roman" w:hAnsi="Times New Roman" w:cs="Times New Roman"/>
          <w:sz w:val="22"/>
          <w:szCs w:val="22"/>
          <w:vertAlign w:val="superscript"/>
        </w:rPr>
        <w:t>+/-</w:t>
      </w:r>
      <w:r w:rsidRPr="24FBD350">
        <w:rPr>
          <w:rFonts w:ascii="Times New Roman" w:hAnsi="Times New Roman" w:cs="Times New Roman"/>
          <w:sz w:val="22"/>
          <w:szCs w:val="22"/>
        </w:rPr>
        <w:t xml:space="preserve"> RhoA</w:t>
      </w:r>
      <w:r w:rsidRPr="24FBD350">
        <w:rPr>
          <w:rFonts w:ascii="Times New Roman" w:hAnsi="Times New Roman" w:cs="Times New Roman"/>
          <w:sz w:val="22"/>
          <w:szCs w:val="22"/>
          <w:vertAlign w:val="superscript"/>
        </w:rPr>
        <w:t>wt/wt</w:t>
      </w:r>
      <w:r w:rsidRPr="24FBD350">
        <w:rPr>
          <w:rFonts w:ascii="Times New Roman" w:hAnsi="Times New Roman" w:cs="Times New Roman"/>
          <w:sz w:val="22"/>
          <w:szCs w:val="22"/>
        </w:rPr>
        <w:t xml:space="preserve"> and Cre</w:t>
      </w:r>
      <w:r w:rsidRPr="24FBD350">
        <w:rPr>
          <w:rFonts w:ascii="Times New Roman" w:hAnsi="Times New Roman" w:cs="Times New Roman"/>
          <w:sz w:val="22"/>
          <w:szCs w:val="22"/>
          <w:vertAlign w:val="superscript"/>
        </w:rPr>
        <w:t>+/-</w:t>
      </w:r>
      <w:r w:rsidRPr="24FBD350">
        <w:rPr>
          <w:rFonts w:ascii="Times New Roman" w:hAnsi="Times New Roman" w:cs="Times New Roman"/>
          <w:sz w:val="22"/>
          <w:szCs w:val="22"/>
        </w:rPr>
        <w:t>RhoA</w:t>
      </w:r>
      <w:r w:rsidRPr="24FBD350">
        <w:rPr>
          <w:rFonts w:ascii="Times New Roman" w:hAnsi="Times New Roman" w:cs="Times New Roman"/>
          <w:sz w:val="22"/>
          <w:szCs w:val="22"/>
          <w:vertAlign w:val="superscript"/>
        </w:rPr>
        <w:t>fl/fl</w:t>
      </w:r>
      <w:r w:rsidRPr="24FBD350">
        <w:rPr>
          <w:rFonts w:ascii="Times New Roman" w:hAnsi="Times New Roman" w:cs="Times New Roman"/>
          <w:sz w:val="22"/>
          <w:szCs w:val="22"/>
        </w:rPr>
        <w:t xml:space="preserve"> mice after </w:t>
      </w:r>
      <w:r w:rsidRPr="24FBD350">
        <w:rPr>
          <w:rFonts w:ascii="Times New Roman" w:hAnsi="Times New Roman" w:cs="Times New Roman"/>
          <w:i/>
          <w:iCs/>
          <w:sz w:val="22"/>
          <w:szCs w:val="22"/>
        </w:rPr>
        <w:t>in vitro</w:t>
      </w:r>
      <w:r w:rsidRPr="24FBD350">
        <w:rPr>
          <w:rFonts w:ascii="Times New Roman" w:hAnsi="Times New Roman" w:cs="Times New Roman"/>
          <w:sz w:val="22"/>
          <w:szCs w:val="22"/>
        </w:rPr>
        <w:t xml:space="preserve"> tamoxifen treatment and control. Sizes of expected PCR products are shown in each case. </w:t>
      </w:r>
      <w:r w:rsidRPr="000D15F6">
        <w:rPr>
          <w:rFonts w:ascii="Times New Roman" w:hAnsi="Times New Roman" w:cs="Times New Roman"/>
          <w:b/>
          <w:bCs/>
          <w:sz w:val="22"/>
          <w:szCs w:val="22"/>
        </w:rPr>
        <w:t>G</w:t>
      </w:r>
      <w:r w:rsidRPr="24FBD350">
        <w:rPr>
          <w:rFonts w:ascii="Times New Roman" w:hAnsi="Times New Roman" w:cs="Times New Roman"/>
          <w:b/>
          <w:bCs/>
          <w:sz w:val="22"/>
          <w:szCs w:val="22"/>
        </w:rPr>
        <w:t xml:space="preserve">, </w:t>
      </w:r>
      <w:r w:rsidRPr="24FBD350">
        <w:rPr>
          <w:rFonts w:ascii="Times New Roman" w:hAnsi="Times New Roman" w:cs="Times New Roman"/>
          <w:sz w:val="22"/>
          <w:szCs w:val="22"/>
        </w:rPr>
        <w:t xml:space="preserve">Representative confocal images, and their respective 3D reconstruction in LT-HSC after o/n treatment with tamoxifen for induction of RhoAKO. Cells were stained against RhoAGTP (red) and DAPI (gray). Graph shows the volume for RhoAGTP signal in wt and induced RhoAKO without confinement. Mann-Whitney, unpaired two-tailed is shown *p&lt;0.05. </w:t>
      </w:r>
      <w:r w:rsidRPr="000D15F6">
        <w:rPr>
          <w:rFonts w:ascii="Times New Roman" w:hAnsi="Times New Roman" w:cs="Times New Roman"/>
          <w:b/>
          <w:bCs/>
          <w:sz w:val="22"/>
          <w:szCs w:val="22"/>
        </w:rPr>
        <w:t>H</w:t>
      </w:r>
      <w:r w:rsidRPr="24FBD350">
        <w:rPr>
          <w:rFonts w:ascii="Times New Roman" w:hAnsi="Times New Roman" w:cs="Times New Roman"/>
          <w:b/>
          <w:bCs/>
          <w:sz w:val="22"/>
          <w:szCs w:val="22"/>
        </w:rPr>
        <w:t xml:space="preserve">. </w:t>
      </w:r>
      <w:r w:rsidRPr="24FBD350">
        <w:rPr>
          <w:rFonts w:ascii="Times New Roman" w:hAnsi="Times New Roman" w:cs="Times New Roman"/>
          <w:sz w:val="22"/>
          <w:szCs w:val="22"/>
        </w:rPr>
        <w:t xml:space="preserve">Representative image of NE PcPLA2 (green) in 5µm confined HSC. Graph comparing levels of PcPLA2 at the NE in unconfined and 5µm confined cells. Mann-Whitney, unpaired two-tailed is shown ****p&lt;0.0001, n=3. </w:t>
      </w:r>
      <w:r w:rsidRPr="000D15F6">
        <w:rPr>
          <w:rFonts w:ascii="Times New Roman" w:hAnsi="Times New Roman" w:cs="Times New Roman"/>
          <w:b/>
          <w:bCs/>
          <w:sz w:val="22"/>
          <w:szCs w:val="22"/>
        </w:rPr>
        <w:t>I</w:t>
      </w:r>
      <w:r w:rsidRPr="24FBD350">
        <w:rPr>
          <w:rFonts w:ascii="Times New Roman" w:hAnsi="Times New Roman" w:cs="Times New Roman"/>
          <w:b/>
          <w:bCs/>
          <w:sz w:val="22"/>
          <w:szCs w:val="22"/>
        </w:rPr>
        <w:t>,</w:t>
      </w:r>
      <w:r w:rsidRPr="24FBD350">
        <w:rPr>
          <w:rFonts w:ascii="Times New Roman" w:hAnsi="Times New Roman" w:cs="Times New Roman"/>
          <w:sz w:val="22"/>
          <w:szCs w:val="22"/>
        </w:rPr>
        <w:t xml:space="preserve"> Representative image of NE PcPLA2 (green) and RhoA-GTP (red) in young HSC cultured in isotonic and 0.75X hypotonic conditions. DAPI is shown in grey. The graphs compare levels of NE PcPLA2 and RhoA-GTP in isotonic and hypotonic samples. Mann-Whitney, unpaired two-tailed is shown **p&lt;0.01, *p&lt;0.05. n=3. </w:t>
      </w:r>
      <w:r w:rsidRPr="000D15F6">
        <w:rPr>
          <w:rFonts w:ascii="Times New Roman" w:hAnsi="Times New Roman" w:cs="Times New Roman"/>
          <w:b/>
          <w:bCs/>
          <w:sz w:val="22"/>
          <w:szCs w:val="22"/>
        </w:rPr>
        <w:t>J</w:t>
      </w:r>
      <w:r w:rsidRPr="24FBD350">
        <w:rPr>
          <w:rFonts w:ascii="Times New Roman" w:hAnsi="Times New Roman" w:cs="Times New Roman"/>
          <w:b/>
          <w:bCs/>
          <w:sz w:val="22"/>
          <w:szCs w:val="22"/>
        </w:rPr>
        <w:t xml:space="preserve">, </w:t>
      </w:r>
      <w:r w:rsidRPr="24FBD350">
        <w:rPr>
          <w:rFonts w:ascii="Times New Roman" w:hAnsi="Times New Roman" w:cs="Times New Roman"/>
          <w:sz w:val="22"/>
          <w:szCs w:val="22"/>
        </w:rPr>
        <w:t xml:space="preserve">Schematic representation of the Chiaro NanoIndenter and design of bone measurement experiment. </w:t>
      </w:r>
      <w:r w:rsidRPr="000D15F6">
        <w:rPr>
          <w:rFonts w:ascii="Times New Roman" w:hAnsi="Times New Roman" w:cs="Times New Roman"/>
          <w:b/>
          <w:bCs/>
          <w:sz w:val="22"/>
          <w:szCs w:val="22"/>
        </w:rPr>
        <w:t>K</w:t>
      </w:r>
      <w:r w:rsidRPr="24FBD350">
        <w:rPr>
          <w:rFonts w:ascii="Times New Roman" w:hAnsi="Times New Roman" w:cs="Times New Roman"/>
          <w:b/>
          <w:bCs/>
          <w:sz w:val="22"/>
          <w:szCs w:val="22"/>
        </w:rPr>
        <w:t>,</w:t>
      </w:r>
      <w:r w:rsidRPr="24FBD350">
        <w:rPr>
          <w:rFonts w:ascii="Times New Roman" w:hAnsi="Times New Roman" w:cs="Times New Roman"/>
          <w:sz w:val="22"/>
          <w:szCs w:val="22"/>
        </w:rPr>
        <w:t xml:space="preserve"> Graph showing the stiffness of the endosteum and inner marrow within femurs from young mice. A stiffness variation graph of a representative single femur is shown. Mann-Whitney, unpaired two-tailed ****p&lt;0.0001. </w:t>
      </w:r>
      <w:r w:rsidRPr="000D15F6">
        <w:rPr>
          <w:rFonts w:ascii="Times New Roman" w:hAnsi="Times New Roman" w:cs="Times New Roman"/>
          <w:b/>
          <w:bCs/>
          <w:sz w:val="22"/>
          <w:szCs w:val="22"/>
        </w:rPr>
        <w:t>L</w:t>
      </w:r>
      <w:r w:rsidRPr="24FBD350">
        <w:rPr>
          <w:rFonts w:ascii="Times New Roman" w:hAnsi="Times New Roman" w:cs="Times New Roman"/>
          <w:b/>
          <w:bCs/>
          <w:sz w:val="22"/>
          <w:szCs w:val="22"/>
        </w:rPr>
        <w:t xml:space="preserve">, </w:t>
      </w:r>
      <w:r w:rsidRPr="24FBD350">
        <w:rPr>
          <w:rFonts w:ascii="Times New Roman" w:hAnsi="Times New Roman" w:cs="Times New Roman"/>
          <w:sz w:val="22"/>
          <w:szCs w:val="22"/>
        </w:rPr>
        <w:t xml:space="preserve">Schematic representation of the experimental design for the 2D culturing of LT-HSC on different stiffness hydrogels and later analysis by immunofluorescence (IF) and methocult culturing. </w:t>
      </w:r>
      <w:r w:rsidRPr="000D15F6">
        <w:rPr>
          <w:rFonts w:ascii="Times New Roman" w:hAnsi="Times New Roman" w:cs="Times New Roman"/>
          <w:b/>
          <w:bCs/>
          <w:sz w:val="22"/>
          <w:szCs w:val="22"/>
        </w:rPr>
        <w:t>M</w:t>
      </w:r>
      <w:r w:rsidRPr="24FBD350">
        <w:rPr>
          <w:rFonts w:ascii="Times New Roman" w:hAnsi="Times New Roman" w:cs="Times New Roman"/>
          <w:b/>
          <w:bCs/>
          <w:sz w:val="22"/>
          <w:szCs w:val="22"/>
        </w:rPr>
        <w:t xml:space="preserve">, </w:t>
      </w:r>
      <w:r w:rsidRPr="24FBD350">
        <w:rPr>
          <w:rFonts w:ascii="Times New Roman" w:hAnsi="Times New Roman" w:cs="Times New Roman"/>
          <w:sz w:val="22"/>
          <w:szCs w:val="22"/>
        </w:rPr>
        <w:t xml:space="preserve">Graph representing the number of cells obtained after 10 days on methocult </w:t>
      </w:r>
      <w:r w:rsidRPr="24FBD350">
        <w:rPr>
          <w:rFonts w:ascii="Times New Roman" w:hAnsi="Times New Roman" w:cs="Times New Roman"/>
          <w:sz w:val="22"/>
          <w:szCs w:val="22"/>
        </w:rPr>
        <w:lastRenderedPageBreak/>
        <w:t xml:space="preserve">from RhoAwt and RhoAKO LT-HSC cultured in different stiffness hydrogels. Mann-Whitney, unpaired two-tailed. </w:t>
      </w:r>
    </w:p>
    <w:p w14:paraId="72E087F3" w14:textId="77777777" w:rsidR="00B40B5F" w:rsidRPr="00D968AE" w:rsidRDefault="00B40B5F" w:rsidP="00B40B5F">
      <w:pPr>
        <w:spacing w:line="480" w:lineRule="auto"/>
        <w:jc w:val="both"/>
        <w:rPr>
          <w:rFonts w:ascii="Times New Roman" w:hAnsi="Times New Roman" w:cs="Times New Roman"/>
          <w:sz w:val="22"/>
          <w:szCs w:val="22"/>
        </w:rPr>
      </w:pPr>
    </w:p>
    <w:p w14:paraId="2ACC5BC8" w14:textId="77777777" w:rsidR="00B40B5F" w:rsidRPr="00D968AE" w:rsidRDefault="00B40B5F" w:rsidP="00B40B5F">
      <w:pPr>
        <w:spacing w:line="480" w:lineRule="auto"/>
        <w:jc w:val="both"/>
        <w:rPr>
          <w:rFonts w:ascii="Times New Roman" w:hAnsi="Times New Roman" w:cs="Times New Roman"/>
          <w:sz w:val="22"/>
          <w:szCs w:val="22"/>
        </w:rPr>
      </w:pPr>
      <w:r w:rsidRPr="24FBD350">
        <w:rPr>
          <w:rFonts w:ascii="Times New Roman" w:hAnsi="Times New Roman" w:cs="Times New Roman"/>
          <w:b/>
          <w:bCs/>
          <w:sz w:val="22"/>
          <w:szCs w:val="22"/>
        </w:rPr>
        <w:t xml:space="preserve">Figure S2| </w:t>
      </w:r>
      <w:r w:rsidRPr="0076225D">
        <w:rPr>
          <w:rFonts w:ascii="Times New Roman" w:hAnsi="Times New Roman" w:cs="Times New Roman"/>
          <w:b/>
          <w:bCs/>
          <w:sz w:val="22"/>
          <w:szCs w:val="22"/>
        </w:rPr>
        <w:t xml:space="preserve">Related to Figure </w:t>
      </w:r>
      <w:r>
        <w:rPr>
          <w:rFonts w:ascii="Times New Roman" w:hAnsi="Times New Roman" w:cs="Times New Roman"/>
          <w:b/>
          <w:bCs/>
          <w:sz w:val="22"/>
          <w:szCs w:val="22"/>
        </w:rPr>
        <w:t>2</w:t>
      </w:r>
      <w:r w:rsidRPr="0076225D">
        <w:rPr>
          <w:rFonts w:ascii="Times New Roman" w:hAnsi="Times New Roman" w:cs="Times New Roman"/>
          <w:b/>
          <w:bCs/>
          <w:sz w:val="22"/>
          <w:szCs w:val="22"/>
        </w:rPr>
        <w:t>.</w:t>
      </w:r>
      <w:r>
        <w:rPr>
          <w:rFonts w:ascii="Times New Roman" w:hAnsi="Times New Roman" w:cs="Times New Roman"/>
          <w:sz w:val="22"/>
          <w:szCs w:val="22"/>
        </w:rPr>
        <w:t xml:space="preserve"> </w:t>
      </w:r>
      <w:r w:rsidRPr="24FBD350">
        <w:rPr>
          <w:rFonts w:ascii="Times New Roman" w:hAnsi="Times New Roman" w:cs="Times New Roman"/>
          <w:b/>
          <w:bCs/>
          <w:sz w:val="22"/>
          <w:szCs w:val="22"/>
        </w:rPr>
        <w:t xml:space="preserve">A, </w:t>
      </w:r>
      <w:r w:rsidRPr="24FBD350">
        <w:rPr>
          <w:rFonts w:ascii="Times New Roman" w:hAnsi="Times New Roman" w:cs="Times New Roman"/>
          <w:sz w:val="22"/>
          <w:szCs w:val="22"/>
        </w:rPr>
        <w:t>Superposed stiffness variation graphs showing the measurements of representative femurs on a young and an aged mouse.</w:t>
      </w:r>
      <w:r w:rsidRPr="24FBD350">
        <w:rPr>
          <w:rFonts w:ascii="Times New Roman" w:hAnsi="Times New Roman" w:cs="Times New Roman"/>
          <w:b/>
          <w:bCs/>
          <w:sz w:val="22"/>
          <w:szCs w:val="22"/>
        </w:rPr>
        <w:t xml:space="preserve"> B, </w:t>
      </w:r>
      <w:r w:rsidRPr="24FBD350">
        <w:rPr>
          <w:rFonts w:ascii="Times New Roman" w:hAnsi="Times New Roman" w:cs="Times New Roman"/>
          <w:sz w:val="22"/>
          <w:szCs w:val="22"/>
        </w:rPr>
        <w:t xml:space="preserve">Stiffness of the BM of femurs of young and aged mice at the </w:t>
      </w:r>
      <w:r w:rsidRPr="24FBD350">
        <w:rPr>
          <w:rFonts w:ascii="Times New Roman" w:hAnsi="Times New Roman" w:cs="Times New Roman"/>
          <w:color w:val="000000" w:themeColor="text1"/>
          <w:sz w:val="22"/>
          <w:szCs w:val="22"/>
        </w:rPr>
        <w:t xml:space="preserve">endosteum and inner marrow. n=3, with a total of 69-80 measurements per condition, Mann-Whitney, two-tailed test *p&lt;0.05; ****p&lt;0.0001. </w:t>
      </w:r>
      <w:r w:rsidRPr="000D15F6">
        <w:rPr>
          <w:rFonts w:ascii="Times New Roman" w:hAnsi="Times New Roman" w:cs="Times New Roman"/>
          <w:b/>
          <w:bCs/>
          <w:color w:val="000000" w:themeColor="text1"/>
          <w:sz w:val="22"/>
          <w:szCs w:val="22"/>
        </w:rPr>
        <w:t>C</w:t>
      </w:r>
      <w:r w:rsidRPr="24FBD350">
        <w:rPr>
          <w:rFonts w:ascii="Times New Roman" w:hAnsi="Times New Roman" w:cs="Times New Roman"/>
          <w:b/>
          <w:bCs/>
          <w:color w:val="000000" w:themeColor="text1"/>
          <w:sz w:val="22"/>
          <w:szCs w:val="22"/>
        </w:rPr>
        <w:t xml:space="preserve">, </w:t>
      </w:r>
      <w:r w:rsidRPr="24FBD350">
        <w:rPr>
          <w:rFonts w:ascii="Times New Roman" w:hAnsi="Times New Roman" w:cs="Times New Roman"/>
          <w:color w:val="000000" w:themeColor="text1"/>
          <w:sz w:val="22"/>
          <w:szCs w:val="22"/>
        </w:rPr>
        <w:t xml:space="preserve">Representative western blot of RhoAGTP pulled down from BM cells from young, aged and aged treated </w:t>
      </w:r>
      <w:r w:rsidRPr="24FBD350">
        <w:rPr>
          <w:rFonts w:ascii="Times New Roman" w:hAnsi="Times New Roman" w:cs="Times New Roman"/>
          <w:i/>
          <w:iCs/>
          <w:color w:val="000000" w:themeColor="text1"/>
          <w:sz w:val="22"/>
          <w:szCs w:val="22"/>
        </w:rPr>
        <w:t>in vitro</w:t>
      </w:r>
      <w:r w:rsidRPr="24FBD350">
        <w:rPr>
          <w:rFonts w:ascii="Times New Roman" w:hAnsi="Times New Roman" w:cs="Times New Roman"/>
          <w:color w:val="000000" w:themeColor="text1"/>
          <w:sz w:val="22"/>
          <w:szCs w:val="22"/>
        </w:rPr>
        <w:t xml:space="preserve"> with Ri. Antibody against RhoA was used to detect pulled down RhoAGTP and total RhoA in whole protein extracts. Western blot of paired protein extraction samples against RhoA total and actin is shown as reference. n=3, Mann-Whitney test, unpaired one-tailed *p&lt;0.05. </w:t>
      </w:r>
      <w:r w:rsidRPr="000D15F6">
        <w:rPr>
          <w:rFonts w:ascii="Times New Roman" w:hAnsi="Times New Roman" w:cs="Times New Roman"/>
          <w:b/>
          <w:bCs/>
          <w:color w:val="000000" w:themeColor="text1"/>
          <w:sz w:val="22"/>
          <w:szCs w:val="22"/>
        </w:rPr>
        <w:t>D</w:t>
      </w:r>
      <w:r w:rsidRPr="24FBD350">
        <w:rPr>
          <w:rFonts w:ascii="Times New Roman" w:hAnsi="Times New Roman" w:cs="Times New Roman"/>
          <w:b/>
          <w:bCs/>
          <w:color w:val="000000" w:themeColor="text1"/>
          <w:sz w:val="22"/>
          <w:szCs w:val="22"/>
        </w:rPr>
        <w:t xml:space="preserve">, </w:t>
      </w:r>
      <w:r w:rsidRPr="24FBD350">
        <w:rPr>
          <w:rFonts w:ascii="Times New Roman" w:hAnsi="Times New Roman" w:cs="Times New Roman"/>
          <w:sz w:val="22"/>
          <w:szCs w:val="22"/>
        </w:rPr>
        <w:t>Gating strategy for the isolation of LT-HSC from young and aged BM cells from representative experiments.</w:t>
      </w:r>
      <w:r w:rsidRPr="24FBD350">
        <w:rPr>
          <w:rFonts w:ascii="Times New Roman" w:hAnsi="Times New Roman" w:cs="Times New Roman"/>
          <w:b/>
          <w:bCs/>
          <w:sz w:val="22"/>
          <w:szCs w:val="22"/>
        </w:rPr>
        <w:t xml:space="preserve"> E. </w:t>
      </w:r>
      <w:r w:rsidRPr="24FBD350">
        <w:rPr>
          <w:rFonts w:ascii="Times New Roman" w:hAnsi="Times New Roman" w:cs="Times New Roman"/>
          <w:sz w:val="22"/>
          <w:szCs w:val="22"/>
        </w:rPr>
        <w:t>Representative images of 3D confocal reconstruction and analysis of young, aged and aged treated with AACOCF3 HSCs stained with anti-PcPLA2. These images show total PcPLA2 (green) and the NE PcPLA2 signal (red) which overlaps completely with the total signal and appears in yellow (merged of red and green). Yellow arrows point to representative accumulation of NE PcPLA2 which can be more or less visible also depending on 3D rotation of the cells. Graphs are showing total PcPLA2 vol in µm</w:t>
      </w:r>
      <w:r w:rsidRPr="24FBD350">
        <w:rPr>
          <w:rFonts w:ascii="Times New Roman" w:hAnsi="Times New Roman" w:cs="Times New Roman"/>
          <w:sz w:val="22"/>
          <w:szCs w:val="22"/>
          <w:vertAlign w:val="superscript"/>
        </w:rPr>
        <w:t>3</w:t>
      </w:r>
      <w:r w:rsidRPr="24FBD350">
        <w:rPr>
          <w:rFonts w:ascii="Times New Roman" w:hAnsi="Times New Roman" w:cs="Times New Roman"/>
          <w:sz w:val="22"/>
          <w:szCs w:val="22"/>
        </w:rPr>
        <w:t xml:space="preserve">, percentage of NE PcPLA2 volume relative to total PcPLA2 volume and relative to DAPI volume. n=3 </w:t>
      </w:r>
      <w:r w:rsidRPr="24FBD350">
        <w:rPr>
          <w:rFonts w:ascii="Times New Roman" w:hAnsi="Times New Roman" w:cs="Times New Roman"/>
          <w:color w:val="000000" w:themeColor="text1"/>
          <w:sz w:val="22"/>
          <w:szCs w:val="22"/>
        </w:rPr>
        <w:t xml:space="preserve">Mann-Whitney, two-tailed test *p&lt;0.05; **p&lt;0.01; ***p&lt;0.001 ****p&lt;0.0001. </w:t>
      </w:r>
      <w:r w:rsidRPr="000D15F6">
        <w:rPr>
          <w:rFonts w:ascii="Times New Roman" w:hAnsi="Times New Roman" w:cs="Times New Roman"/>
          <w:b/>
          <w:bCs/>
          <w:color w:val="000000" w:themeColor="text1"/>
          <w:sz w:val="22"/>
          <w:szCs w:val="22"/>
        </w:rPr>
        <w:t>F</w:t>
      </w:r>
      <w:r w:rsidRPr="24FBD350">
        <w:rPr>
          <w:rFonts w:ascii="Times New Roman" w:hAnsi="Times New Roman" w:cs="Times New Roman"/>
          <w:b/>
          <w:bCs/>
          <w:color w:val="000000" w:themeColor="text1"/>
          <w:sz w:val="22"/>
          <w:szCs w:val="22"/>
        </w:rPr>
        <w:t xml:space="preserve">, </w:t>
      </w:r>
      <w:r w:rsidRPr="24FBD350">
        <w:rPr>
          <w:rFonts w:ascii="Times New Roman" w:hAnsi="Times New Roman" w:cs="Times New Roman"/>
          <w:color w:val="000000" w:themeColor="text1"/>
          <w:sz w:val="22"/>
          <w:szCs w:val="22"/>
        </w:rPr>
        <w:t>Representative images of 3D confocal reconstruction stained with anti-TAZ and its analysis of HSC from young, aged and aged treated with Ri along confined young cells at 8 µm and 5µm. n=3, Mann-Whitney, two-tailed test *p&lt;0.05; **p&lt;0.01; ***p&lt;0.001 ****p&lt;0.0001.</w:t>
      </w:r>
      <w:r w:rsidRPr="24FBD350">
        <w:rPr>
          <w:rFonts w:ascii="Times New Roman" w:hAnsi="Times New Roman" w:cs="Times New Roman"/>
          <w:b/>
          <w:bCs/>
          <w:sz w:val="22"/>
          <w:szCs w:val="22"/>
        </w:rPr>
        <w:t xml:space="preserve"> </w:t>
      </w:r>
    </w:p>
    <w:p w14:paraId="7CE9CDB6" w14:textId="77777777" w:rsidR="00B40B5F" w:rsidRPr="00D968AE" w:rsidRDefault="00B40B5F" w:rsidP="00B40B5F">
      <w:pPr>
        <w:spacing w:line="480" w:lineRule="auto"/>
        <w:jc w:val="both"/>
        <w:rPr>
          <w:rFonts w:ascii="Times New Roman" w:hAnsi="Times New Roman" w:cs="Times New Roman"/>
          <w:b/>
          <w:bCs/>
          <w:sz w:val="22"/>
          <w:szCs w:val="22"/>
        </w:rPr>
      </w:pPr>
    </w:p>
    <w:p w14:paraId="3085B8F4" w14:textId="77777777" w:rsidR="00B40B5F" w:rsidRDefault="00B40B5F" w:rsidP="00B40B5F">
      <w:pPr>
        <w:spacing w:line="480" w:lineRule="auto"/>
        <w:jc w:val="both"/>
        <w:rPr>
          <w:rFonts w:ascii="Times New Roman" w:hAnsi="Times New Roman" w:cs="Times New Roman"/>
          <w:b/>
          <w:bCs/>
          <w:sz w:val="22"/>
          <w:szCs w:val="22"/>
        </w:rPr>
      </w:pPr>
      <w:r w:rsidRPr="24FBD350">
        <w:rPr>
          <w:rFonts w:ascii="Times New Roman" w:hAnsi="Times New Roman" w:cs="Times New Roman"/>
          <w:b/>
          <w:bCs/>
          <w:sz w:val="22"/>
          <w:szCs w:val="22"/>
        </w:rPr>
        <w:t xml:space="preserve">Figure S3| </w:t>
      </w:r>
      <w:r w:rsidRPr="0076225D">
        <w:rPr>
          <w:rFonts w:ascii="Times New Roman" w:hAnsi="Times New Roman" w:cs="Times New Roman"/>
          <w:b/>
          <w:bCs/>
          <w:sz w:val="22"/>
          <w:szCs w:val="22"/>
        </w:rPr>
        <w:t xml:space="preserve">Related to Figure </w:t>
      </w:r>
      <w:r>
        <w:rPr>
          <w:rFonts w:ascii="Times New Roman" w:hAnsi="Times New Roman" w:cs="Times New Roman"/>
          <w:b/>
          <w:bCs/>
          <w:sz w:val="22"/>
          <w:szCs w:val="22"/>
        </w:rPr>
        <w:t>3</w:t>
      </w:r>
      <w:r w:rsidRPr="0076225D">
        <w:rPr>
          <w:rFonts w:ascii="Times New Roman" w:hAnsi="Times New Roman" w:cs="Times New Roman"/>
          <w:b/>
          <w:bCs/>
          <w:sz w:val="22"/>
          <w:szCs w:val="22"/>
        </w:rPr>
        <w:t>.</w:t>
      </w:r>
      <w:r>
        <w:rPr>
          <w:rFonts w:ascii="Times New Roman" w:hAnsi="Times New Roman" w:cs="Times New Roman"/>
          <w:sz w:val="22"/>
          <w:szCs w:val="22"/>
        </w:rPr>
        <w:t xml:space="preserve"> </w:t>
      </w:r>
      <w:r w:rsidRPr="24FBD350">
        <w:rPr>
          <w:rFonts w:ascii="Times New Roman" w:hAnsi="Times New Roman" w:cs="Times New Roman"/>
          <w:b/>
          <w:bCs/>
          <w:sz w:val="22"/>
          <w:szCs w:val="22"/>
        </w:rPr>
        <w:t xml:space="preserve">A. </w:t>
      </w:r>
      <w:r w:rsidRPr="24FBD350">
        <w:rPr>
          <w:rFonts w:ascii="Times New Roman" w:hAnsi="Times New Roman" w:cs="Times New Roman"/>
          <w:sz w:val="22"/>
          <w:szCs w:val="22"/>
        </w:rPr>
        <w:t>Schematic representation of the analyses of DAPI intensity by distance to the nuclear border.</w:t>
      </w:r>
      <w:r w:rsidRPr="24FBD350">
        <w:rPr>
          <w:rFonts w:ascii="Times New Roman" w:hAnsi="Times New Roman" w:cs="Times New Roman"/>
          <w:b/>
          <w:bCs/>
          <w:sz w:val="22"/>
          <w:szCs w:val="22"/>
        </w:rPr>
        <w:t xml:space="preserve"> B. </w:t>
      </w:r>
      <w:r w:rsidRPr="24FBD350">
        <w:rPr>
          <w:rFonts w:ascii="Times New Roman" w:hAnsi="Times New Roman" w:cs="Times New Roman"/>
          <w:sz w:val="22"/>
          <w:szCs w:val="22"/>
        </w:rPr>
        <w:t xml:space="preserve">Stripplot displaying differences in morphometric and DIRs-related feature distributions among young, aged, and aged Ri-treated nuclei. Mean values are represented by a yellow dot on top of each distribution, with a yellow line aiding to visualize trends among conditions. Statistical </w:t>
      </w:r>
      <w:r w:rsidRPr="24FBD350">
        <w:rPr>
          <w:rFonts w:ascii="Times New Roman" w:hAnsi="Times New Roman" w:cs="Times New Roman"/>
          <w:sz w:val="22"/>
          <w:szCs w:val="22"/>
        </w:rPr>
        <w:lastRenderedPageBreak/>
        <w:t>significance was determined using the Mann-Whitney test.</w:t>
      </w:r>
      <w:r w:rsidRPr="24FBD350">
        <w:rPr>
          <w:rFonts w:ascii="Times New Roman" w:hAnsi="Times New Roman" w:cs="Times New Roman"/>
          <w:b/>
          <w:bCs/>
          <w:sz w:val="22"/>
          <w:szCs w:val="22"/>
        </w:rPr>
        <w:t xml:space="preserve"> C. </w:t>
      </w:r>
      <w:r w:rsidRPr="24FBD350">
        <w:rPr>
          <w:rFonts w:ascii="Times New Roman" w:hAnsi="Times New Roman" w:cs="Times New Roman"/>
          <w:sz w:val="22"/>
          <w:szCs w:val="22"/>
        </w:rPr>
        <w:t>Heatmap depicting the correlation matrix for the 11 significant features identified among young and aged nuclei, after discarding highly correlated features. Marginal dendrograms exhibit clusters of feature similarity. The accompanying UMAP embedding, fitted with the specified features, is shown on the right.</w:t>
      </w:r>
      <w:r w:rsidRPr="24FBD350">
        <w:rPr>
          <w:rFonts w:ascii="Times New Roman" w:hAnsi="Times New Roman" w:cs="Times New Roman"/>
          <w:b/>
          <w:bCs/>
          <w:sz w:val="22"/>
          <w:szCs w:val="22"/>
        </w:rPr>
        <w:t xml:space="preserve"> D. </w:t>
      </w:r>
      <w:r w:rsidRPr="24FBD350">
        <w:rPr>
          <w:rFonts w:ascii="Times New Roman" w:hAnsi="Times New Roman" w:cs="Times New Roman"/>
          <w:sz w:val="22"/>
          <w:szCs w:val="22"/>
        </w:rPr>
        <w:t>Heatmap depicting the correlation matrix for the 11 significant features identified among aged and aged Ri-treated nuclei, after discarding highly correlated features. Marginal dendrograms exhibit clusters of feature similarity. The accompanying UMAP embedding, fitted with the specified features, is shown on the right.</w:t>
      </w:r>
      <w:r w:rsidRPr="24FBD350">
        <w:rPr>
          <w:rFonts w:ascii="Times New Roman" w:hAnsi="Times New Roman" w:cs="Times New Roman"/>
          <w:b/>
          <w:bCs/>
          <w:sz w:val="22"/>
          <w:szCs w:val="22"/>
        </w:rPr>
        <w:t xml:space="preserve"> E. </w:t>
      </w:r>
      <w:r w:rsidRPr="24FBD350">
        <w:rPr>
          <w:rFonts w:ascii="Times New Roman" w:hAnsi="Times New Roman" w:cs="Times New Roman"/>
          <w:sz w:val="22"/>
          <w:szCs w:val="22"/>
        </w:rPr>
        <w:t>Heatmap depicting the correlation matrix for the 20 features combined from the previous pairwise comparisons (young and aged, aged and aged Ri-treated) after discarding highly correlated features.</w:t>
      </w:r>
      <w:r w:rsidRPr="24FBD350">
        <w:rPr>
          <w:rFonts w:ascii="Times New Roman" w:hAnsi="Times New Roman" w:cs="Times New Roman"/>
          <w:b/>
          <w:bCs/>
          <w:sz w:val="22"/>
          <w:szCs w:val="22"/>
        </w:rPr>
        <w:t xml:space="preserve"> F. </w:t>
      </w:r>
      <w:r w:rsidRPr="24FBD350">
        <w:rPr>
          <w:rFonts w:ascii="Times New Roman" w:hAnsi="Times New Roman" w:cs="Times New Roman"/>
          <w:sz w:val="22"/>
          <w:szCs w:val="22"/>
        </w:rPr>
        <w:t xml:space="preserve">Silhouette plot showing the silhouette scores for K-Means clustering (K=4) for each nucleus in our dataset, with scores colored by cluster assignment. A red dashed vertical line indicates the overall silhouette score. </w:t>
      </w:r>
      <w:r w:rsidRPr="000D15F6">
        <w:rPr>
          <w:rFonts w:ascii="Times New Roman" w:hAnsi="Times New Roman" w:cs="Times New Roman"/>
          <w:b/>
          <w:bCs/>
          <w:sz w:val="22"/>
          <w:szCs w:val="22"/>
        </w:rPr>
        <w:t>G</w:t>
      </w:r>
      <w:r w:rsidRPr="24FBD350">
        <w:rPr>
          <w:rFonts w:ascii="Times New Roman" w:hAnsi="Times New Roman" w:cs="Times New Roman"/>
          <w:b/>
          <w:bCs/>
          <w:sz w:val="22"/>
          <w:szCs w:val="22"/>
        </w:rPr>
        <w:t xml:space="preserve">. </w:t>
      </w:r>
      <w:r w:rsidRPr="24FBD350">
        <w:rPr>
          <w:rFonts w:ascii="Times New Roman" w:hAnsi="Times New Roman" w:cs="Times New Roman"/>
          <w:sz w:val="22"/>
          <w:szCs w:val="22"/>
        </w:rPr>
        <w:t>Schematic representation of the multidimensional analysis pipeline. Features are extracted from whole DAPI intense microscopy images and used to construct a lower dimensional representation. Feature selection involved identifying statistically significant features among young and aged, and among aged and aged Ri-treated nuclei, followed by correlation-based filtering</w:t>
      </w:r>
      <w:r w:rsidRPr="24FBD350">
        <w:rPr>
          <w:rFonts w:ascii="Times New Roman" w:hAnsi="Times New Roman" w:cs="Times New Roman"/>
          <w:b/>
          <w:bCs/>
          <w:sz w:val="22"/>
          <w:szCs w:val="22"/>
        </w:rPr>
        <w:t xml:space="preserve">. H. </w:t>
      </w:r>
      <w:r w:rsidRPr="24FBD350">
        <w:rPr>
          <w:rFonts w:ascii="Times New Roman" w:hAnsi="Times New Roman" w:cs="Times New Roman"/>
          <w:sz w:val="22"/>
          <w:szCs w:val="22"/>
        </w:rPr>
        <w:t>Scatterplots illustrating the UMAP embedding constructed using nuclei from young, aged, and aged Ri-treated conditions, with color indicating variations in selected morphometric and intensity-related features.</w:t>
      </w:r>
      <w:r w:rsidRPr="24FBD350">
        <w:rPr>
          <w:rFonts w:ascii="Times New Roman" w:hAnsi="Times New Roman" w:cs="Times New Roman"/>
          <w:b/>
          <w:bCs/>
          <w:sz w:val="22"/>
          <w:szCs w:val="22"/>
        </w:rPr>
        <w:t xml:space="preserve"> I. </w:t>
      </w:r>
      <w:r w:rsidRPr="24FBD350">
        <w:rPr>
          <w:rFonts w:ascii="Times New Roman" w:hAnsi="Times New Roman" w:cs="Times New Roman"/>
          <w:sz w:val="22"/>
          <w:szCs w:val="22"/>
        </w:rPr>
        <w:t>Volcano plots showing the most significant features among clusters. The x-axis represents the log2 feature fold change of the indicated cluster against the remaining clusters, while the y-axis indicates the significance of this change. Dot color intensity corresponds to significance, and the red horizontal line marks a significance threshold at a p-value of 0.005.</w:t>
      </w:r>
      <w:r w:rsidRPr="24FBD350">
        <w:rPr>
          <w:rFonts w:ascii="Times New Roman" w:hAnsi="Times New Roman" w:cs="Times New Roman"/>
          <w:b/>
          <w:bCs/>
          <w:sz w:val="22"/>
          <w:szCs w:val="22"/>
        </w:rPr>
        <w:t xml:space="preserve"> </w:t>
      </w:r>
    </w:p>
    <w:p w14:paraId="1515299B" w14:textId="77777777" w:rsidR="00B40B5F" w:rsidRPr="00D968AE" w:rsidRDefault="00B40B5F" w:rsidP="00B40B5F">
      <w:pPr>
        <w:spacing w:line="480" w:lineRule="auto"/>
        <w:jc w:val="both"/>
        <w:rPr>
          <w:rFonts w:ascii="Times New Roman" w:hAnsi="Times New Roman" w:cs="Times New Roman"/>
          <w:sz w:val="22"/>
          <w:szCs w:val="22"/>
        </w:rPr>
      </w:pPr>
    </w:p>
    <w:p w14:paraId="67E9E54A" w14:textId="77777777" w:rsidR="00B40B5F" w:rsidRDefault="00B40B5F" w:rsidP="00B40B5F">
      <w:pPr>
        <w:spacing w:line="480" w:lineRule="auto"/>
        <w:jc w:val="both"/>
        <w:rPr>
          <w:rFonts w:ascii="Times New Roman" w:hAnsi="Times New Roman" w:cs="Times New Roman"/>
          <w:sz w:val="22"/>
          <w:szCs w:val="22"/>
        </w:rPr>
      </w:pPr>
      <w:r w:rsidRPr="248DAF7C">
        <w:rPr>
          <w:rFonts w:ascii="Times New Roman" w:hAnsi="Times New Roman" w:cs="Times New Roman"/>
          <w:b/>
          <w:bCs/>
          <w:sz w:val="22"/>
          <w:szCs w:val="22"/>
        </w:rPr>
        <w:t xml:space="preserve">Figure </w:t>
      </w:r>
      <w:r>
        <w:rPr>
          <w:rFonts w:ascii="Times New Roman" w:hAnsi="Times New Roman" w:cs="Times New Roman"/>
          <w:b/>
          <w:bCs/>
          <w:sz w:val="22"/>
          <w:szCs w:val="22"/>
        </w:rPr>
        <w:t>S4</w:t>
      </w:r>
      <w:r w:rsidRPr="248DAF7C">
        <w:rPr>
          <w:rFonts w:ascii="Times New Roman" w:hAnsi="Times New Roman" w:cs="Times New Roman"/>
          <w:b/>
          <w:bCs/>
          <w:sz w:val="22"/>
          <w:szCs w:val="22"/>
        </w:rPr>
        <w:t xml:space="preserve">| </w:t>
      </w:r>
      <w:r>
        <w:rPr>
          <w:rFonts w:ascii="Times New Roman" w:hAnsi="Times New Roman" w:cs="Times New Roman"/>
          <w:b/>
          <w:bCs/>
          <w:sz w:val="22"/>
          <w:szCs w:val="22"/>
        </w:rPr>
        <w:t>A</w:t>
      </w:r>
      <w:r w:rsidRPr="000576C4">
        <w:rPr>
          <w:rFonts w:ascii="Times New Roman" w:hAnsi="Times New Roman" w:cs="Times New Roman"/>
          <w:sz w:val="22"/>
          <w:szCs w:val="22"/>
        </w:rPr>
        <w:t>,</w:t>
      </w:r>
      <w:r w:rsidRPr="248DAF7C">
        <w:rPr>
          <w:rFonts w:ascii="Times New Roman" w:hAnsi="Times New Roman" w:cs="Times New Roman"/>
          <w:b/>
          <w:bCs/>
          <w:sz w:val="22"/>
          <w:szCs w:val="22"/>
        </w:rPr>
        <w:t xml:space="preserve"> </w:t>
      </w:r>
      <w:r w:rsidRPr="248DAF7C">
        <w:rPr>
          <w:rFonts w:ascii="Times New Roman" w:hAnsi="Times New Roman" w:cs="Times New Roman"/>
          <w:sz w:val="22"/>
          <w:szCs w:val="22"/>
          <w:lang w:val="en-GB"/>
        </w:rPr>
        <w:t>Representative images of 3D confocal reconstruction of young, aged and aged+Ri treated HSCs stained with G9a antibody (red) and DAPI (grey). Mann-Whitney two-tailed, **p&lt;0.01, *p&lt;0.05</w:t>
      </w:r>
      <w:r w:rsidRPr="248DAF7C">
        <w:rPr>
          <w:rFonts w:ascii="Times New Roman" w:hAnsi="Times New Roman" w:cs="Times New Roman"/>
          <w:sz w:val="22"/>
          <w:szCs w:val="22"/>
        </w:rPr>
        <w:t xml:space="preserve">. </w:t>
      </w:r>
      <w:r>
        <w:rPr>
          <w:rFonts w:ascii="Times New Roman" w:hAnsi="Times New Roman" w:cs="Times New Roman"/>
          <w:b/>
          <w:bCs/>
          <w:sz w:val="22"/>
          <w:szCs w:val="22"/>
        </w:rPr>
        <w:t>B</w:t>
      </w:r>
      <w:r w:rsidRPr="248DAF7C">
        <w:rPr>
          <w:rFonts w:ascii="Times New Roman" w:hAnsi="Times New Roman" w:cs="Times New Roman"/>
          <w:sz w:val="22"/>
          <w:szCs w:val="22"/>
        </w:rPr>
        <w:t>. Flow cytometric analysis of transduced LSK pre-transplantation, representing 3 independent batches of transplantation</w:t>
      </w:r>
      <w:r w:rsidRPr="248DAF7C">
        <w:rPr>
          <w:rFonts w:ascii="Times New Roman" w:hAnsi="Times New Roman" w:cs="Times New Roman"/>
          <w:b/>
          <w:bCs/>
          <w:sz w:val="22"/>
          <w:szCs w:val="22"/>
        </w:rPr>
        <w:t xml:space="preserve">. </w:t>
      </w:r>
      <w:r w:rsidRPr="248DAF7C">
        <w:rPr>
          <w:rFonts w:ascii="Times New Roman" w:hAnsi="Times New Roman" w:cs="Times New Roman"/>
          <w:sz w:val="22"/>
          <w:szCs w:val="22"/>
        </w:rPr>
        <w:t xml:space="preserve">Mann-Whitney test, unpaired two-tailed, p=0.700. </w:t>
      </w:r>
    </w:p>
    <w:p w14:paraId="130E3AC0" w14:textId="77777777" w:rsidR="00B40B5F" w:rsidRDefault="00B40B5F" w:rsidP="00B40B5F">
      <w:pPr>
        <w:spacing w:line="480" w:lineRule="auto"/>
        <w:jc w:val="both"/>
        <w:rPr>
          <w:rFonts w:ascii="Times New Roman" w:hAnsi="Times New Roman" w:cs="Times New Roman"/>
          <w:sz w:val="22"/>
          <w:szCs w:val="22"/>
        </w:rPr>
      </w:pPr>
    </w:p>
    <w:p w14:paraId="23F09CB0" w14:textId="77777777" w:rsidR="00B40B5F" w:rsidRPr="00D968AE" w:rsidRDefault="00B40B5F" w:rsidP="00B40B5F">
      <w:pPr>
        <w:spacing w:line="480" w:lineRule="auto"/>
        <w:jc w:val="both"/>
        <w:rPr>
          <w:rFonts w:ascii="Times New Roman" w:hAnsi="Times New Roman" w:cs="Times New Roman"/>
          <w:sz w:val="22"/>
          <w:szCs w:val="22"/>
        </w:rPr>
      </w:pPr>
      <w:r w:rsidRPr="24FBD350">
        <w:rPr>
          <w:rFonts w:ascii="Times New Roman" w:hAnsi="Times New Roman" w:cs="Times New Roman"/>
          <w:b/>
          <w:bCs/>
          <w:sz w:val="22"/>
          <w:szCs w:val="22"/>
        </w:rPr>
        <w:lastRenderedPageBreak/>
        <w:t>Figure S</w:t>
      </w:r>
      <w:r>
        <w:rPr>
          <w:rFonts w:ascii="Times New Roman" w:hAnsi="Times New Roman" w:cs="Times New Roman"/>
          <w:b/>
          <w:bCs/>
          <w:sz w:val="22"/>
          <w:szCs w:val="22"/>
        </w:rPr>
        <w:t>5</w:t>
      </w:r>
      <w:r w:rsidRPr="24FBD350">
        <w:rPr>
          <w:rFonts w:ascii="Times New Roman" w:hAnsi="Times New Roman" w:cs="Times New Roman"/>
          <w:b/>
          <w:bCs/>
          <w:sz w:val="22"/>
          <w:szCs w:val="22"/>
        </w:rPr>
        <w:t xml:space="preserve">| </w:t>
      </w:r>
      <w:r w:rsidRPr="0076225D">
        <w:rPr>
          <w:rFonts w:ascii="Times New Roman" w:hAnsi="Times New Roman" w:cs="Times New Roman"/>
          <w:b/>
          <w:bCs/>
          <w:sz w:val="22"/>
          <w:szCs w:val="22"/>
        </w:rPr>
        <w:t xml:space="preserve">Related to Figure </w:t>
      </w:r>
      <w:r>
        <w:rPr>
          <w:rFonts w:ascii="Times New Roman" w:hAnsi="Times New Roman" w:cs="Times New Roman"/>
          <w:b/>
          <w:bCs/>
          <w:sz w:val="22"/>
          <w:szCs w:val="22"/>
        </w:rPr>
        <w:t>4</w:t>
      </w:r>
      <w:r w:rsidRPr="0076225D">
        <w:rPr>
          <w:rFonts w:ascii="Times New Roman" w:hAnsi="Times New Roman" w:cs="Times New Roman"/>
          <w:b/>
          <w:bCs/>
          <w:sz w:val="22"/>
          <w:szCs w:val="22"/>
        </w:rPr>
        <w:t>.</w:t>
      </w:r>
      <w:r>
        <w:rPr>
          <w:rFonts w:ascii="Times New Roman" w:hAnsi="Times New Roman" w:cs="Times New Roman"/>
          <w:sz w:val="22"/>
          <w:szCs w:val="22"/>
        </w:rPr>
        <w:t xml:space="preserve"> </w:t>
      </w:r>
      <w:r w:rsidRPr="24FBD350">
        <w:rPr>
          <w:rFonts w:ascii="Times New Roman" w:hAnsi="Times New Roman" w:cs="Times New Roman"/>
          <w:b/>
          <w:bCs/>
          <w:sz w:val="22"/>
          <w:szCs w:val="22"/>
        </w:rPr>
        <w:t>A</w:t>
      </w:r>
      <w:r w:rsidRPr="24FBD350">
        <w:rPr>
          <w:rFonts w:ascii="Times New Roman" w:hAnsi="Times New Roman" w:cs="Times New Roman"/>
          <w:sz w:val="22"/>
          <w:szCs w:val="22"/>
        </w:rPr>
        <w:t xml:space="preserve">, Proportions of the consensus peaks annotations in a donut chart. </w:t>
      </w:r>
      <w:r w:rsidRPr="24FBD350">
        <w:rPr>
          <w:rFonts w:ascii="Times New Roman" w:hAnsi="Times New Roman" w:cs="Times New Roman"/>
          <w:b/>
          <w:bCs/>
          <w:sz w:val="22"/>
          <w:szCs w:val="22"/>
        </w:rPr>
        <w:t>B</w:t>
      </w:r>
      <w:r w:rsidRPr="24FBD350">
        <w:rPr>
          <w:rFonts w:ascii="Times New Roman" w:hAnsi="Times New Roman" w:cs="Times New Roman"/>
          <w:sz w:val="22"/>
          <w:szCs w:val="22"/>
        </w:rPr>
        <w:t xml:space="preserve">, PCA plot for the ATAC-seq normalized read counts in the consensus peaks for the Ri-treatment experiment. </w:t>
      </w:r>
      <w:r w:rsidRPr="24FBD350">
        <w:rPr>
          <w:rFonts w:ascii="Times New Roman" w:hAnsi="Times New Roman" w:cs="Times New Roman"/>
          <w:b/>
          <w:bCs/>
          <w:sz w:val="22"/>
          <w:szCs w:val="22"/>
        </w:rPr>
        <w:t>C</w:t>
      </w:r>
      <w:r w:rsidRPr="24FBD350">
        <w:rPr>
          <w:rFonts w:ascii="Times New Roman" w:hAnsi="Times New Roman" w:cs="Times New Roman"/>
          <w:sz w:val="22"/>
          <w:szCs w:val="22"/>
        </w:rPr>
        <w:t xml:space="preserve">, Venn diagram for the number of common DARs in aged </w:t>
      </w:r>
      <w:r w:rsidRPr="24FBD350">
        <w:rPr>
          <w:rFonts w:ascii="Times New Roman" w:hAnsi="Times New Roman" w:cs="Times New Roman"/>
          <w:i/>
          <w:iCs/>
          <w:sz w:val="22"/>
          <w:szCs w:val="22"/>
        </w:rPr>
        <w:t>vs</w:t>
      </w:r>
      <w:r w:rsidRPr="24FBD350">
        <w:rPr>
          <w:rFonts w:ascii="Times New Roman" w:hAnsi="Times New Roman" w:cs="Times New Roman"/>
          <w:sz w:val="22"/>
          <w:szCs w:val="22"/>
        </w:rPr>
        <w:t xml:space="preserve"> young and aged+Ri </w:t>
      </w:r>
      <w:r w:rsidRPr="24FBD350">
        <w:rPr>
          <w:rFonts w:ascii="Times New Roman" w:hAnsi="Times New Roman" w:cs="Times New Roman"/>
          <w:i/>
          <w:iCs/>
          <w:sz w:val="22"/>
          <w:szCs w:val="22"/>
        </w:rPr>
        <w:t>vs</w:t>
      </w:r>
      <w:r w:rsidRPr="24FBD350">
        <w:rPr>
          <w:rFonts w:ascii="Times New Roman" w:hAnsi="Times New Roman" w:cs="Times New Roman"/>
          <w:sz w:val="22"/>
          <w:szCs w:val="22"/>
        </w:rPr>
        <w:t xml:space="preserve"> aged (p&lt;0.005). </w:t>
      </w:r>
      <w:r w:rsidRPr="24FBD350">
        <w:rPr>
          <w:rFonts w:ascii="Times New Roman" w:hAnsi="Times New Roman" w:cs="Times New Roman"/>
          <w:b/>
          <w:bCs/>
          <w:sz w:val="22"/>
          <w:szCs w:val="22"/>
        </w:rPr>
        <w:t>D</w:t>
      </w:r>
      <w:r w:rsidRPr="24FBD350">
        <w:rPr>
          <w:rFonts w:ascii="Times New Roman" w:hAnsi="Times New Roman" w:cs="Times New Roman"/>
          <w:sz w:val="22"/>
          <w:szCs w:val="22"/>
        </w:rPr>
        <w:t xml:space="preserve">, Radar chart showing the minus logarithmic FDR for the significantly enriched GOs among the genes annotated to the DARs opening with Ri (FDR&lt;0.1). </w:t>
      </w:r>
      <w:r w:rsidRPr="000D15F6">
        <w:rPr>
          <w:rFonts w:ascii="Times New Roman" w:hAnsi="Times New Roman" w:cs="Times New Roman"/>
          <w:b/>
          <w:bCs/>
          <w:sz w:val="22"/>
          <w:szCs w:val="22"/>
        </w:rPr>
        <w:t>E</w:t>
      </w:r>
      <w:r w:rsidRPr="24FBD350">
        <w:rPr>
          <w:rFonts w:ascii="Times New Roman" w:hAnsi="Times New Roman" w:cs="Times New Roman"/>
          <w:sz w:val="22"/>
          <w:szCs w:val="22"/>
        </w:rPr>
        <w:t xml:space="preserve">, </w:t>
      </w:r>
      <w:r w:rsidRPr="4BD777E1">
        <w:rPr>
          <w:rFonts w:ascii="Times New Roman" w:eastAsia="Times New Roman" w:hAnsi="Times New Roman" w:cs="Times New Roman"/>
          <w:color w:val="000000" w:themeColor="text1"/>
          <w:sz w:val="22"/>
          <w:szCs w:val="22"/>
        </w:rPr>
        <w:t xml:space="preserve">PCA plot for the ATAC-seq normalized read counts in the aged </w:t>
      </w:r>
      <w:r w:rsidRPr="00B55761">
        <w:rPr>
          <w:rFonts w:ascii="Times New Roman" w:eastAsia="Times New Roman" w:hAnsi="Times New Roman" w:cs="Times New Roman"/>
          <w:i/>
          <w:iCs/>
          <w:color w:val="000000" w:themeColor="text1"/>
          <w:sz w:val="22"/>
          <w:szCs w:val="22"/>
        </w:rPr>
        <w:t>vs</w:t>
      </w:r>
      <w:r w:rsidRPr="4BD777E1">
        <w:rPr>
          <w:rFonts w:ascii="Times New Roman" w:eastAsia="Times New Roman" w:hAnsi="Times New Roman" w:cs="Times New Roman"/>
          <w:color w:val="000000" w:themeColor="text1"/>
          <w:sz w:val="22"/>
          <w:szCs w:val="22"/>
        </w:rPr>
        <w:t xml:space="preserve"> young DARs for the young confined HSCs experiment. </w:t>
      </w:r>
      <w:r>
        <w:rPr>
          <w:rFonts w:ascii="Times New Roman" w:hAnsi="Times New Roman" w:cs="Times New Roman"/>
          <w:b/>
          <w:bCs/>
          <w:sz w:val="22"/>
          <w:szCs w:val="22"/>
        </w:rPr>
        <w:t>F</w:t>
      </w:r>
      <w:r w:rsidRPr="4BD777E1">
        <w:rPr>
          <w:rFonts w:ascii="Times New Roman" w:hAnsi="Times New Roman" w:cs="Times New Roman"/>
          <w:sz w:val="22"/>
          <w:szCs w:val="22"/>
        </w:rPr>
        <w:t xml:space="preserve">, PCA plot for the RNA-seq normalized read counts in genes. Legend as in d. </w:t>
      </w:r>
      <w:r>
        <w:rPr>
          <w:rFonts w:ascii="Times New Roman" w:hAnsi="Times New Roman" w:cs="Times New Roman"/>
          <w:b/>
          <w:bCs/>
          <w:sz w:val="22"/>
          <w:szCs w:val="22"/>
        </w:rPr>
        <w:t>G</w:t>
      </w:r>
      <w:r w:rsidRPr="24FBD350">
        <w:rPr>
          <w:rFonts w:ascii="Times New Roman" w:hAnsi="Times New Roman" w:cs="Times New Roman"/>
          <w:sz w:val="22"/>
          <w:szCs w:val="22"/>
        </w:rPr>
        <w:t xml:space="preserve">, Volcano plots of differentially expressed (DE) genes in aged </w:t>
      </w:r>
      <w:r w:rsidRPr="24FBD350">
        <w:rPr>
          <w:rFonts w:ascii="Times New Roman" w:hAnsi="Times New Roman" w:cs="Times New Roman"/>
          <w:i/>
          <w:iCs/>
          <w:sz w:val="22"/>
          <w:szCs w:val="22"/>
        </w:rPr>
        <w:t>vs</w:t>
      </w:r>
      <w:r w:rsidRPr="24FBD350">
        <w:rPr>
          <w:rFonts w:ascii="Times New Roman" w:hAnsi="Times New Roman" w:cs="Times New Roman"/>
          <w:sz w:val="22"/>
          <w:szCs w:val="22"/>
        </w:rPr>
        <w:t xml:space="preserve"> young and aged+Ri </w:t>
      </w:r>
      <w:r w:rsidRPr="24FBD350">
        <w:rPr>
          <w:rFonts w:ascii="Times New Roman" w:hAnsi="Times New Roman" w:cs="Times New Roman"/>
          <w:i/>
          <w:iCs/>
          <w:sz w:val="22"/>
          <w:szCs w:val="22"/>
        </w:rPr>
        <w:t>vs</w:t>
      </w:r>
      <w:r w:rsidRPr="24FBD350">
        <w:rPr>
          <w:rFonts w:ascii="Times New Roman" w:hAnsi="Times New Roman" w:cs="Times New Roman"/>
          <w:sz w:val="22"/>
          <w:szCs w:val="22"/>
        </w:rPr>
        <w:t xml:space="preserve"> aged (p&lt;0.001). Selected genes are shown. </w:t>
      </w:r>
      <w:r>
        <w:rPr>
          <w:rFonts w:ascii="Times New Roman" w:hAnsi="Times New Roman" w:cs="Times New Roman"/>
          <w:b/>
          <w:bCs/>
          <w:sz w:val="22"/>
          <w:szCs w:val="22"/>
        </w:rPr>
        <w:t>H</w:t>
      </w:r>
      <w:r w:rsidRPr="24FBD350">
        <w:rPr>
          <w:rFonts w:ascii="Times New Roman" w:hAnsi="Times New Roman" w:cs="Times New Roman"/>
          <w:sz w:val="22"/>
          <w:szCs w:val="22"/>
        </w:rPr>
        <w:t xml:space="preserve">, Venn diagram for the number of common DE genes in aged </w:t>
      </w:r>
      <w:r w:rsidRPr="24FBD350">
        <w:rPr>
          <w:rFonts w:ascii="Times New Roman" w:hAnsi="Times New Roman" w:cs="Times New Roman"/>
          <w:i/>
          <w:iCs/>
          <w:sz w:val="22"/>
          <w:szCs w:val="22"/>
        </w:rPr>
        <w:t>vs</w:t>
      </w:r>
      <w:r w:rsidRPr="24FBD350">
        <w:rPr>
          <w:rFonts w:ascii="Times New Roman" w:hAnsi="Times New Roman" w:cs="Times New Roman"/>
          <w:sz w:val="22"/>
          <w:szCs w:val="22"/>
        </w:rPr>
        <w:t xml:space="preserve"> young and aged+Ri </w:t>
      </w:r>
      <w:r w:rsidRPr="24FBD350">
        <w:rPr>
          <w:rFonts w:ascii="Times New Roman" w:hAnsi="Times New Roman" w:cs="Times New Roman"/>
          <w:i/>
          <w:iCs/>
          <w:sz w:val="22"/>
          <w:szCs w:val="22"/>
        </w:rPr>
        <w:t>vs</w:t>
      </w:r>
      <w:r w:rsidRPr="24FBD350">
        <w:rPr>
          <w:rFonts w:ascii="Times New Roman" w:hAnsi="Times New Roman" w:cs="Times New Roman"/>
          <w:sz w:val="22"/>
          <w:szCs w:val="22"/>
        </w:rPr>
        <w:t xml:space="preserve"> aged (p&lt;0.001).</w:t>
      </w:r>
      <w:r w:rsidRPr="24FBD350">
        <w:rPr>
          <w:rFonts w:ascii="Times New Roman" w:hAnsi="Times New Roman" w:cs="Times New Roman"/>
          <w:b/>
          <w:bCs/>
          <w:sz w:val="22"/>
          <w:szCs w:val="22"/>
        </w:rPr>
        <w:t xml:space="preserve"> </w:t>
      </w:r>
      <w:r>
        <w:rPr>
          <w:rFonts w:ascii="Times New Roman" w:hAnsi="Times New Roman" w:cs="Times New Roman"/>
          <w:b/>
          <w:bCs/>
          <w:sz w:val="22"/>
          <w:szCs w:val="22"/>
        </w:rPr>
        <w:t>I</w:t>
      </w:r>
      <w:r w:rsidRPr="24FBD350">
        <w:rPr>
          <w:rFonts w:ascii="Times New Roman" w:hAnsi="Times New Roman" w:cs="Times New Roman"/>
          <w:sz w:val="22"/>
          <w:szCs w:val="22"/>
        </w:rPr>
        <w:t xml:space="preserve">, Venn diagram for the number of common DE </w:t>
      </w:r>
      <w:r>
        <w:rPr>
          <w:rFonts w:ascii="Times New Roman" w:hAnsi="Times New Roman" w:cs="Times New Roman"/>
          <w:sz w:val="22"/>
          <w:szCs w:val="22"/>
        </w:rPr>
        <w:t>retrotranspon</w:t>
      </w:r>
      <w:r w:rsidRPr="24FBD350">
        <w:rPr>
          <w:rFonts w:ascii="Times New Roman" w:hAnsi="Times New Roman" w:cs="Times New Roman"/>
          <w:sz w:val="22"/>
          <w:szCs w:val="22"/>
        </w:rPr>
        <w:t xml:space="preserve"> subfamilies in aged </w:t>
      </w:r>
      <w:r w:rsidRPr="24FBD350">
        <w:rPr>
          <w:rFonts w:ascii="Times New Roman" w:hAnsi="Times New Roman" w:cs="Times New Roman"/>
          <w:i/>
          <w:iCs/>
          <w:sz w:val="22"/>
          <w:szCs w:val="22"/>
        </w:rPr>
        <w:t>vs</w:t>
      </w:r>
      <w:r w:rsidRPr="24FBD350">
        <w:rPr>
          <w:rFonts w:ascii="Times New Roman" w:hAnsi="Times New Roman" w:cs="Times New Roman"/>
          <w:sz w:val="22"/>
          <w:szCs w:val="22"/>
        </w:rPr>
        <w:t xml:space="preserve"> young and aged+Ri </w:t>
      </w:r>
      <w:r w:rsidRPr="24FBD350">
        <w:rPr>
          <w:rFonts w:ascii="Times New Roman" w:hAnsi="Times New Roman" w:cs="Times New Roman"/>
          <w:i/>
          <w:iCs/>
          <w:sz w:val="22"/>
          <w:szCs w:val="22"/>
        </w:rPr>
        <w:t>vs</w:t>
      </w:r>
      <w:r w:rsidRPr="24FBD350">
        <w:rPr>
          <w:rFonts w:ascii="Times New Roman" w:hAnsi="Times New Roman" w:cs="Times New Roman"/>
          <w:sz w:val="22"/>
          <w:szCs w:val="22"/>
        </w:rPr>
        <w:t xml:space="preserve"> aged (p&lt;0.005). </w:t>
      </w:r>
      <w:r>
        <w:rPr>
          <w:rFonts w:ascii="Times New Roman" w:hAnsi="Times New Roman" w:cs="Times New Roman"/>
          <w:b/>
          <w:bCs/>
          <w:sz w:val="22"/>
          <w:szCs w:val="22"/>
        </w:rPr>
        <w:t>J</w:t>
      </w:r>
      <w:r w:rsidRPr="24FBD350">
        <w:rPr>
          <w:rFonts w:ascii="Times New Roman" w:hAnsi="Times New Roman" w:cs="Times New Roman"/>
          <w:b/>
          <w:bCs/>
          <w:sz w:val="22"/>
          <w:szCs w:val="22"/>
        </w:rPr>
        <w:t>-</w:t>
      </w:r>
      <w:r>
        <w:rPr>
          <w:rFonts w:ascii="Times New Roman" w:hAnsi="Times New Roman" w:cs="Times New Roman"/>
          <w:b/>
          <w:bCs/>
          <w:sz w:val="22"/>
          <w:szCs w:val="22"/>
        </w:rPr>
        <w:t>M</w:t>
      </w:r>
      <w:r w:rsidRPr="24FBD350">
        <w:rPr>
          <w:rFonts w:ascii="Times New Roman" w:hAnsi="Times New Roman" w:cs="Times New Roman"/>
          <w:sz w:val="22"/>
          <w:szCs w:val="22"/>
        </w:rPr>
        <w:t>, Enrichment plot and volcano plot for the acute inflammatory response GO term (</w:t>
      </w:r>
      <w:r>
        <w:rPr>
          <w:rFonts w:ascii="Times New Roman" w:hAnsi="Times New Roman" w:cs="Times New Roman"/>
          <w:sz w:val="22"/>
          <w:szCs w:val="22"/>
        </w:rPr>
        <w:t>J</w:t>
      </w:r>
      <w:r w:rsidRPr="24FBD350">
        <w:rPr>
          <w:rFonts w:ascii="Times New Roman" w:hAnsi="Times New Roman" w:cs="Times New Roman"/>
          <w:sz w:val="22"/>
          <w:szCs w:val="22"/>
        </w:rPr>
        <w:t>), the Interferome.org signature (</w:t>
      </w:r>
      <w:r>
        <w:rPr>
          <w:rFonts w:ascii="Times New Roman" w:hAnsi="Times New Roman" w:cs="Times New Roman"/>
          <w:sz w:val="22"/>
          <w:szCs w:val="22"/>
        </w:rPr>
        <w:t>K</w:t>
      </w:r>
      <w:r w:rsidRPr="24FBD350">
        <w:rPr>
          <w:rFonts w:ascii="Times New Roman" w:hAnsi="Times New Roman" w:cs="Times New Roman"/>
          <w:sz w:val="22"/>
          <w:szCs w:val="22"/>
        </w:rPr>
        <w:t>), the interferon-stimulated genes (</w:t>
      </w:r>
      <w:r>
        <w:rPr>
          <w:rFonts w:ascii="Times New Roman" w:hAnsi="Times New Roman" w:cs="Times New Roman"/>
          <w:sz w:val="22"/>
          <w:szCs w:val="22"/>
        </w:rPr>
        <w:t>L</w:t>
      </w:r>
      <w:r w:rsidRPr="24FBD350">
        <w:rPr>
          <w:rFonts w:ascii="Times New Roman" w:hAnsi="Times New Roman" w:cs="Times New Roman"/>
          <w:sz w:val="22"/>
          <w:szCs w:val="22"/>
        </w:rPr>
        <w:t>) and the aging signature (</w:t>
      </w:r>
      <w:r>
        <w:rPr>
          <w:rFonts w:ascii="Times New Roman" w:hAnsi="Times New Roman" w:cs="Times New Roman"/>
          <w:sz w:val="22"/>
          <w:szCs w:val="22"/>
        </w:rPr>
        <w:t>M</w:t>
      </w:r>
      <w:r w:rsidRPr="24FBD350">
        <w:rPr>
          <w:rFonts w:ascii="Times New Roman" w:hAnsi="Times New Roman" w:cs="Times New Roman"/>
          <w:sz w:val="22"/>
          <w:szCs w:val="22"/>
        </w:rPr>
        <w:t xml:space="preserve">) in aged+Ri </w:t>
      </w:r>
      <w:r w:rsidRPr="24FBD350">
        <w:rPr>
          <w:rFonts w:ascii="Times New Roman" w:hAnsi="Times New Roman" w:cs="Times New Roman"/>
          <w:i/>
          <w:iCs/>
          <w:sz w:val="22"/>
          <w:szCs w:val="22"/>
        </w:rPr>
        <w:t>vs</w:t>
      </w:r>
      <w:r w:rsidRPr="24FBD350">
        <w:rPr>
          <w:rFonts w:ascii="Times New Roman" w:hAnsi="Times New Roman" w:cs="Times New Roman"/>
          <w:sz w:val="22"/>
          <w:szCs w:val="22"/>
        </w:rPr>
        <w:t xml:space="preserve"> aged. NES = normalized enrichment score. FDR = false discovery rate. Number of genes used for the analyses is also indicated.</w:t>
      </w:r>
    </w:p>
    <w:p w14:paraId="60B7C39C" w14:textId="77777777" w:rsidR="00B40B5F" w:rsidRPr="00D968AE" w:rsidRDefault="00B40B5F" w:rsidP="00B40B5F">
      <w:pPr>
        <w:spacing w:line="480" w:lineRule="auto"/>
        <w:jc w:val="both"/>
        <w:rPr>
          <w:rFonts w:ascii="Times New Roman" w:hAnsi="Times New Roman" w:cs="Times New Roman"/>
          <w:sz w:val="22"/>
          <w:szCs w:val="22"/>
        </w:rPr>
      </w:pPr>
    </w:p>
    <w:p w14:paraId="04D80FF1" w14:textId="77777777" w:rsidR="00B40B5F" w:rsidRPr="00D968AE" w:rsidRDefault="00B40B5F" w:rsidP="00B40B5F">
      <w:pPr>
        <w:spacing w:line="480" w:lineRule="auto"/>
        <w:jc w:val="both"/>
        <w:rPr>
          <w:rFonts w:ascii="Times New Roman" w:eastAsia="Times New Roman" w:hAnsi="Times New Roman" w:cs="Times New Roman"/>
          <w:b/>
          <w:bCs/>
          <w:color w:val="000000" w:themeColor="text1"/>
          <w:sz w:val="22"/>
          <w:szCs w:val="22"/>
        </w:rPr>
      </w:pPr>
      <w:r w:rsidRPr="24FBD350">
        <w:rPr>
          <w:rFonts w:ascii="Times New Roman" w:hAnsi="Times New Roman" w:cs="Times New Roman"/>
          <w:b/>
          <w:bCs/>
          <w:sz w:val="22"/>
          <w:szCs w:val="22"/>
        </w:rPr>
        <w:t>Figure S</w:t>
      </w:r>
      <w:r>
        <w:rPr>
          <w:rFonts w:ascii="Times New Roman" w:hAnsi="Times New Roman" w:cs="Times New Roman"/>
          <w:b/>
          <w:bCs/>
          <w:sz w:val="22"/>
          <w:szCs w:val="22"/>
        </w:rPr>
        <w:t>6</w:t>
      </w:r>
      <w:r w:rsidRPr="24FBD350">
        <w:rPr>
          <w:rFonts w:ascii="Times New Roman" w:hAnsi="Times New Roman" w:cs="Times New Roman"/>
          <w:b/>
          <w:bCs/>
          <w:sz w:val="22"/>
          <w:szCs w:val="22"/>
        </w:rPr>
        <w:t>| A</w:t>
      </w:r>
      <w:r w:rsidRPr="24FBD350">
        <w:rPr>
          <w:rFonts w:ascii="Times New Roman" w:eastAsia="Times New Roman" w:hAnsi="Times New Roman" w:cs="Times New Roman"/>
          <w:color w:val="000000" w:themeColor="text1"/>
          <w:sz w:val="22"/>
          <w:szCs w:val="22"/>
        </w:rPr>
        <w:t xml:space="preserve">, </w:t>
      </w:r>
      <w:r w:rsidRPr="24FBD350">
        <w:rPr>
          <w:rFonts w:ascii="Times New Roman" w:hAnsi="Times New Roman" w:cs="Times New Roman"/>
          <w:sz w:val="22"/>
          <w:szCs w:val="22"/>
        </w:rPr>
        <w:t>Representative images of 3D confocal reconstruction of young, aged and aged+Ri treated HSCs stained with Klf4 antibody (red) and DAPI (grey). Mann-Whitney two-tailed, *p&lt;0.05</w:t>
      </w:r>
      <w:r w:rsidRPr="24FBD350">
        <w:rPr>
          <w:rFonts w:ascii="Times New Roman" w:eastAsia="Times New Roman" w:hAnsi="Times New Roman" w:cs="Times New Roman"/>
          <w:color w:val="000000" w:themeColor="text1"/>
          <w:sz w:val="22"/>
          <w:szCs w:val="22"/>
        </w:rPr>
        <w:t xml:space="preserve">. </w:t>
      </w:r>
      <w:r w:rsidRPr="24FBD350">
        <w:rPr>
          <w:rFonts w:ascii="Times New Roman" w:hAnsi="Times New Roman" w:cs="Times New Roman"/>
          <w:sz w:val="22"/>
          <w:szCs w:val="22"/>
        </w:rPr>
        <w:t>Experimental mice per arm n=2.</w:t>
      </w:r>
      <w:r w:rsidRPr="24FBD350">
        <w:rPr>
          <w:rFonts w:ascii="Times New Roman" w:eastAsia="Times New Roman" w:hAnsi="Times New Roman" w:cs="Times New Roman"/>
          <w:color w:val="000000" w:themeColor="text1"/>
          <w:sz w:val="22"/>
          <w:szCs w:val="22"/>
        </w:rPr>
        <w:t xml:space="preserve"> </w:t>
      </w:r>
      <w:r w:rsidRPr="000D15F6">
        <w:rPr>
          <w:rFonts w:ascii="Times New Roman" w:eastAsia="Times New Roman" w:hAnsi="Times New Roman" w:cs="Times New Roman"/>
          <w:b/>
          <w:bCs/>
          <w:color w:val="000000" w:themeColor="text1"/>
          <w:sz w:val="22"/>
          <w:szCs w:val="22"/>
        </w:rPr>
        <w:t>B</w:t>
      </w:r>
      <w:r w:rsidRPr="24FBD350">
        <w:rPr>
          <w:rFonts w:ascii="Times New Roman" w:eastAsia="Times New Roman" w:hAnsi="Times New Roman" w:cs="Times New Roman"/>
          <w:color w:val="000000" w:themeColor="text1"/>
          <w:sz w:val="22"/>
          <w:szCs w:val="22"/>
        </w:rPr>
        <w:t xml:space="preserve">, t-statistic for the Klf4-targeted genes in the aged+Ri </w:t>
      </w:r>
      <w:r w:rsidRPr="24FBD350">
        <w:rPr>
          <w:rFonts w:ascii="Times New Roman" w:eastAsia="Times New Roman" w:hAnsi="Times New Roman" w:cs="Times New Roman"/>
          <w:i/>
          <w:iCs/>
          <w:color w:val="000000" w:themeColor="text1"/>
          <w:sz w:val="22"/>
          <w:szCs w:val="22"/>
        </w:rPr>
        <w:t>vs</w:t>
      </w:r>
      <w:r w:rsidRPr="24FBD350">
        <w:rPr>
          <w:rFonts w:ascii="Times New Roman" w:eastAsia="Times New Roman" w:hAnsi="Times New Roman" w:cs="Times New Roman"/>
          <w:color w:val="000000" w:themeColor="text1"/>
          <w:sz w:val="22"/>
          <w:szCs w:val="22"/>
        </w:rPr>
        <w:t xml:space="preserve"> aged comparison in ATAC-seq and RNA-seq. The number of genes with positive (green) and negative (purple) RNA-seq t-statistic is shown. Top upregulated genes are shown. </w:t>
      </w:r>
      <w:r w:rsidRPr="000D15F6">
        <w:rPr>
          <w:rFonts w:ascii="Times New Roman" w:eastAsia="Times New Roman" w:hAnsi="Times New Roman" w:cs="Times New Roman"/>
          <w:b/>
          <w:bCs/>
          <w:color w:val="000000" w:themeColor="text1"/>
          <w:sz w:val="22"/>
          <w:szCs w:val="22"/>
        </w:rPr>
        <w:t>C</w:t>
      </w:r>
      <w:r w:rsidRPr="24FBD350">
        <w:rPr>
          <w:rFonts w:ascii="Times New Roman" w:eastAsia="Times New Roman" w:hAnsi="Times New Roman" w:cs="Times New Roman"/>
          <w:color w:val="000000" w:themeColor="text1"/>
          <w:sz w:val="22"/>
          <w:szCs w:val="22"/>
        </w:rPr>
        <w:t xml:space="preserve">, Main marker genes used for cluster annotation. </w:t>
      </w:r>
      <w:r w:rsidRPr="000D15F6">
        <w:rPr>
          <w:rFonts w:ascii="Times New Roman" w:eastAsia="Times New Roman" w:hAnsi="Times New Roman" w:cs="Times New Roman"/>
          <w:b/>
          <w:bCs/>
          <w:color w:val="000000" w:themeColor="text1"/>
          <w:sz w:val="22"/>
          <w:szCs w:val="22"/>
        </w:rPr>
        <w:t>D</w:t>
      </w:r>
      <w:r w:rsidRPr="24FBD350">
        <w:rPr>
          <w:rFonts w:ascii="Times New Roman" w:eastAsia="Times New Roman" w:hAnsi="Times New Roman" w:cs="Times New Roman"/>
          <w:color w:val="000000" w:themeColor="text1"/>
          <w:sz w:val="22"/>
          <w:szCs w:val="22"/>
        </w:rPr>
        <w:t xml:space="preserve">, Cell scores for the HSC signature (MolO) defined by Wilson et al. </w:t>
      </w:r>
      <w:r w:rsidRPr="000D15F6">
        <w:rPr>
          <w:rFonts w:ascii="Times New Roman" w:eastAsia="Times New Roman" w:hAnsi="Times New Roman" w:cs="Times New Roman"/>
          <w:b/>
          <w:bCs/>
          <w:color w:val="000000" w:themeColor="text1"/>
          <w:sz w:val="22"/>
          <w:szCs w:val="22"/>
        </w:rPr>
        <w:t>E</w:t>
      </w:r>
      <w:r w:rsidRPr="24FBD350">
        <w:rPr>
          <w:rFonts w:ascii="Times New Roman" w:eastAsia="Times New Roman" w:hAnsi="Times New Roman" w:cs="Times New Roman"/>
          <w:b/>
          <w:bCs/>
          <w:color w:val="000000" w:themeColor="text1"/>
          <w:sz w:val="22"/>
          <w:szCs w:val="22"/>
        </w:rPr>
        <w:t>-F</w:t>
      </w:r>
      <w:r w:rsidRPr="24FBD350">
        <w:rPr>
          <w:rFonts w:ascii="Times New Roman" w:eastAsia="Times New Roman" w:hAnsi="Times New Roman" w:cs="Times New Roman"/>
          <w:color w:val="000000" w:themeColor="text1"/>
          <w:sz w:val="22"/>
          <w:szCs w:val="22"/>
        </w:rPr>
        <w:t xml:space="preserve">, Cell assignments for the low/high-output signature by Rodriguez-Fraticelli et al. (E) and the dormant/active signature by Cabezas-Wallscheid et al. (F). </w:t>
      </w:r>
      <w:r w:rsidRPr="000D15F6">
        <w:rPr>
          <w:rFonts w:ascii="Times New Roman" w:eastAsia="Times New Roman" w:hAnsi="Times New Roman" w:cs="Times New Roman"/>
          <w:b/>
          <w:bCs/>
          <w:color w:val="000000" w:themeColor="text1"/>
          <w:sz w:val="22"/>
          <w:szCs w:val="22"/>
        </w:rPr>
        <w:t>G</w:t>
      </w:r>
      <w:r w:rsidRPr="24FBD350">
        <w:rPr>
          <w:rFonts w:ascii="Times New Roman" w:eastAsia="Times New Roman" w:hAnsi="Times New Roman" w:cs="Times New Roman"/>
          <w:color w:val="000000" w:themeColor="text1"/>
          <w:sz w:val="22"/>
          <w:szCs w:val="22"/>
        </w:rPr>
        <w:t xml:space="preserve">, Percentage of cells in each cluster per sample. scCODA's statistically credible changes are shown. *Effects Final Parameter (EFP)&lt;0.5; **EFP&lt;1; ***EFP&lt;1.5. </w:t>
      </w:r>
      <w:r w:rsidRPr="000D15F6">
        <w:rPr>
          <w:rFonts w:ascii="Times New Roman" w:eastAsia="Times New Roman" w:hAnsi="Times New Roman" w:cs="Times New Roman"/>
          <w:b/>
          <w:bCs/>
          <w:color w:val="000000" w:themeColor="text1"/>
          <w:sz w:val="22"/>
          <w:szCs w:val="22"/>
        </w:rPr>
        <w:t>H</w:t>
      </w:r>
      <w:r w:rsidRPr="24FBD350">
        <w:rPr>
          <w:rFonts w:ascii="Times New Roman" w:eastAsia="Times New Roman" w:hAnsi="Times New Roman" w:cs="Times New Roman"/>
          <w:color w:val="000000" w:themeColor="text1"/>
          <w:sz w:val="22"/>
          <w:szCs w:val="22"/>
        </w:rPr>
        <w:t xml:space="preserve">, Log2FC against the average normalized expression for the DE analysis in aged </w:t>
      </w:r>
      <w:r w:rsidRPr="24FBD350">
        <w:rPr>
          <w:rFonts w:ascii="Times New Roman" w:eastAsia="Times New Roman" w:hAnsi="Times New Roman" w:cs="Times New Roman"/>
          <w:i/>
          <w:iCs/>
          <w:color w:val="000000" w:themeColor="text1"/>
          <w:sz w:val="22"/>
          <w:szCs w:val="22"/>
        </w:rPr>
        <w:t>vs</w:t>
      </w:r>
      <w:r w:rsidRPr="24FBD350">
        <w:rPr>
          <w:rFonts w:ascii="Times New Roman" w:eastAsia="Times New Roman" w:hAnsi="Times New Roman" w:cs="Times New Roman"/>
          <w:color w:val="000000" w:themeColor="text1"/>
          <w:sz w:val="22"/>
          <w:szCs w:val="22"/>
        </w:rPr>
        <w:t xml:space="preserve"> young and aged+Ri </w:t>
      </w:r>
      <w:r w:rsidRPr="24FBD350">
        <w:rPr>
          <w:rFonts w:ascii="Times New Roman" w:eastAsia="Times New Roman" w:hAnsi="Times New Roman" w:cs="Times New Roman"/>
          <w:i/>
          <w:iCs/>
          <w:color w:val="000000" w:themeColor="text1"/>
          <w:sz w:val="22"/>
          <w:szCs w:val="22"/>
        </w:rPr>
        <w:t>vs</w:t>
      </w:r>
      <w:r w:rsidRPr="24FBD350">
        <w:rPr>
          <w:rFonts w:ascii="Times New Roman" w:eastAsia="Times New Roman" w:hAnsi="Times New Roman" w:cs="Times New Roman"/>
          <w:color w:val="000000" w:themeColor="text1"/>
          <w:sz w:val="22"/>
          <w:szCs w:val="22"/>
        </w:rPr>
        <w:t xml:space="preserve"> aged in the HSC cluster (</w:t>
      </w:r>
      <w:r w:rsidRPr="24FBD350">
        <w:rPr>
          <w:rFonts w:ascii="Times New Roman" w:hAnsi="Times New Roman" w:cs="Times New Roman"/>
          <w:color w:val="000000" w:themeColor="text1"/>
          <w:sz w:val="22"/>
          <w:szCs w:val="22"/>
        </w:rPr>
        <w:t xml:space="preserve">|log2FC| &gt; 1 and </w:t>
      </w:r>
      <w:r w:rsidRPr="24FBD350">
        <w:rPr>
          <w:rFonts w:ascii="Times New Roman" w:hAnsi="Times New Roman" w:cs="Times New Roman"/>
          <w:color w:val="000000" w:themeColor="text1"/>
          <w:sz w:val="22"/>
          <w:szCs w:val="22"/>
        </w:rPr>
        <w:lastRenderedPageBreak/>
        <w:t>FDR &lt; 0.05</w:t>
      </w:r>
      <w:r w:rsidRPr="24FBD350">
        <w:rPr>
          <w:rFonts w:ascii="Times New Roman" w:eastAsia="Times New Roman" w:hAnsi="Times New Roman" w:cs="Times New Roman"/>
          <w:color w:val="000000" w:themeColor="text1"/>
          <w:sz w:val="22"/>
          <w:szCs w:val="22"/>
        </w:rPr>
        <w:t xml:space="preserve">). Selected genes are shown. </w:t>
      </w:r>
      <w:r w:rsidRPr="000D15F6">
        <w:rPr>
          <w:rFonts w:ascii="Times New Roman" w:eastAsia="Times New Roman" w:hAnsi="Times New Roman" w:cs="Times New Roman"/>
          <w:b/>
          <w:bCs/>
          <w:color w:val="000000" w:themeColor="text1"/>
          <w:sz w:val="22"/>
          <w:szCs w:val="22"/>
        </w:rPr>
        <w:t>I</w:t>
      </w:r>
      <w:r w:rsidRPr="24FBD350">
        <w:rPr>
          <w:rFonts w:ascii="Times New Roman" w:eastAsia="Times New Roman" w:hAnsi="Times New Roman" w:cs="Times New Roman"/>
          <w:color w:val="000000" w:themeColor="text1"/>
          <w:sz w:val="22"/>
          <w:szCs w:val="22"/>
        </w:rPr>
        <w:t>, Ctcf and Hoxa10 active cells (AUC &gt; 0.007 and 0.01, respectively) in the UMAP.</w:t>
      </w:r>
      <w:r w:rsidRPr="24FBD350">
        <w:rPr>
          <w:rFonts w:ascii="Times New Roman" w:eastAsia="Times New Roman" w:hAnsi="Times New Roman" w:cs="Times New Roman"/>
          <w:b/>
          <w:bCs/>
          <w:color w:val="000000" w:themeColor="text1"/>
          <w:sz w:val="22"/>
          <w:szCs w:val="22"/>
        </w:rPr>
        <w:t xml:space="preserve"> </w:t>
      </w:r>
    </w:p>
    <w:p w14:paraId="6FE842FA" w14:textId="77777777" w:rsidR="00B40B5F" w:rsidRPr="00D968AE" w:rsidRDefault="00B40B5F" w:rsidP="00B40B5F">
      <w:pPr>
        <w:spacing w:line="480" w:lineRule="auto"/>
        <w:jc w:val="both"/>
        <w:rPr>
          <w:rFonts w:ascii="Times New Roman" w:eastAsia="Times New Roman" w:hAnsi="Times New Roman" w:cs="Times New Roman"/>
          <w:color w:val="000000" w:themeColor="text1"/>
          <w:sz w:val="22"/>
          <w:szCs w:val="22"/>
        </w:rPr>
      </w:pPr>
      <w:r w:rsidRPr="24FBD350">
        <w:rPr>
          <w:rFonts w:ascii="Times New Roman" w:hAnsi="Times New Roman" w:cs="Times New Roman"/>
          <w:b/>
          <w:bCs/>
          <w:sz w:val="22"/>
          <w:szCs w:val="22"/>
        </w:rPr>
        <w:t>Figure S</w:t>
      </w:r>
      <w:r>
        <w:rPr>
          <w:rFonts w:ascii="Times New Roman" w:hAnsi="Times New Roman" w:cs="Times New Roman"/>
          <w:b/>
          <w:bCs/>
          <w:sz w:val="22"/>
          <w:szCs w:val="22"/>
        </w:rPr>
        <w:t>7</w:t>
      </w:r>
      <w:r w:rsidRPr="24FBD350">
        <w:rPr>
          <w:rFonts w:ascii="Times New Roman" w:hAnsi="Times New Roman" w:cs="Times New Roman"/>
          <w:b/>
          <w:bCs/>
          <w:sz w:val="22"/>
          <w:szCs w:val="22"/>
        </w:rPr>
        <w:t>|</w:t>
      </w:r>
      <w:r w:rsidRPr="24FBD350">
        <w:rPr>
          <w:rFonts w:ascii="Times New Roman" w:eastAsia="Times New Roman" w:hAnsi="Times New Roman" w:cs="Times New Roman"/>
          <w:b/>
          <w:bCs/>
          <w:color w:val="000000" w:themeColor="text1"/>
          <w:sz w:val="22"/>
          <w:szCs w:val="22"/>
        </w:rPr>
        <w:t xml:space="preserve"> A</w:t>
      </w:r>
      <w:r w:rsidRPr="24FBD350">
        <w:rPr>
          <w:rFonts w:ascii="Times New Roman" w:eastAsia="Times New Roman" w:hAnsi="Times New Roman" w:cs="Times New Roman"/>
          <w:color w:val="000000" w:themeColor="text1"/>
          <w:sz w:val="22"/>
          <w:szCs w:val="22"/>
        </w:rPr>
        <w:t xml:space="preserve">, Representative images of 3D confocal reconstruction of young, aged and aged+Ri HSCs stained with anti-H4K16ac antibody (green), RhoAGTP (red), and DAPI (gray) as reference. Dotted line indicates symmetry axes. The graph shows quantification of polar cell number for H4K16ac. N=3-5. 50 cells were counted per sample, per experiment, one-way Anova, *p&lt;0.05; **p&lt;0.01. </w:t>
      </w:r>
      <w:r w:rsidRPr="000D15F6">
        <w:rPr>
          <w:rFonts w:ascii="Times New Roman" w:eastAsia="Times New Roman" w:hAnsi="Times New Roman" w:cs="Times New Roman"/>
          <w:b/>
          <w:bCs/>
          <w:color w:val="000000" w:themeColor="text1"/>
          <w:sz w:val="22"/>
          <w:szCs w:val="22"/>
        </w:rPr>
        <w:t>B</w:t>
      </w:r>
      <w:r w:rsidRPr="24FBD350">
        <w:rPr>
          <w:rFonts w:ascii="Times New Roman" w:eastAsia="Times New Roman" w:hAnsi="Times New Roman" w:cs="Times New Roman"/>
          <w:color w:val="000000" w:themeColor="text1"/>
          <w:sz w:val="22"/>
          <w:szCs w:val="22"/>
        </w:rPr>
        <w:t>,</w:t>
      </w:r>
      <w:r w:rsidRPr="24FBD350">
        <w:rPr>
          <w:rFonts w:ascii="Times New Roman" w:hAnsi="Times New Roman" w:cs="Times New Roman"/>
          <w:b/>
          <w:bCs/>
          <w:color w:val="000000" w:themeColor="text1"/>
          <w:sz w:val="22"/>
          <w:szCs w:val="22"/>
        </w:rPr>
        <w:t xml:space="preserve"> </w:t>
      </w:r>
      <w:r w:rsidRPr="24FBD350">
        <w:rPr>
          <w:rFonts w:ascii="Times New Roman" w:hAnsi="Times New Roman" w:cs="Times New Roman"/>
          <w:color w:val="000000" w:themeColor="text1"/>
          <w:sz w:val="22"/>
          <w:szCs w:val="22"/>
        </w:rPr>
        <w:t xml:space="preserve">Percentage of engraftment in bone marrow at 20wk post-transplantation, n=4 Mann-Whitney test, unpaired two-tailed. </w:t>
      </w:r>
      <w:r w:rsidRPr="000D15F6">
        <w:rPr>
          <w:rFonts w:ascii="Times New Roman" w:hAnsi="Times New Roman" w:cs="Times New Roman"/>
          <w:b/>
          <w:bCs/>
          <w:color w:val="000000" w:themeColor="text1"/>
          <w:sz w:val="22"/>
          <w:szCs w:val="22"/>
        </w:rPr>
        <w:t>C</w:t>
      </w:r>
      <w:r w:rsidRPr="24FBD350">
        <w:rPr>
          <w:rFonts w:ascii="Times New Roman" w:hAnsi="Times New Roman" w:cs="Times New Roman"/>
          <w:color w:val="000000" w:themeColor="text1"/>
          <w:sz w:val="22"/>
          <w:szCs w:val="22"/>
        </w:rPr>
        <w:t>,</w:t>
      </w:r>
      <w:r w:rsidRPr="24FBD350">
        <w:rPr>
          <w:rFonts w:ascii="Times New Roman" w:hAnsi="Times New Roman" w:cs="Times New Roman"/>
          <w:b/>
          <w:bCs/>
          <w:color w:val="000000" w:themeColor="text1"/>
          <w:sz w:val="22"/>
          <w:szCs w:val="22"/>
        </w:rPr>
        <w:t xml:space="preserve"> </w:t>
      </w:r>
      <w:r w:rsidRPr="24FBD350">
        <w:rPr>
          <w:rFonts w:ascii="Times New Roman" w:hAnsi="Times New Roman" w:cs="Times New Roman"/>
          <w:color w:val="000000" w:themeColor="text1"/>
          <w:sz w:val="22"/>
          <w:szCs w:val="22"/>
        </w:rPr>
        <w:t xml:space="preserve">Percentage of HSC derived from transplantation 20wk after transplantation, n=4 Mann-Whitney test, unpaired two-tailed. </w:t>
      </w:r>
    </w:p>
    <w:p w14:paraId="6FE7FD6D"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B5F"/>
    <w:rsid w:val="00235F39"/>
    <w:rsid w:val="0038214D"/>
    <w:rsid w:val="00A473C8"/>
    <w:rsid w:val="00AD7A41"/>
    <w:rsid w:val="00AE732B"/>
    <w:rsid w:val="00B40B5F"/>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18E4A5"/>
  <w15:chartTrackingRefBased/>
  <w15:docId w15:val="{0C2318AF-BEC8-4AC8-A7E3-726003C8E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B5F"/>
    <w:pPr>
      <w:suppressAutoHyphens/>
      <w:spacing w:after="0" w:line="240" w:lineRule="auto"/>
    </w:pPr>
    <w:rPr>
      <w:kern w:val="0"/>
      <w14:ligatures w14:val="none"/>
    </w:rPr>
  </w:style>
  <w:style w:type="paragraph" w:styleId="Heading1">
    <w:name w:val="heading 1"/>
    <w:basedOn w:val="Normal"/>
    <w:next w:val="Normal"/>
    <w:link w:val="Heading1Char"/>
    <w:uiPriority w:val="9"/>
    <w:qFormat/>
    <w:rsid w:val="00B40B5F"/>
    <w:pPr>
      <w:keepNext/>
      <w:keepLines/>
      <w:suppressAutoHyphens w:val="0"/>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B40B5F"/>
    <w:pPr>
      <w:keepNext/>
      <w:keepLines/>
      <w:suppressAutoHyphens w:val="0"/>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B40B5F"/>
    <w:pPr>
      <w:keepNext/>
      <w:keepLines/>
      <w:suppressAutoHyphens w:val="0"/>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B40B5F"/>
    <w:pPr>
      <w:keepNext/>
      <w:keepLines/>
      <w:suppressAutoHyphens w:val="0"/>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B40B5F"/>
    <w:pPr>
      <w:keepNext/>
      <w:keepLines/>
      <w:suppressAutoHyphens w:val="0"/>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B40B5F"/>
    <w:pPr>
      <w:keepNext/>
      <w:keepLines/>
      <w:suppressAutoHyphens w:val="0"/>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B40B5F"/>
    <w:pPr>
      <w:keepNext/>
      <w:keepLines/>
      <w:suppressAutoHyphens w:val="0"/>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B40B5F"/>
    <w:pPr>
      <w:keepNext/>
      <w:keepLines/>
      <w:suppressAutoHyphens w:val="0"/>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B40B5F"/>
    <w:pPr>
      <w:keepNext/>
      <w:keepLines/>
      <w:suppressAutoHyphens w:val="0"/>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0B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40B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40B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40B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40B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40B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0B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0B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0B5F"/>
    <w:rPr>
      <w:rFonts w:eastAsiaTheme="majorEastAsia" w:cstheme="majorBidi"/>
      <w:color w:val="272727" w:themeColor="text1" w:themeTint="D8"/>
    </w:rPr>
  </w:style>
  <w:style w:type="paragraph" w:styleId="Title">
    <w:name w:val="Title"/>
    <w:basedOn w:val="Normal"/>
    <w:next w:val="Normal"/>
    <w:link w:val="TitleChar"/>
    <w:uiPriority w:val="10"/>
    <w:qFormat/>
    <w:rsid w:val="00B40B5F"/>
    <w:pPr>
      <w:suppressAutoHyphens w:val="0"/>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B40B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0B5F"/>
    <w:pPr>
      <w:numPr>
        <w:ilvl w:val="1"/>
      </w:numPr>
      <w:suppressAutoHyphens w:val="0"/>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B40B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0B5F"/>
    <w:pPr>
      <w:suppressAutoHyphens w:val="0"/>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B40B5F"/>
    <w:rPr>
      <w:i/>
      <w:iCs/>
      <w:color w:val="404040" w:themeColor="text1" w:themeTint="BF"/>
    </w:rPr>
  </w:style>
  <w:style w:type="paragraph" w:styleId="ListParagraph">
    <w:name w:val="List Paragraph"/>
    <w:basedOn w:val="Normal"/>
    <w:uiPriority w:val="34"/>
    <w:qFormat/>
    <w:rsid w:val="00B40B5F"/>
    <w:pPr>
      <w:suppressAutoHyphens w:val="0"/>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B40B5F"/>
    <w:rPr>
      <w:i/>
      <w:iCs/>
      <w:color w:val="0F4761" w:themeColor="accent1" w:themeShade="BF"/>
    </w:rPr>
  </w:style>
  <w:style w:type="paragraph" w:styleId="IntenseQuote">
    <w:name w:val="Intense Quote"/>
    <w:basedOn w:val="Normal"/>
    <w:next w:val="Normal"/>
    <w:link w:val="IntenseQuoteChar"/>
    <w:uiPriority w:val="30"/>
    <w:qFormat/>
    <w:rsid w:val="00B40B5F"/>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B40B5F"/>
    <w:rPr>
      <w:i/>
      <w:iCs/>
      <w:color w:val="0F4761" w:themeColor="accent1" w:themeShade="BF"/>
    </w:rPr>
  </w:style>
  <w:style w:type="character" w:styleId="IntenseReference">
    <w:name w:val="Intense Reference"/>
    <w:basedOn w:val="DefaultParagraphFont"/>
    <w:uiPriority w:val="32"/>
    <w:qFormat/>
    <w:rsid w:val="00B40B5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1549</Words>
  <Characters>8832</Characters>
  <Application>Microsoft Office Word</Application>
  <DocSecurity>0</DocSecurity>
  <Lines>73</Lines>
  <Paragraphs>20</Paragraphs>
  <ScaleCrop>false</ScaleCrop>
  <Company>Springer Nature</Company>
  <LinksUpToDate>false</LinksUpToDate>
  <CharactersWithSpaces>10361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2025-05-02T07:49:00Z</dcterms:created>
  <dcterms:modified xsi:type="dcterms:W3CDTF">2025-05-02T07:50:00Z</dcterms:modified>
</cp:coreProperties>
</file>