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bookmarkStart w:id="0" w:name="OLE_LINK1"/>
      <w:r>
        <w:rPr>
          <w:b/>
          <w:sz w:val="32"/>
          <w:szCs w:val="32"/>
        </w:rPr>
        <w:t>Supplementary Materials</w:t>
      </w:r>
    </w:p>
    <w:p>
      <w:pPr>
        <w:jc w:val="center"/>
        <w:rPr>
          <w:b/>
          <w:sz w:val="32"/>
          <w:szCs w:val="32"/>
        </w:rPr>
      </w:pPr>
    </w:p>
    <w:p>
      <w:pPr>
        <w:rPr>
          <w:b/>
          <w:sz w:val="30"/>
          <w:szCs w:val="30"/>
        </w:rPr>
      </w:pPr>
      <w:r>
        <w:rPr>
          <w:rFonts w:hint="eastAsia"/>
          <w:b/>
          <w:sz w:val="30"/>
          <w:szCs w:val="30"/>
        </w:rPr>
        <w:t>1</w:t>
      </w:r>
      <w:r>
        <w:rPr>
          <w:b/>
          <w:sz w:val="30"/>
          <w:szCs w:val="30"/>
        </w:rPr>
        <w:t>. Chemicals and Reagents</w:t>
      </w:r>
    </w:p>
    <w:p>
      <w:pPr>
        <w:rPr>
          <w:b/>
          <w:sz w:val="30"/>
          <w:szCs w:val="30"/>
        </w:rPr>
      </w:pPr>
      <w:r>
        <w:rPr>
          <w:b/>
          <w:sz w:val="30"/>
          <w:szCs w:val="30"/>
        </w:rPr>
        <w:t>2. Supplementary Figures</w:t>
      </w:r>
    </w:p>
    <w:p>
      <w:pPr>
        <w:rPr>
          <w:rFonts w:hint="eastAsia"/>
          <w:b/>
          <w:sz w:val="30"/>
          <w:szCs w:val="30"/>
        </w:rPr>
      </w:pPr>
      <w:r>
        <w:rPr>
          <w:b/>
          <w:sz w:val="30"/>
          <w:szCs w:val="30"/>
        </w:rPr>
        <w:t>3. Supplementary Tables</w:t>
      </w:r>
    </w:p>
    <w:p>
      <w:pPr>
        <w:spacing w:before="156" w:beforeLines="50"/>
        <w:rPr>
          <w:b/>
          <w:sz w:val="32"/>
          <w:szCs w:val="32"/>
        </w:rPr>
      </w:pPr>
      <w:r>
        <w:rPr>
          <w:rFonts w:hint="eastAsia"/>
          <w:b/>
          <w:sz w:val="32"/>
          <w:szCs w:val="32"/>
        </w:rPr>
        <w:t>1</w:t>
      </w:r>
      <w:r>
        <w:rPr>
          <w:b/>
          <w:sz w:val="32"/>
          <w:szCs w:val="32"/>
        </w:rPr>
        <w:t>. Chemicals and Reagents</w:t>
      </w:r>
    </w:p>
    <w:p>
      <w:pPr>
        <w:spacing w:line="360" w:lineRule="auto"/>
        <w:rPr>
          <w:sz w:val="24"/>
        </w:rPr>
      </w:pPr>
      <w:bookmarkStart w:id="1" w:name="OLE_LINK176"/>
      <w:r>
        <w:rPr>
          <w:color w:val="131313"/>
          <w:kern w:val="0"/>
          <w:sz w:val="24"/>
        </w:rPr>
        <w:t>Vandetanib, afatinib, lapatinib, sunitinib, sorafenib, and erlotinib</w:t>
      </w:r>
      <w:bookmarkEnd w:id="1"/>
      <w:r>
        <w:rPr>
          <w:color w:val="131313"/>
          <w:kern w:val="0"/>
          <w:sz w:val="24"/>
        </w:rPr>
        <w:t xml:space="preserve"> were purchased from Ange Pharmaceutical (Nanjing, China)</w:t>
      </w:r>
      <w:r>
        <w:rPr>
          <w:sz w:val="24"/>
        </w:rPr>
        <w:t xml:space="preserve">. NVP-BHG712 was purchased from Sigma-Aldrich (St. Louis, MO, USA). </w:t>
      </w:r>
      <w:r>
        <w:rPr>
          <w:kern w:val="0"/>
          <w:sz w:val="24"/>
        </w:rPr>
        <w:t xml:space="preserve">K562, JLTRG and H9 cells were from Shanghai Institute of Cell Biology in the Chinese Academy of Sciences (Shanghai, China). Imatinib-resistant K562 cell line was from Anhui Provincial Hospital </w:t>
      </w:r>
      <w:r>
        <w:rPr>
          <w:rFonts w:hint="eastAsia"/>
          <w:kern w:val="0"/>
          <w:sz w:val="24"/>
        </w:rPr>
        <w:t>of</w:t>
      </w:r>
      <w:r>
        <w:rPr>
          <w:kern w:val="0"/>
          <w:sz w:val="24"/>
        </w:rPr>
        <w:t xml:space="preserve"> Anhui Medical University, China. </w:t>
      </w:r>
      <w:r>
        <w:rPr>
          <w:sz w:val="24"/>
        </w:rPr>
        <w:t>BaF3 cells and BaF3-EphB4 cells</w:t>
      </w:r>
      <w:r>
        <w:rPr>
          <w:kern w:val="0"/>
          <w:sz w:val="24"/>
        </w:rPr>
        <w:t xml:space="preserve"> from </w:t>
      </w:r>
      <w:r>
        <w:rPr>
          <w:rFonts w:hint="eastAsia"/>
          <w:kern w:val="0"/>
          <w:sz w:val="24"/>
        </w:rPr>
        <w:t>P</w:t>
      </w:r>
      <w:r>
        <w:rPr>
          <w:kern w:val="0"/>
          <w:sz w:val="24"/>
        </w:rPr>
        <w:t xml:space="preserve">recedo, Hefei, Anhui. Blood samples of the leukemia patients and health people were donated from </w:t>
      </w:r>
      <w:r>
        <w:rPr>
          <w:rFonts w:hint="eastAsia"/>
          <w:kern w:val="0"/>
          <w:sz w:val="24"/>
        </w:rPr>
        <w:t>prof.</w:t>
      </w:r>
      <w:r>
        <w:rPr>
          <w:kern w:val="0"/>
          <w:sz w:val="24"/>
        </w:rPr>
        <w:t xml:space="preserve"> Yanhong Ji of pathogen biology and immunology, Xi’an jiaotong university.</w:t>
      </w:r>
      <w:r>
        <w:rPr>
          <w:sz w:val="24"/>
        </w:rPr>
        <w:t xml:space="preserve"> Iscove's Modified Dulbecco's Medium (IMDM), RPMI 1640 medium, trypsin, 3-(4,5-dimethylthiazol-2-yl)-2.5-diphenyl-2H-tetrazolium bromide (MTT) and dimethylsulfoxide (DMSO) were purchased from </w:t>
      </w:r>
      <w:bookmarkStart w:id="2" w:name="OLE_LINK115"/>
      <w:bookmarkStart w:id="3" w:name="OLE_LINK127"/>
      <w:r>
        <w:rPr>
          <w:sz w:val="24"/>
        </w:rPr>
        <w:t>Sigma-Aldrich (St. Louis, MO, USA)</w:t>
      </w:r>
      <w:bookmarkEnd w:id="2"/>
      <w:bookmarkEnd w:id="3"/>
      <w:r>
        <w:rPr>
          <w:sz w:val="24"/>
        </w:rPr>
        <w:t>. The RNAfast200 kit was purchased from Fastagen (Shanghai, China) and lipofectamine 2000 reagent was purchased from Invitrogen (Carlsbad, USA). PrimeScript RT Master Mix Perfect Real Time kit, SYBR</w:t>
      </w:r>
      <w:r>
        <w:rPr>
          <w:sz w:val="24"/>
          <w:vertAlign w:val="superscript"/>
        </w:rPr>
        <w:t>®</w:t>
      </w:r>
      <w:r>
        <w:rPr>
          <w:sz w:val="24"/>
        </w:rPr>
        <w:t xml:space="preserve"> Premix Ex TaqTM II and a Thermal Cycle Dice Real time system were purchased from TaKaRa (DRR036A) biotechnology (Dalian, China). </w:t>
      </w:r>
    </w:p>
    <w:p>
      <w:pPr>
        <w:spacing w:line="360" w:lineRule="auto"/>
        <w:ind w:firstLine="480" w:firstLineChars="200"/>
        <w:rPr>
          <w:kern w:val="0"/>
          <w:sz w:val="24"/>
        </w:rPr>
      </w:pPr>
      <w:r>
        <w:rPr>
          <w:rFonts w:eastAsia="TimesNewRoman"/>
          <w:kern w:val="0"/>
          <w:sz w:val="24"/>
        </w:rPr>
        <w:t>Annexin V-FITC apoptosis detection kit was purchased from Beyotime Institute of Biotechnology (Shanghai, China). EphB4 proteins (ag10042 and ag16996) were from proteintech (Wuhan, China). EphB4 kinase obtained from Carna Biosciences (Kobe, Japan). Kinase-Glo Plus luminescence kinase assay kit was from promega (Madison, WI, USA). EphB4 lentivirus was from VectorBuilder Inc.</w:t>
      </w:r>
      <w:r>
        <w:rPr>
          <w:rFonts w:hint="eastAsia" w:eastAsia="TimesNewRoman"/>
          <w:kern w:val="0"/>
          <w:sz w:val="24"/>
        </w:rPr>
        <w:t xml:space="preserve"> (</w:t>
      </w:r>
      <w:r>
        <w:rPr>
          <w:rFonts w:eastAsia="TimesNewRoman"/>
          <w:kern w:val="0"/>
          <w:sz w:val="24"/>
        </w:rPr>
        <w:t>Guangzhou, China).</w:t>
      </w:r>
    </w:p>
    <w:p>
      <w:pPr>
        <w:spacing w:line="360" w:lineRule="auto"/>
        <w:ind w:firstLine="480" w:firstLineChars="200"/>
        <w:rPr>
          <w:sz w:val="24"/>
        </w:rPr>
      </w:pPr>
      <w:r>
        <w:rPr>
          <w:rFonts w:eastAsia="TimesNewRoman"/>
          <w:sz w:val="24"/>
        </w:rPr>
        <w:t xml:space="preserve">The </w:t>
      </w:r>
      <w:r>
        <w:rPr>
          <w:rFonts w:eastAsia="TimesNewRoman"/>
          <w:kern w:val="0"/>
          <w:sz w:val="24"/>
        </w:rPr>
        <w:t>mcl-1</w:t>
      </w:r>
      <w:r>
        <w:rPr>
          <w:rFonts w:eastAsia="TimesNewRoman"/>
          <w:sz w:val="24"/>
        </w:rPr>
        <w:t xml:space="preserve"> polyclonal antibody (working dilution: 1:1000), </w:t>
      </w:r>
      <w:r>
        <w:rPr>
          <w:rFonts w:eastAsia="TimesNewRoman"/>
          <w:kern w:val="0"/>
          <w:sz w:val="24"/>
        </w:rPr>
        <w:t>Bad</w:t>
      </w:r>
      <w:r>
        <w:rPr>
          <w:rFonts w:eastAsia="TimesNewRoman"/>
          <w:sz w:val="24"/>
        </w:rPr>
        <w:t xml:space="preserve"> polyclonal antibody (1:500 dilution), </w:t>
      </w:r>
      <w:r>
        <w:rPr>
          <w:rFonts w:eastAsia="TimesNewRoman"/>
          <w:kern w:val="0"/>
          <w:sz w:val="24"/>
        </w:rPr>
        <w:t>Bcl-2</w:t>
      </w:r>
      <w:r>
        <w:rPr>
          <w:rFonts w:eastAsia="TimesNewRoman"/>
          <w:sz w:val="24"/>
        </w:rPr>
        <w:t xml:space="preserve"> polyclonal antibody (1:1000 dilution), </w:t>
      </w:r>
      <w:r>
        <w:rPr>
          <w:rFonts w:eastAsia="TimesNewRoman"/>
          <w:kern w:val="0"/>
          <w:sz w:val="24"/>
        </w:rPr>
        <w:t>Bax</w:t>
      </w:r>
      <w:r>
        <w:rPr>
          <w:rFonts w:eastAsia="TimesNewRoman"/>
          <w:sz w:val="24"/>
        </w:rPr>
        <w:t xml:space="preserve"> polyclonal antibody (1:1000 dilution), and </w:t>
      </w:r>
      <w:r>
        <w:rPr>
          <w:rFonts w:eastAsia="TimesNewRoman"/>
          <w:kern w:val="0"/>
          <w:sz w:val="24"/>
        </w:rPr>
        <w:t>Bak</w:t>
      </w:r>
      <w:r>
        <w:rPr>
          <w:rFonts w:eastAsia="TimesNewRoman"/>
          <w:sz w:val="24"/>
        </w:rPr>
        <w:t xml:space="preserve"> polyclonal antibody (1:1000 dilution) </w:t>
      </w:r>
      <w:r>
        <w:rPr>
          <w:rFonts w:eastAsia="TimesNewRoman"/>
          <w:kern w:val="0"/>
          <w:sz w:val="24"/>
        </w:rPr>
        <w:t xml:space="preserve">were purchased from Protein technology Group (Chicago, Illinois, USA). </w:t>
      </w:r>
      <w:r>
        <w:rPr>
          <w:rFonts w:eastAsia="TimesNewRoman"/>
          <w:sz w:val="24"/>
        </w:rPr>
        <w:t xml:space="preserve">The </w:t>
      </w:r>
      <w:r>
        <w:rPr>
          <w:rFonts w:eastAsia="TimesNewRoman"/>
          <w:kern w:val="0"/>
          <w:sz w:val="24"/>
        </w:rPr>
        <w:t>EphB4</w:t>
      </w:r>
      <w:r>
        <w:rPr>
          <w:rFonts w:eastAsia="TimesNewRoman"/>
          <w:sz w:val="24"/>
        </w:rPr>
        <w:t xml:space="preserve"> polyclonal antibody (1:1000 dilution) </w:t>
      </w:r>
      <w:r>
        <w:rPr>
          <w:rFonts w:eastAsia="TimesNewRoman"/>
          <w:kern w:val="0"/>
          <w:sz w:val="24"/>
        </w:rPr>
        <w:t xml:space="preserve">was purchased from Cell Signaling (Boston, Massachusetts, USA). </w:t>
      </w:r>
      <w:r>
        <w:rPr>
          <w:rFonts w:eastAsia="TimesNewRoman"/>
          <w:sz w:val="24"/>
        </w:rPr>
        <w:t xml:space="preserve">The </w:t>
      </w:r>
      <w:r>
        <w:rPr>
          <w:kern w:val="0"/>
          <w:sz w:val="24"/>
        </w:rPr>
        <w:t xml:space="preserve">p38 </w:t>
      </w:r>
      <w:r>
        <w:rPr>
          <w:rFonts w:eastAsia="TimesNewRoman"/>
          <w:sz w:val="24"/>
        </w:rPr>
        <w:t xml:space="preserve">monoclonal antibody (1:1000 dilution), </w:t>
      </w:r>
      <w:r>
        <w:rPr>
          <w:rFonts w:eastAsia="TimesNewRoman"/>
          <w:kern w:val="0"/>
          <w:sz w:val="24"/>
        </w:rPr>
        <w:t xml:space="preserve">phospho-p38 </w:t>
      </w:r>
      <w:r>
        <w:rPr>
          <w:rFonts w:eastAsia="TimesNewRoman"/>
          <w:sz w:val="24"/>
        </w:rPr>
        <w:t>monoclonal antibody (1:1000 dilution),</w:t>
      </w:r>
      <w:r>
        <w:rPr>
          <w:rFonts w:eastAsia="TimesNewRoman"/>
          <w:kern w:val="0"/>
          <w:sz w:val="24"/>
        </w:rPr>
        <w:t xml:space="preserve"> p53 </w:t>
      </w:r>
      <w:r>
        <w:rPr>
          <w:rFonts w:eastAsia="TimesNewRoman"/>
          <w:sz w:val="24"/>
        </w:rPr>
        <w:t xml:space="preserve">monoclonal antibody (1:1000 dilution), </w:t>
      </w:r>
      <w:r>
        <w:rPr>
          <w:rFonts w:eastAsia="TimesNewRoman"/>
          <w:kern w:val="0"/>
          <w:sz w:val="24"/>
        </w:rPr>
        <w:t xml:space="preserve">PTEN </w:t>
      </w:r>
      <w:r>
        <w:rPr>
          <w:rFonts w:eastAsia="TimesNewRoman"/>
          <w:sz w:val="24"/>
        </w:rPr>
        <w:t xml:space="preserve">monoclonal antibody (1:1000 dilution), </w:t>
      </w:r>
      <w:r>
        <w:rPr>
          <w:rFonts w:eastAsia="TimesNewRoman"/>
          <w:kern w:val="0"/>
          <w:sz w:val="24"/>
        </w:rPr>
        <w:t xml:space="preserve">and Rac1 </w:t>
      </w:r>
      <w:r>
        <w:rPr>
          <w:rFonts w:eastAsia="TimesNewRoman"/>
          <w:sz w:val="24"/>
        </w:rPr>
        <w:t xml:space="preserve">monoclonal antibody (1:1000 dilution) </w:t>
      </w:r>
      <w:r>
        <w:rPr>
          <w:rFonts w:eastAsia="TimesNewRoman"/>
          <w:kern w:val="0"/>
          <w:sz w:val="24"/>
        </w:rPr>
        <w:t xml:space="preserve">were purchased from Protein technology Group (Chicago, Illinois, USA). </w:t>
      </w:r>
      <w:r>
        <w:rPr>
          <w:rFonts w:eastAsia="TimesNewRoman"/>
          <w:sz w:val="24"/>
        </w:rPr>
        <w:t xml:space="preserve">The </w:t>
      </w:r>
      <w:r>
        <w:rPr>
          <w:rFonts w:eastAsia="TimesNewRoman"/>
          <w:kern w:val="0"/>
          <w:sz w:val="24"/>
        </w:rPr>
        <w:t xml:space="preserve">PI3K-p110α </w:t>
      </w:r>
      <w:r>
        <w:rPr>
          <w:rFonts w:eastAsia="TimesNewRoman"/>
          <w:sz w:val="24"/>
        </w:rPr>
        <w:t xml:space="preserve">monoclonal antibody (1:1000 dilution), </w:t>
      </w:r>
      <w:r>
        <w:rPr>
          <w:rFonts w:eastAsia="TimesNewRoman"/>
          <w:kern w:val="0"/>
          <w:sz w:val="24"/>
        </w:rPr>
        <w:t xml:space="preserve">PI3K-p110β </w:t>
      </w:r>
      <w:r>
        <w:rPr>
          <w:rFonts w:eastAsia="TimesNewRoman"/>
          <w:sz w:val="24"/>
        </w:rPr>
        <w:t>monoclonal antibody (1:1000 dilution),</w:t>
      </w:r>
      <w:r>
        <w:rPr>
          <w:rFonts w:eastAsia="TimesNewRoman"/>
          <w:kern w:val="0"/>
          <w:sz w:val="24"/>
        </w:rPr>
        <w:t xml:space="preserve"> PI3K-p110γ </w:t>
      </w:r>
      <w:r>
        <w:rPr>
          <w:rFonts w:eastAsia="TimesNewRoman"/>
          <w:sz w:val="24"/>
        </w:rPr>
        <w:t>monoclonal antibody (1:1000 dilution),</w:t>
      </w:r>
      <w:r>
        <w:rPr>
          <w:rFonts w:eastAsia="TimesNewRoman"/>
          <w:kern w:val="0"/>
          <w:sz w:val="24"/>
        </w:rPr>
        <w:t xml:space="preserve"> PI3K-p85</w:t>
      </w:r>
      <w:r>
        <w:rPr>
          <w:rFonts w:eastAsia="TimesNewRoman"/>
          <w:sz w:val="24"/>
        </w:rPr>
        <w:t xml:space="preserve"> polyclonal antibody (1:1000 dilution),</w:t>
      </w:r>
      <w:r>
        <w:rPr>
          <w:rFonts w:eastAsia="TimesNewRoman"/>
          <w:kern w:val="0"/>
          <w:sz w:val="24"/>
        </w:rPr>
        <w:t xml:space="preserve"> and phospho-PI3K-p85/p55</w:t>
      </w:r>
      <w:r>
        <w:rPr>
          <w:rFonts w:eastAsia="TimesNewRoman"/>
          <w:sz w:val="24"/>
        </w:rPr>
        <w:t xml:space="preserve"> polyclonal antibody (1:1000 dilution) </w:t>
      </w:r>
      <w:r>
        <w:rPr>
          <w:rFonts w:eastAsia="TimesNewRoman"/>
          <w:kern w:val="0"/>
          <w:sz w:val="24"/>
        </w:rPr>
        <w:t xml:space="preserve">were purchased from Cell Signaling (Boston, Massachusetts, USA). </w:t>
      </w:r>
      <w:r>
        <w:rPr>
          <w:rFonts w:eastAsia="TimesNewRoman"/>
          <w:sz w:val="24"/>
        </w:rPr>
        <w:t>The VEGFR2 monoclonal antibody (1:500 dilution), phospho-VEGFR2 monoclonal antibody (1:500 dilution), AKT monoclonal antibody (1:1000 dilution), phospho-AKT monoclonal antibody (1:1000 dilution), Erk1/2 monoclonal antibody (1:1000 dilution), phospho-Erk1/2 monoclonal antibody (1:1000 dilution),</w:t>
      </w:r>
      <w:r>
        <w:rPr>
          <w:rFonts w:eastAsia="TimesNewRoman"/>
          <w:kern w:val="0"/>
          <w:sz w:val="24"/>
        </w:rPr>
        <w:t xml:space="preserve"> MEK1/2</w:t>
      </w:r>
      <w:r>
        <w:rPr>
          <w:rFonts w:eastAsia="TimesNewRoman"/>
          <w:sz w:val="24"/>
        </w:rPr>
        <w:t xml:space="preserve"> polyclonal antibody (1:1000 dilution), </w:t>
      </w:r>
      <w:r>
        <w:rPr>
          <w:rFonts w:eastAsia="TimesNewRoman"/>
          <w:kern w:val="0"/>
          <w:sz w:val="24"/>
        </w:rPr>
        <w:t xml:space="preserve">phospho-MEK1/2 </w:t>
      </w:r>
      <w:r>
        <w:rPr>
          <w:rFonts w:eastAsia="TimesNewRoman"/>
          <w:sz w:val="24"/>
        </w:rPr>
        <w:t xml:space="preserve">polyclonal antibody (1:1000 dilution), </w:t>
      </w:r>
      <w:r>
        <w:rPr>
          <w:rFonts w:eastAsia="TimesNewRoman"/>
          <w:kern w:val="0"/>
          <w:sz w:val="24"/>
        </w:rPr>
        <w:t xml:space="preserve">mTOR </w:t>
      </w:r>
      <w:r>
        <w:rPr>
          <w:rFonts w:eastAsia="TimesNewRoman"/>
          <w:sz w:val="24"/>
        </w:rPr>
        <w:t>polyclonal antibody (1:1000 dilution),</w:t>
      </w:r>
      <w:r>
        <w:rPr>
          <w:rFonts w:eastAsia="TimesNewRoman"/>
          <w:kern w:val="0"/>
          <w:sz w:val="24"/>
        </w:rPr>
        <w:t xml:space="preserve"> and phospho-mTOR </w:t>
      </w:r>
      <w:r>
        <w:rPr>
          <w:rFonts w:eastAsia="TimesNewRoman"/>
          <w:sz w:val="24"/>
        </w:rPr>
        <w:t xml:space="preserve">monoclonal antibody (1:1000 dilution) </w:t>
      </w:r>
      <w:r>
        <w:rPr>
          <w:rFonts w:eastAsia="TimesNewRoman"/>
          <w:kern w:val="0"/>
          <w:sz w:val="24"/>
        </w:rPr>
        <w:t xml:space="preserve">were purchased from Cell Signaling (Boston, Massachusetts, USA). </w:t>
      </w:r>
      <w:r>
        <w:rPr>
          <w:rFonts w:eastAsia="TimesNewRoman"/>
          <w:sz w:val="24"/>
        </w:rPr>
        <w:t>The GAPDH monoclonal antibody was purchased from Santa Cruz Biotechnology (Shanghai, China). HRP-conjugated goat anti-rabbit IgG, BCA protein assay reagent kit, and SuperSignal</w:t>
      </w:r>
      <w:r>
        <w:rPr>
          <w:rFonts w:eastAsia="TimesNewRoman"/>
          <w:sz w:val="24"/>
          <w:vertAlign w:val="superscript"/>
        </w:rPr>
        <w:t xml:space="preserve">® </w:t>
      </w:r>
      <w:r>
        <w:rPr>
          <w:rFonts w:eastAsia="TimesNewRoman"/>
          <w:sz w:val="24"/>
        </w:rPr>
        <w:t xml:space="preserve">West Pico were purchased from Pierce Biotechnology (Waltham, MA, USA). </w:t>
      </w:r>
      <w:r>
        <w:rPr>
          <w:sz w:val="24"/>
        </w:rPr>
        <w:t>Protease inhibitor cocktail and phosphatase inhibitor cocktail were purchased from Roche (Basel, Switzerland).</w:t>
      </w:r>
    </w:p>
    <w:p>
      <w:pPr>
        <w:rPr>
          <w:b/>
          <w:sz w:val="32"/>
          <w:szCs w:val="32"/>
        </w:rPr>
      </w:pPr>
    </w:p>
    <w:p>
      <w:pPr>
        <w:rPr>
          <w:b/>
          <w:sz w:val="32"/>
          <w:szCs w:val="32"/>
        </w:rPr>
      </w:pPr>
    </w:p>
    <w:p>
      <w:pPr>
        <w:rPr>
          <w:b/>
          <w:sz w:val="32"/>
          <w:szCs w:val="32"/>
        </w:rPr>
      </w:pPr>
    </w:p>
    <w:p>
      <w:pPr>
        <w:rPr>
          <w:b/>
          <w:sz w:val="32"/>
          <w:szCs w:val="32"/>
        </w:rPr>
      </w:pPr>
      <w:r>
        <w:rPr>
          <w:b/>
          <w:sz w:val="32"/>
          <w:szCs w:val="32"/>
        </w:rPr>
        <w:t>2. Supplementary Figures</w:t>
      </w:r>
    </w:p>
    <w:p>
      <w:pPr>
        <w:jc w:val="center"/>
        <w:rPr>
          <w:szCs w:val="21"/>
        </w:rPr>
      </w:pPr>
      <w:r>
        <w:rPr>
          <w:szCs w:val="21"/>
        </w:rPr>
        <w:drawing>
          <wp:inline distT="0" distB="0" distL="0" distR="0">
            <wp:extent cx="5274310" cy="163957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1639570"/>
                    </a:xfrm>
                    <a:prstGeom prst="rect">
                      <a:avLst/>
                    </a:prstGeom>
                  </pic:spPr>
                </pic:pic>
              </a:graphicData>
            </a:graphic>
          </wp:inline>
        </w:drawing>
      </w:r>
    </w:p>
    <w:p>
      <w:pPr>
        <w:rPr>
          <w:b/>
          <w:bCs/>
          <w:szCs w:val="21"/>
        </w:rPr>
      </w:pPr>
      <w:r>
        <w:rPr>
          <w:b/>
          <w:szCs w:val="21"/>
        </w:rPr>
        <w:t>Fig</w:t>
      </w:r>
      <w:r>
        <w:rPr>
          <w:rFonts w:hint="eastAsia"/>
          <w:b/>
          <w:szCs w:val="21"/>
        </w:rPr>
        <w:t>.</w:t>
      </w:r>
      <w:r>
        <w:rPr>
          <w:b/>
          <w:szCs w:val="21"/>
        </w:rPr>
        <w:t xml:space="preserve"> S1 </w:t>
      </w:r>
      <w:r>
        <w:rPr>
          <w:bCs/>
          <w:szCs w:val="21"/>
        </w:rPr>
        <w:t>pX459 v2.0 vector map. sgRNAs are inserted into BbsI restriction site.</w:t>
      </w:r>
    </w:p>
    <w:p>
      <w:pPr>
        <w:jc w:val="center"/>
        <w:rPr>
          <w:b/>
          <w:szCs w:val="21"/>
        </w:rPr>
      </w:pPr>
      <w:r>
        <w:rPr>
          <w:b/>
          <w:szCs w:val="21"/>
        </w:rPr>
        <w:drawing>
          <wp:inline distT="0" distB="0" distL="0" distR="0">
            <wp:extent cx="2070100" cy="2283460"/>
            <wp:effectExtent l="0" t="0" r="635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89381" cy="2304961"/>
                    </a:xfrm>
                    <a:prstGeom prst="rect">
                      <a:avLst/>
                    </a:prstGeom>
                  </pic:spPr>
                </pic:pic>
              </a:graphicData>
            </a:graphic>
          </wp:inline>
        </w:drawing>
      </w:r>
    </w:p>
    <w:p>
      <w:pPr>
        <w:rPr>
          <w:bCs/>
          <w:szCs w:val="21"/>
        </w:rPr>
      </w:pPr>
      <w:r>
        <w:rPr>
          <w:b/>
          <w:szCs w:val="21"/>
        </w:rPr>
        <w:t>Fig. S2</w:t>
      </w:r>
      <w:r>
        <w:rPr>
          <w:b/>
          <w:bCs/>
          <w:szCs w:val="21"/>
        </w:rPr>
        <w:t xml:space="preserve"> </w:t>
      </w:r>
      <w:r>
        <w:rPr>
          <w:bCs/>
          <w:szCs w:val="21"/>
        </w:rPr>
        <w:t>The protein expression of EphB4 in wild type, EphB4 knockdown and EphB4 rescue K562 cells.</w:t>
      </w:r>
    </w:p>
    <w:p>
      <w:pPr>
        <w:jc w:val="center"/>
        <w:rPr>
          <w:szCs w:val="21"/>
        </w:rPr>
      </w:pPr>
      <w:r>
        <w:rPr>
          <w:szCs w:val="21"/>
        </w:rPr>
        <w:drawing>
          <wp:inline distT="0" distB="0" distL="0" distR="0">
            <wp:extent cx="2038350" cy="205867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60514" cy="2081104"/>
                    </a:xfrm>
                    <a:prstGeom prst="rect">
                      <a:avLst/>
                    </a:prstGeom>
                  </pic:spPr>
                </pic:pic>
              </a:graphicData>
            </a:graphic>
          </wp:inline>
        </w:drawing>
      </w:r>
    </w:p>
    <w:p>
      <w:pPr>
        <w:rPr>
          <w:bCs/>
          <w:szCs w:val="21"/>
        </w:rPr>
      </w:pPr>
      <w:r>
        <w:rPr>
          <w:b/>
          <w:szCs w:val="21"/>
        </w:rPr>
        <w:t>Fig. S3</w:t>
      </w:r>
      <w:r>
        <w:t xml:space="preserve"> </w:t>
      </w:r>
      <w:r>
        <w:rPr>
          <w:szCs w:val="21"/>
        </w:rPr>
        <w:t>Expression levels of EphB4 protein in K562, JLTRG and H9 cells.</w:t>
      </w:r>
      <w:r>
        <w:rPr>
          <w:bCs/>
          <w:szCs w:val="21"/>
        </w:rPr>
        <w:t xml:space="preserve"> All the results were quantified by densitometry analysis of the bands and normalization to GAPDH. Data represents the means ± SEM (n=3). *</w:t>
      </w:r>
      <w:r>
        <w:rPr>
          <w:bCs/>
          <w:i/>
          <w:iCs/>
          <w:szCs w:val="21"/>
        </w:rPr>
        <w:t>p</w:t>
      </w:r>
      <w:r>
        <w:rPr>
          <w:bCs/>
          <w:szCs w:val="21"/>
        </w:rPr>
        <w:t>&lt; 0.05, **</w:t>
      </w:r>
      <w:r>
        <w:rPr>
          <w:bCs/>
          <w:i/>
          <w:iCs/>
          <w:szCs w:val="21"/>
        </w:rPr>
        <w:t>p</w:t>
      </w:r>
      <w:r>
        <w:rPr>
          <w:bCs/>
          <w:szCs w:val="21"/>
        </w:rPr>
        <w:t>&lt; 0.01 versus the K562 group.</w:t>
      </w:r>
    </w:p>
    <w:p>
      <w:pPr>
        <w:rPr>
          <w:bCs/>
          <w:szCs w:val="21"/>
        </w:rPr>
      </w:pPr>
      <w:r>
        <w:rPr>
          <w:bCs/>
          <w:szCs w:val="21"/>
        </w:rPr>
        <w:drawing>
          <wp:inline distT="0" distB="0" distL="0" distR="0">
            <wp:extent cx="5274310" cy="21926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192655"/>
                    </a:xfrm>
                    <a:prstGeom prst="rect">
                      <a:avLst/>
                    </a:prstGeom>
                  </pic:spPr>
                </pic:pic>
              </a:graphicData>
            </a:graphic>
          </wp:inline>
        </w:drawing>
      </w:r>
    </w:p>
    <w:p>
      <w:pPr>
        <w:rPr>
          <w:szCs w:val="21"/>
        </w:rPr>
      </w:pPr>
      <w:r>
        <w:rPr>
          <w:b/>
          <w:szCs w:val="21"/>
        </w:rPr>
        <w:t>Fig. S4</w:t>
      </w:r>
      <w:r>
        <w:t xml:space="preserve"> Effect of vandetanib </w:t>
      </w:r>
      <w:r>
        <w:rPr>
          <w:b/>
        </w:rPr>
        <w:t>(A)</w:t>
      </w:r>
      <w:r>
        <w:t xml:space="preserve">, afatinib </w:t>
      </w:r>
      <w:r>
        <w:rPr>
          <w:b/>
        </w:rPr>
        <w:t>(B)</w:t>
      </w:r>
      <w:r>
        <w:t xml:space="preserve">, lapatinib </w:t>
      </w:r>
      <w:r>
        <w:rPr>
          <w:b/>
        </w:rPr>
        <w:t>(C)</w:t>
      </w:r>
      <w:r>
        <w:t xml:space="preserve">, sunitinib </w:t>
      </w:r>
      <w:r>
        <w:rPr>
          <w:b/>
        </w:rPr>
        <w:t>(D)</w:t>
      </w:r>
      <w:r>
        <w:t xml:space="preserve">, sorafenib </w:t>
      </w:r>
      <w:r>
        <w:rPr>
          <w:b/>
        </w:rPr>
        <w:t>(E)</w:t>
      </w:r>
      <w:r>
        <w:t xml:space="preserve">, and erlotinib </w:t>
      </w:r>
      <w:r>
        <w:rPr>
          <w:b/>
        </w:rPr>
        <w:t>(F)</w:t>
      </w:r>
      <w:r>
        <w:t xml:space="preserve"> for 48 h on cell proliferation in K562, H9 and JLTRG cells was determined by MTT assay. The values represent the average of three independent experiments. Data represents the means ± SEM (n=3).</w:t>
      </w:r>
    </w:p>
    <w:p>
      <w:pPr>
        <w:jc w:val="center"/>
        <w:rPr>
          <w:bCs/>
          <w:szCs w:val="21"/>
        </w:rPr>
      </w:pPr>
      <w:r>
        <w:rPr>
          <w:bCs/>
          <w:szCs w:val="21"/>
        </w:rPr>
        <w:drawing>
          <wp:inline distT="0" distB="0" distL="0" distR="0">
            <wp:extent cx="5274310" cy="286956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869565"/>
                    </a:xfrm>
                    <a:prstGeom prst="rect">
                      <a:avLst/>
                    </a:prstGeom>
                  </pic:spPr>
                </pic:pic>
              </a:graphicData>
            </a:graphic>
          </wp:inline>
        </w:drawing>
      </w:r>
    </w:p>
    <w:bookmarkEnd w:id="0"/>
    <w:p>
      <w:pPr>
        <w:rPr>
          <w:szCs w:val="21"/>
        </w:rPr>
      </w:pPr>
      <w:r>
        <w:rPr>
          <w:b/>
          <w:szCs w:val="21"/>
        </w:rPr>
        <w:t>Fig. S5</w:t>
      </w:r>
      <w:r>
        <w:t xml:space="preserve"> Binding affinity of afatinib </w:t>
      </w:r>
      <w:r>
        <w:rPr>
          <w:b/>
        </w:rPr>
        <w:t>(A)</w:t>
      </w:r>
      <w:r>
        <w:t xml:space="preserve"> and lapatinib </w:t>
      </w:r>
      <w:r>
        <w:rPr>
          <w:b/>
        </w:rPr>
        <w:t xml:space="preserve">(B) </w:t>
      </w:r>
      <w:r>
        <w:rPr>
          <w:szCs w:val="21"/>
        </w:rPr>
        <w:t xml:space="preserve">with EphB4 </w:t>
      </w:r>
      <w:r>
        <w:rPr>
          <w:rFonts w:hint="eastAsia"/>
          <w:szCs w:val="21"/>
        </w:rPr>
        <w:t>(</w:t>
      </w:r>
      <w:r>
        <w:rPr>
          <w:szCs w:val="21"/>
        </w:rPr>
        <w:t>ag10042 and ag16996) by SPR analysis.</w:t>
      </w:r>
    </w:p>
    <w:p>
      <w:pPr>
        <w:jc w:val="center"/>
      </w:pPr>
      <w:r>
        <w:drawing>
          <wp:inline distT="0" distB="0" distL="0" distR="0">
            <wp:extent cx="2790825" cy="19132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92616" cy="1914937"/>
                    </a:xfrm>
                    <a:prstGeom prst="rect">
                      <a:avLst/>
                    </a:prstGeom>
                  </pic:spPr>
                </pic:pic>
              </a:graphicData>
            </a:graphic>
          </wp:inline>
        </w:drawing>
      </w:r>
    </w:p>
    <w:p>
      <w:pPr>
        <w:rPr>
          <w:szCs w:val="21"/>
        </w:rPr>
      </w:pPr>
      <w:r>
        <w:rPr>
          <w:b/>
          <w:szCs w:val="21"/>
        </w:rPr>
        <w:t>Fig</w:t>
      </w:r>
      <w:r>
        <w:rPr>
          <w:b/>
        </w:rPr>
        <w:t>.</w:t>
      </w:r>
      <w:r>
        <w:rPr>
          <w:b/>
          <w:szCs w:val="21"/>
        </w:rPr>
        <w:t xml:space="preserve"> S6</w:t>
      </w:r>
      <w:r>
        <w:rPr>
          <w:rFonts w:hint="eastAsia"/>
          <w:b/>
          <w:szCs w:val="21"/>
        </w:rPr>
        <w:t xml:space="preserve"> </w:t>
      </w:r>
      <w:r>
        <w:rPr>
          <w:szCs w:val="21"/>
        </w:rPr>
        <w:t>Effect of</w:t>
      </w:r>
      <w:r>
        <w:rPr>
          <w:rFonts w:hint="eastAsia"/>
          <w:szCs w:val="21"/>
        </w:rPr>
        <w:t xml:space="preserve"> afatinib</w:t>
      </w:r>
      <w:r>
        <w:rPr>
          <w:szCs w:val="21"/>
        </w:rPr>
        <w:t xml:space="preserve"> and lapatinib on EphB4 kinase activity.</w:t>
      </w:r>
    </w:p>
    <w:p>
      <w:pPr>
        <w:jc w:val="center"/>
        <w:rPr>
          <w:bCs/>
          <w:szCs w:val="21"/>
        </w:rPr>
      </w:pPr>
      <w:r>
        <w:rPr>
          <w:bCs/>
          <w:szCs w:val="21"/>
        </w:rPr>
        <w:drawing>
          <wp:inline distT="0" distB="0" distL="0" distR="0">
            <wp:extent cx="3557270" cy="2964815"/>
            <wp:effectExtent l="0" t="0" r="508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63382" cy="2970058"/>
                    </a:xfrm>
                    <a:prstGeom prst="rect">
                      <a:avLst/>
                    </a:prstGeom>
                  </pic:spPr>
                </pic:pic>
              </a:graphicData>
            </a:graphic>
          </wp:inline>
        </w:drawing>
      </w:r>
    </w:p>
    <w:p>
      <w:pPr>
        <w:rPr>
          <w:szCs w:val="21"/>
        </w:rPr>
      </w:pPr>
      <w:r>
        <w:rPr>
          <w:b/>
          <w:szCs w:val="21"/>
        </w:rPr>
        <w:t xml:space="preserve">Fig. S7 </w:t>
      </w:r>
      <w:r>
        <w:rPr>
          <w:bCs/>
          <w:szCs w:val="21"/>
        </w:rPr>
        <w:t xml:space="preserve">Hierarchical cluster analysis of the genetically different populations in K562 cells with treatment with control or vandetanib for 48 h. </w:t>
      </w:r>
      <w:r>
        <w:rPr>
          <w:szCs w:val="21"/>
        </w:rPr>
        <w:t>Each column represents one sample, and each gene was depicted by one row, where red denotes an increase in gene expression and green denotes a decrease in gene expression as compared with the other group.</w:t>
      </w:r>
    </w:p>
    <w:p>
      <w:pPr>
        <w:jc w:val="center"/>
        <w:rPr>
          <w:szCs w:val="21"/>
        </w:rPr>
      </w:pPr>
      <w:r>
        <w:rPr>
          <w:szCs w:val="21"/>
        </w:rPr>
        <w:drawing>
          <wp:inline distT="0" distB="0" distL="0" distR="0">
            <wp:extent cx="5274310" cy="369633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696335"/>
                    </a:xfrm>
                    <a:prstGeom prst="rect">
                      <a:avLst/>
                    </a:prstGeom>
                  </pic:spPr>
                </pic:pic>
              </a:graphicData>
            </a:graphic>
          </wp:inline>
        </w:drawing>
      </w:r>
    </w:p>
    <w:p>
      <w:pPr>
        <w:rPr>
          <w:szCs w:val="21"/>
        </w:rPr>
      </w:pPr>
      <w:r>
        <w:rPr>
          <w:b/>
          <w:szCs w:val="21"/>
        </w:rPr>
        <w:t xml:space="preserve">Fig. S8 </w:t>
      </w:r>
      <w:r>
        <w:rPr>
          <w:bCs/>
          <w:szCs w:val="21"/>
        </w:rPr>
        <w:t xml:space="preserve">The effect of EphB4 induced by vandetanib on apoptotic related proteins. </w:t>
      </w:r>
      <w:r>
        <w:rPr>
          <w:b/>
          <w:szCs w:val="21"/>
        </w:rPr>
        <w:t>(A)</w:t>
      </w:r>
      <w:r>
        <w:rPr>
          <w:szCs w:val="21"/>
        </w:rPr>
        <w:t xml:space="preserve"> Effect of vandetanib treatment on cell apoptosis related protein expression at different time. </w:t>
      </w:r>
      <w:r>
        <w:rPr>
          <w:b/>
          <w:szCs w:val="21"/>
        </w:rPr>
        <w:t>(B)</w:t>
      </w:r>
      <w:r>
        <w:rPr>
          <w:szCs w:val="21"/>
        </w:rPr>
        <w:t xml:space="preserve"> The protein level of PI3K p85, p-AKT, AKT, p-mTOR, mTOR, p-Erk1/2 and Erk1/2 in wild type and EphB4 knockdown K562 cells. All the results were quantified by densitometry analysis of the bands and normalization to GAPDH. Data represents the means ± SEM (n=3). *</w:t>
      </w:r>
      <w:r>
        <w:rPr>
          <w:i/>
          <w:szCs w:val="21"/>
        </w:rPr>
        <w:t>p</w:t>
      </w:r>
      <w:r>
        <w:rPr>
          <w:szCs w:val="21"/>
        </w:rPr>
        <w:t>&lt; 0.05, **</w:t>
      </w:r>
      <w:r>
        <w:rPr>
          <w:i/>
          <w:szCs w:val="21"/>
        </w:rPr>
        <w:t>p</w:t>
      </w:r>
      <w:r>
        <w:rPr>
          <w:szCs w:val="21"/>
        </w:rPr>
        <w:t>&lt; 0.01 versus the untreated control group.</w:t>
      </w:r>
    </w:p>
    <w:p>
      <w:pPr>
        <w:jc w:val="center"/>
        <w:rPr>
          <w:szCs w:val="21"/>
        </w:rPr>
      </w:pPr>
      <w:r>
        <w:rPr>
          <w:szCs w:val="21"/>
        </w:rPr>
        <w:drawing>
          <wp:inline distT="0" distB="0" distL="0" distR="0">
            <wp:extent cx="5274310" cy="4987290"/>
            <wp:effectExtent l="0" t="0" r="254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987290"/>
                    </a:xfrm>
                    <a:prstGeom prst="rect">
                      <a:avLst/>
                    </a:prstGeom>
                  </pic:spPr>
                </pic:pic>
              </a:graphicData>
            </a:graphic>
          </wp:inline>
        </w:drawing>
      </w:r>
    </w:p>
    <w:p>
      <w:pPr>
        <w:rPr>
          <w:szCs w:val="21"/>
        </w:rPr>
      </w:pPr>
      <w:r>
        <w:rPr>
          <w:b/>
          <w:szCs w:val="21"/>
        </w:rPr>
        <w:t>Fig. S9</w:t>
      </w:r>
      <w:r>
        <w:rPr>
          <w:b/>
          <w:bCs/>
          <w:szCs w:val="21"/>
        </w:rPr>
        <w:t xml:space="preserve"> </w:t>
      </w:r>
      <w:r>
        <w:rPr>
          <w:bCs/>
          <w:szCs w:val="21"/>
        </w:rPr>
        <w:t>Effect of EphB4 on HEK293 cell growth induced by vandetanib.</w:t>
      </w:r>
      <w:r>
        <w:rPr>
          <w:szCs w:val="21"/>
        </w:rPr>
        <w:t xml:space="preserve"> </w:t>
      </w:r>
      <w:r>
        <w:rPr>
          <w:b/>
          <w:szCs w:val="21"/>
        </w:rPr>
        <w:t xml:space="preserve">(A) </w:t>
      </w:r>
      <w:r>
        <w:t xml:space="preserve">The protein expression of EphB4 in wild type and EphB4 transfected HEK293 cells. </w:t>
      </w:r>
      <w:r>
        <w:rPr>
          <w:b/>
          <w:szCs w:val="21"/>
        </w:rPr>
        <w:t xml:space="preserve">(B) </w:t>
      </w:r>
      <w:r>
        <w:t xml:space="preserve">Effect of vandetanib for 48 h on cell proliferation in wild type and EphB4 transfected HEK293 cells was determined by MTT assay. </w:t>
      </w:r>
      <w:r>
        <w:rPr>
          <w:b/>
          <w:szCs w:val="21"/>
        </w:rPr>
        <w:t xml:space="preserve">(C) </w:t>
      </w:r>
      <w:r>
        <w:t xml:space="preserve">Effect of vandetanib treatment for 48 h on cell apoptosis in wild type HEK293 cells. </w:t>
      </w:r>
      <w:r>
        <w:rPr>
          <w:b/>
          <w:szCs w:val="21"/>
        </w:rPr>
        <w:t>(D)</w:t>
      </w:r>
      <w:r>
        <w:t xml:space="preserve"> Effect of vandetanib treatment for 48 h on cell apoptosis in EphB4 transfected HEK293 cells. The values represent the average of three independent experiments. Data represents the means ± SEM (n=3).</w:t>
      </w:r>
    </w:p>
    <w:p>
      <w:pPr>
        <w:jc w:val="center"/>
        <w:rPr>
          <w:szCs w:val="21"/>
        </w:rPr>
      </w:pPr>
      <w:r>
        <w:rPr>
          <w:szCs w:val="21"/>
        </w:rPr>
        <w:drawing>
          <wp:inline distT="0" distB="0" distL="0" distR="0">
            <wp:extent cx="5274310" cy="4090670"/>
            <wp:effectExtent l="0" t="0" r="254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090670"/>
                    </a:xfrm>
                    <a:prstGeom prst="rect">
                      <a:avLst/>
                    </a:prstGeom>
                  </pic:spPr>
                </pic:pic>
              </a:graphicData>
            </a:graphic>
          </wp:inline>
        </w:drawing>
      </w:r>
    </w:p>
    <w:p>
      <w:pPr>
        <w:rPr>
          <w:szCs w:val="21"/>
          <w:highlight w:val="yellow"/>
        </w:rPr>
      </w:pPr>
      <w:r>
        <w:rPr>
          <w:b/>
          <w:szCs w:val="21"/>
        </w:rPr>
        <w:t xml:space="preserve">Fig. S10 </w:t>
      </w:r>
      <w:r>
        <w:rPr>
          <w:bCs/>
          <w:szCs w:val="21"/>
        </w:rPr>
        <w:t>The effect of EphB4 induced by vandetanib on downstream signaling members</w:t>
      </w:r>
      <w:r>
        <w:rPr>
          <w:szCs w:val="21"/>
        </w:rPr>
        <w:t>.</w:t>
      </w:r>
      <w:r>
        <w:rPr>
          <w:b/>
          <w:szCs w:val="21"/>
        </w:rPr>
        <w:t xml:space="preserve"> </w:t>
      </w:r>
      <w:r>
        <w:rPr>
          <w:b/>
          <w:bCs/>
          <w:szCs w:val="21"/>
        </w:rPr>
        <w:t>(A)</w:t>
      </w:r>
      <w:r>
        <w:rPr>
          <w:bCs/>
          <w:szCs w:val="21"/>
        </w:rPr>
        <w:t xml:space="preserve"> The protein level of PI3K p85, p-AKT, AKT, p-mTOR, mTOR, p-Erk1/2 and Erk1/2 in wild type and EphB4 knockdown K562 cells.</w:t>
      </w:r>
      <w:r>
        <w:rPr>
          <w:rFonts w:hint="eastAsia"/>
          <w:bCs/>
          <w:szCs w:val="21"/>
        </w:rPr>
        <w:t xml:space="preserve"> </w:t>
      </w:r>
      <w:r>
        <w:rPr>
          <w:b/>
          <w:bCs/>
          <w:szCs w:val="21"/>
        </w:rPr>
        <w:t>(B)</w:t>
      </w:r>
      <w:r>
        <w:rPr>
          <w:bCs/>
          <w:szCs w:val="21"/>
        </w:rPr>
        <w:t xml:space="preserve"> Protein level of EphB4, p-PI3K-p85/p55, the phosphoryl</w:t>
      </w:r>
      <w:r>
        <w:rPr>
          <w:szCs w:val="21"/>
        </w:rPr>
        <w:t>ation of AKT, mTOR and Erk1/2 in cell lysates of K562 cells treated with vandetanib at different time. All the results were quantified by densitometry analysis of the bands and normalization to GAPDH. Data represents the means ± SEM (n=3). *</w:t>
      </w:r>
      <w:r>
        <w:rPr>
          <w:i/>
          <w:szCs w:val="21"/>
        </w:rPr>
        <w:t>p</w:t>
      </w:r>
      <w:r>
        <w:rPr>
          <w:szCs w:val="21"/>
        </w:rPr>
        <w:t>&lt; 0.05, **</w:t>
      </w:r>
      <w:r>
        <w:rPr>
          <w:i/>
          <w:szCs w:val="21"/>
        </w:rPr>
        <w:t>p</w:t>
      </w:r>
      <w:r>
        <w:rPr>
          <w:szCs w:val="21"/>
        </w:rPr>
        <w:t>&lt; 0.01 versus the untreated control group.</w:t>
      </w:r>
    </w:p>
    <w:p>
      <w:pPr>
        <w:jc w:val="center"/>
        <w:rPr>
          <w:szCs w:val="21"/>
        </w:rPr>
      </w:pPr>
      <w:r>
        <w:rPr>
          <w:szCs w:val="21"/>
        </w:rPr>
        <w:drawing>
          <wp:inline distT="0" distB="0" distL="0" distR="0">
            <wp:extent cx="5274310" cy="400621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006215"/>
                    </a:xfrm>
                    <a:prstGeom prst="rect">
                      <a:avLst/>
                    </a:prstGeom>
                  </pic:spPr>
                </pic:pic>
              </a:graphicData>
            </a:graphic>
          </wp:inline>
        </w:drawing>
      </w:r>
    </w:p>
    <w:p>
      <w:pPr>
        <w:rPr>
          <w:szCs w:val="21"/>
        </w:rPr>
      </w:pPr>
      <w:r>
        <w:rPr>
          <w:b/>
          <w:szCs w:val="21"/>
        </w:rPr>
        <w:t xml:space="preserve">Fig. S11 </w:t>
      </w:r>
      <w:r>
        <w:t xml:space="preserve">The stability of molecular dynamics simulation system. </w:t>
      </w:r>
      <w:r>
        <w:rPr>
          <w:b/>
        </w:rPr>
        <w:t xml:space="preserve">(A) </w:t>
      </w:r>
      <w:r>
        <w:t>The temperature variation of the models during 100 ns MD simulations.</w:t>
      </w:r>
      <w:r>
        <w:rPr>
          <w:rFonts w:hint="eastAsia"/>
        </w:rPr>
        <w:t xml:space="preserve"> </w:t>
      </w:r>
      <w:r>
        <w:rPr>
          <w:b/>
        </w:rPr>
        <w:t>(B)</w:t>
      </w:r>
      <w:r>
        <w:t xml:space="preserve"> </w:t>
      </w:r>
      <w:r>
        <w:rPr>
          <w:rFonts w:hint="eastAsia"/>
        </w:rPr>
        <w:t>The energy variation of the models during 100 ns MD simulations.</w:t>
      </w:r>
      <w:r>
        <w:t xml:space="preserve"> </w:t>
      </w:r>
      <w:r>
        <w:rPr>
          <w:b/>
        </w:rPr>
        <w:t>(C)</w:t>
      </w:r>
      <w:r>
        <w:t xml:space="preserve"> The backbone heavy-atom root-mean-square deviations (RMSD) of the EphB4 and EphB4-vandetanib complex at 298 K during 100 ns MD simulations. </w:t>
      </w:r>
      <w:r>
        <w:rPr>
          <w:b/>
        </w:rPr>
        <w:t>(D)</w:t>
      </w:r>
      <w:r>
        <w:t xml:space="preserve"> The backbone atomic root-mean-square fluctuations (RMSF) values of the EphB4 and EphB4-vandetanib complex at 298 K during 100 ns MD simulations.</w:t>
      </w:r>
    </w:p>
    <w:p>
      <w:pPr>
        <w:rPr>
          <w:bCs/>
          <w:szCs w:val="21"/>
        </w:rPr>
      </w:pPr>
      <w:r>
        <w:rPr>
          <w:bCs/>
          <w:szCs w:val="21"/>
        </w:rPr>
        <w:drawing>
          <wp:inline distT="0" distB="0" distL="0" distR="0">
            <wp:extent cx="5274310" cy="3576955"/>
            <wp:effectExtent l="0" t="0" r="254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576955"/>
                    </a:xfrm>
                    <a:prstGeom prst="rect">
                      <a:avLst/>
                    </a:prstGeom>
                  </pic:spPr>
                </pic:pic>
              </a:graphicData>
            </a:graphic>
          </wp:inline>
        </w:drawing>
      </w:r>
    </w:p>
    <w:p>
      <w:pPr>
        <w:rPr>
          <w:bCs/>
          <w:szCs w:val="21"/>
        </w:rPr>
      </w:pPr>
      <w:r>
        <w:rPr>
          <w:b/>
          <w:szCs w:val="21"/>
        </w:rPr>
        <w:t>Fig. S12</w:t>
      </w:r>
      <w:r>
        <w:rPr>
          <w:szCs w:val="21"/>
        </w:rPr>
        <w:t xml:space="preserve"> The mRNA and protein level of EphB4 on different cell lines.</w:t>
      </w:r>
      <w:r>
        <w:rPr>
          <w:bCs/>
          <w:szCs w:val="21"/>
        </w:rPr>
        <w:t xml:space="preserve"> </w:t>
      </w:r>
      <w:r>
        <w:rPr>
          <w:b/>
          <w:bCs/>
          <w:szCs w:val="21"/>
        </w:rPr>
        <w:t xml:space="preserve">(A) </w:t>
      </w:r>
      <w:r>
        <w:rPr>
          <w:bCs/>
          <w:szCs w:val="21"/>
        </w:rPr>
        <w:t xml:space="preserve">The mRNA and protein level of EphB4 on K562 and K562-KO cell lines. </w:t>
      </w:r>
      <w:r>
        <w:rPr>
          <w:b/>
          <w:bCs/>
          <w:szCs w:val="21"/>
        </w:rPr>
        <w:t>(B)</w:t>
      </w:r>
      <w:r>
        <w:rPr>
          <w:bCs/>
          <w:szCs w:val="21"/>
        </w:rPr>
        <w:t xml:space="preserve"> The mRNA and protein level of EphB4 on K562-KO and K562-KO Rescue cell lines.</w:t>
      </w:r>
    </w:p>
    <w:p>
      <w:pPr>
        <w:jc w:val="center"/>
        <w:rPr>
          <w:bCs/>
          <w:szCs w:val="21"/>
        </w:rPr>
      </w:pPr>
      <w:r>
        <w:rPr>
          <w:bCs/>
          <w:szCs w:val="21"/>
        </w:rPr>
        <w:drawing>
          <wp:inline distT="0" distB="0" distL="0" distR="0">
            <wp:extent cx="2543175" cy="570293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45695" cy="5708999"/>
                    </a:xfrm>
                    <a:prstGeom prst="rect">
                      <a:avLst/>
                    </a:prstGeom>
                  </pic:spPr>
                </pic:pic>
              </a:graphicData>
            </a:graphic>
          </wp:inline>
        </w:drawing>
      </w:r>
    </w:p>
    <w:p>
      <w:pPr>
        <w:rPr>
          <w:bCs/>
          <w:szCs w:val="21"/>
        </w:rPr>
      </w:pPr>
      <w:r>
        <w:rPr>
          <w:b/>
          <w:szCs w:val="21"/>
        </w:rPr>
        <w:t>Fig. S13</w:t>
      </w:r>
      <w:r>
        <w:rPr>
          <w:bCs/>
          <w:szCs w:val="21"/>
        </w:rPr>
        <w:t xml:space="preserve"> </w:t>
      </w:r>
      <w:r>
        <w:rPr>
          <w:szCs w:val="21"/>
        </w:rPr>
        <w:t>Sanger sequencing data of five point-mutation lines(M1-M5) and the corresponding WT sequences.</w:t>
      </w:r>
      <w:r>
        <w:rPr>
          <w:bCs/>
          <w:szCs w:val="21"/>
        </w:rPr>
        <w:t xml:space="preserve"> The point-mutations of EphB4: M1, I14A, G15A; M2, M83A, N85A, G86A; M3, A87Del; M4, S90A, F91A; M5, R93A, L94A.</w:t>
      </w:r>
    </w:p>
    <w:p>
      <w:pPr>
        <w:jc w:val="center"/>
        <w:rPr>
          <w:bCs/>
          <w:szCs w:val="21"/>
        </w:rPr>
      </w:pPr>
      <w:r>
        <w:rPr>
          <w:bCs/>
          <w:szCs w:val="21"/>
        </w:rPr>
        <w:drawing>
          <wp:inline distT="0" distB="0" distL="0" distR="0">
            <wp:extent cx="5274310" cy="3100070"/>
            <wp:effectExtent l="0" t="0" r="2540"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100070"/>
                    </a:xfrm>
                    <a:prstGeom prst="rect">
                      <a:avLst/>
                    </a:prstGeom>
                  </pic:spPr>
                </pic:pic>
              </a:graphicData>
            </a:graphic>
          </wp:inline>
        </w:drawing>
      </w:r>
    </w:p>
    <w:p>
      <w:pPr>
        <w:rPr>
          <w:szCs w:val="21"/>
        </w:rPr>
      </w:pPr>
      <w:r>
        <w:rPr>
          <w:b/>
          <w:szCs w:val="21"/>
        </w:rPr>
        <w:t xml:space="preserve">Fig. S14 </w:t>
      </w:r>
      <w:r>
        <w:t xml:space="preserve">The results of western blot were quantified by densitometry analysis of the bands and normalization to GAPDH. </w:t>
      </w:r>
      <w:r>
        <w:rPr>
          <w:b/>
        </w:rPr>
        <w:t>(A)</w:t>
      </w:r>
      <w:r>
        <w:t xml:space="preserve"> EphB4 protein in K562 tumor tissues. </w:t>
      </w:r>
      <w:r>
        <w:rPr>
          <w:b/>
        </w:rPr>
        <w:t xml:space="preserve">(B) </w:t>
      </w:r>
      <w:r>
        <w:t xml:space="preserve">The p53 and PTEN protein in K562 tumor tissues. </w:t>
      </w:r>
      <w:r>
        <w:rPr>
          <w:b/>
        </w:rPr>
        <w:t>(C)</w:t>
      </w:r>
      <w:r>
        <w:t xml:space="preserve"> Apoptosis related protein in K562 tumor tissues. </w:t>
      </w:r>
      <w:r>
        <w:rPr>
          <w:b/>
        </w:rPr>
        <w:t>(D)</w:t>
      </w:r>
      <w:r>
        <w:t xml:space="preserve"> PI3K-p110α, PI3K-p110β, PI3K-p110γ, p-PI3K-p85/p55 and PI3K-p85 in K562</w:t>
      </w:r>
      <w:r>
        <w:rPr>
          <w:rFonts w:hint="eastAsia"/>
        </w:rPr>
        <w:t xml:space="preserve"> tumor tissues</w:t>
      </w:r>
      <w:r>
        <w:t xml:space="preserve">. </w:t>
      </w:r>
      <w:r>
        <w:rPr>
          <w:b/>
        </w:rPr>
        <w:t xml:space="preserve">(E) </w:t>
      </w:r>
      <w:r>
        <w:t>AKT and mTOR in K562</w:t>
      </w:r>
      <w:r>
        <w:rPr>
          <w:rFonts w:hint="eastAsia"/>
        </w:rPr>
        <w:t xml:space="preserve"> tumor tissues</w:t>
      </w:r>
      <w:r>
        <w:t xml:space="preserve">. </w:t>
      </w:r>
      <w:r>
        <w:rPr>
          <w:b/>
        </w:rPr>
        <w:t xml:space="preserve">(F) </w:t>
      </w:r>
      <w:r>
        <w:t>phosphorylation of MEK1/2</w:t>
      </w:r>
      <w:r>
        <w:rPr>
          <w:rFonts w:hint="eastAsia"/>
        </w:rPr>
        <w:t xml:space="preserve">, </w:t>
      </w:r>
      <w:r>
        <w:t xml:space="preserve">Erk1/2 </w:t>
      </w:r>
      <w:r>
        <w:rPr>
          <w:rFonts w:hint="eastAsia"/>
        </w:rPr>
        <w:t>and</w:t>
      </w:r>
      <w:r>
        <w:t xml:space="preserve"> p38 in K562</w:t>
      </w:r>
      <w:r>
        <w:rPr>
          <w:rFonts w:hint="eastAsia"/>
        </w:rPr>
        <w:t xml:space="preserve"> tumor tissues</w:t>
      </w:r>
      <w:r>
        <w:t xml:space="preserve">. Data represents the means ± SEM (n=3). * </w:t>
      </w:r>
      <w:r>
        <w:rPr>
          <w:i/>
          <w:iCs/>
        </w:rPr>
        <w:t>p</w:t>
      </w:r>
      <w:r>
        <w:t xml:space="preserve"> &lt; 0.05, ** </w:t>
      </w:r>
      <w:r>
        <w:rPr>
          <w:i/>
          <w:iCs/>
        </w:rPr>
        <w:t xml:space="preserve">p </w:t>
      </w:r>
      <w:r>
        <w:t>&lt; 0.01 versus the control.</w:t>
      </w:r>
    </w:p>
    <w:p>
      <w:pPr>
        <w:rPr>
          <w:bCs/>
          <w:sz w:val="32"/>
          <w:szCs w:val="32"/>
        </w:rPr>
      </w:pPr>
      <w:r>
        <w:rPr>
          <w:b/>
          <w:sz w:val="32"/>
          <w:szCs w:val="32"/>
        </w:rPr>
        <w:t>3. Supplementary Tables</w:t>
      </w:r>
    </w:p>
    <w:p>
      <w:pPr>
        <w:jc w:val="left"/>
        <w:rPr>
          <w:b/>
          <w:bCs/>
          <w:szCs w:val="21"/>
        </w:rPr>
      </w:pPr>
    </w:p>
    <w:p>
      <w:pPr>
        <w:jc w:val="left"/>
        <w:rPr>
          <w:b/>
          <w:bCs/>
          <w:szCs w:val="21"/>
        </w:rPr>
      </w:pPr>
      <w:r>
        <w:rPr>
          <w:rFonts w:hint="eastAsia"/>
          <w:b/>
          <w:bCs/>
          <w:szCs w:val="21"/>
        </w:rPr>
        <w:t xml:space="preserve">Table </w:t>
      </w:r>
      <w:r>
        <w:rPr>
          <w:b/>
          <w:bCs/>
          <w:szCs w:val="21"/>
        </w:rPr>
        <w:t>S1</w:t>
      </w:r>
      <w:r>
        <w:rPr>
          <w:rFonts w:hint="eastAsia"/>
          <w:b/>
          <w:bCs/>
          <w:szCs w:val="21"/>
        </w:rPr>
        <w:t xml:space="preserve"> </w:t>
      </w:r>
      <w:r>
        <w:rPr>
          <w:bCs/>
          <w:szCs w:val="21"/>
        </w:rPr>
        <w:t xml:space="preserve">Primers and </w:t>
      </w:r>
      <w:r>
        <w:rPr>
          <w:rFonts w:hint="eastAsia"/>
          <w:bCs/>
          <w:szCs w:val="21"/>
        </w:rPr>
        <w:t>o</w:t>
      </w:r>
      <w:r>
        <w:rPr>
          <w:bCs/>
          <w:szCs w:val="21"/>
        </w:rPr>
        <w:t>ligos sequence</w:t>
      </w:r>
      <w:r>
        <w:rPr>
          <w:rFonts w:hint="eastAsia"/>
          <w:bCs/>
          <w:szCs w:val="21"/>
        </w:rPr>
        <w:t>s</w:t>
      </w:r>
    </w:p>
    <w:tbl>
      <w:tblPr>
        <w:tblStyle w:val="6"/>
        <w:tblW w:w="4865"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27"/>
        <w:gridCol w:w="596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403" w:type="pct"/>
            <w:tcBorders>
              <w:top w:val="single" w:color="auto" w:sz="4" w:space="0"/>
              <w:bottom w:val="single" w:color="auto" w:sz="4" w:space="0"/>
            </w:tcBorders>
            <w:vAlign w:val="center"/>
          </w:tcPr>
          <w:p>
            <w:pPr>
              <w:spacing w:line="360" w:lineRule="auto"/>
              <w:jc w:val="center"/>
              <w:rPr>
                <w:kern w:val="0"/>
                <w:szCs w:val="21"/>
              </w:rPr>
            </w:pPr>
            <w:r>
              <w:rPr>
                <w:kern w:val="0"/>
                <w:szCs w:val="21"/>
              </w:rPr>
              <w:t>Primers</w:t>
            </w:r>
            <w:r>
              <w:rPr>
                <w:rFonts w:hint="eastAsia"/>
                <w:kern w:val="0"/>
                <w:szCs w:val="21"/>
              </w:rPr>
              <w:t>/o</w:t>
            </w:r>
            <w:r>
              <w:rPr>
                <w:kern w:val="0"/>
                <w:szCs w:val="21"/>
              </w:rPr>
              <w:t>ligos</w:t>
            </w:r>
          </w:p>
        </w:tc>
        <w:tc>
          <w:tcPr>
            <w:tcW w:w="3597"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S</w:t>
            </w:r>
            <w:r>
              <w:rPr>
                <w:kern w:val="0"/>
                <w:szCs w:val="21"/>
              </w:rPr>
              <w:t>equence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1403" w:type="pct"/>
            <w:tcBorders>
              <w:top w:val="single" w:color="auto" w:sz="4" w:space="0"/>
              <w:bottom w:val="nil"/>
            </w:tcBorders>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EphB4-Crispr-1</w:t>
            </w:r>
          </w:p>
        </w:tc>
        <w:tc>
          <w:tcPr>
            <w:tcW w:w="3597" w:type="pct"/>
            <w:tcBorders>
              <w:top w:val="single" w:color="auto" w:sz="4" w:space="0"/>
              <w:bottom w:val="nil"/>
            </w:tcBorders>
            <w:vAlign w:val="center"/>
          </w:tcPr>
          <w:p>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 xml:space="preserve">  </w:t>
            </w:r>
            <w:r>
              <w:rPr>
                <w:color w:val="000000" w:themeColor="text1"/>
                <w:kern w:val="0"/>
                <w:szCs w:val="21"/>
                <w14:textFill>
                  <w14:solidFill>
                    <w14:schemeClr w14:val="tx1"/>
                  </w14:solidFill>
                </w14:textFill>
              </w:rPr>
              <w:t>F：caccGAAGAGGTGCAGGGATAGCA</w:t>
            </w:r>
          </w:p>
          <w:p>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 xml:space="preserve">       </w:t>
            </w:r>
            <w:r>
              <w:rPr>
                <w:color w:val="000000" w:themeColor="text1"/>
                <w:kern w:val="0"/>
                <w:szCs w:val="21"/>
                <w14:textFill>
                  <w14:solidFill>
                    <w14:schemeClr w14:val="tx1"/>
                  </w14:solidFill>
                </w14:textFill>
              </w:rPr>
              <w:t xml:space="preserve">   R：aaacTGCTATCCCTGCACCTCTTC</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1403" w:type="pct"/>
            <w:tcBorders>
              <w:top w:val="nil"/>
              <w:bottom w:val="single" w:color="auto" w:sz="4" w:space="0"/>
            </w:tcBorders>
            <w:vAlign w:val="center"/>
          </w:tcPr>
          <w:p>
            <w:pPr>
              <w:jc w:val="center"/>
              <w:rPr>
                <w:kern w:val="0"/>
                <w:szCs w:val="21"/>
              </w:rPr>
            </w:pPr>
            <w:r>
              <w:rPr>
                <w:kern w:val="0"/>
                <w:szCs w:val="21"/>
              </w:rPr>
              <w:t>EphB4-</w:t>
            </w:r>
            <w:r>
              <w:rPr>
                <w:color w:val="000000" w:themeColor="text1"/>
                <w:kern w:val="0"/>
                <w:szCs w:val="21"/>
                <w14:textFill>
                  <w14:solidFill>
                    <w14:schemeClr w14:val="tx1"/>
                  </w14:solidFill>
                </w14:textFill>
              </w:rPr>
              <w:t>Crispr-2</w:t>
            </w:r>
          </w:p>
        </w:tc>
        <w:tc>
          <w:tcPr>
            <w:tcW w:w="3597" w:type="pct"/>
            <w:tcBorders>
              <w:top w:val="nil"/>
              <w:bottom w:val="single" w:color="auto" w:sz="4" w:space="0"/>
            </w:tcBorders>
            <w:vAlign w:val="center"/>
          </w:tcPr>
          <w:p>
            <w:pPr>
              <w:spacing w:before="62" w:beforeLines="20"/>
              <w:jc w:val="center"/>
              <w:rPr>
                <w:kern w:val="0"/>
                <w:szCs w:val="21"/>
              </w:rPr>
            </w:pPr>
            <w:r>
              <w:rPr>
                <w:rFonts w:hint="eastAsia"/>
                <w:kern w:val="0"/>
                <w:szCs w:val="21"/>
              </w:rPr>
              <w:t xml:space="preserve"> F：caccGGGCGCACTTTTTGTAGAAG</w:t>
            </w:r>
          </w:p>
          <w:p>
            <w:pPr>
              <w:jc w:val="center"/>
              <w:rPr>
                <w:kern w:val="0"/>
                <w:szCs w:val="21"/>
              </w:rPr>
            </w:pPr>
            <w:r>
              <w:rPr>
                <w:rFonts w:hint="eastAsia"/>
                <w:kern w:val="0"/>
                <w:szCs w:val="21"/>
              </w:rPr>
              <w:t xml:space="preserve"> R：aaacCTTCTACAAAAAGTGCGCCC</w:t>
            </w:r>
          </w:p>
        </w:tc>
      </w:tr>
    </w:tbl>
    <w:p>
      <w:pPr>
        <w:spacing w:line="360" w:lineRule="auto"/>
        <w:jc w:val="left"/>
        <w:rPr>
          <w:b/>
          <w:bCs/>
          <w:sz w:val="24"/>
        </w:rPr>
      </w:pPr>
    </w:p>
    <w:p>
      <w:pPr>
        <w:spacing w:line="360" w:lineRule="auto"/>
        <w:jc w:val="left"/>
        <w:rPr>
          <w:b/>
          <w:bCs/>
          <w:szCs w:val="21"/>
        </w:rPr>
      </w:pPr>
      <w:r>
        <w:rPr>
          <w:rFonts w:hint="eastAsia"/>
          <w:b/>
          <w:bCs/>
          <w:szCs w:val="21"/>
        </w:rPr>
        <w:t xml:space="preserve">Table </w:t>
      </w:r>
      <w:r>
        <w:rPr>
          <w:b/>
          <w:bCs/>
          <w:szCs w:val="21"/>
        </w:rPr>
        <w:t>S2</w:t>
      </w:r>
      <w:r>
        <w:rPr>
          <w:rFonts w:hint="eastAsia"/>
          <w:b/>
          <w:bCs/>
          <w:szCs w:val="21"/>
        </w:rPr>
        <w:t xml:space="preserve"> </w:t>
      </w:r>
      <w:r>
        <w:rPr>
          <w:rFonts w:hint="eastAsia"/>
          <w:bCs/>
          <w:szCs w:val="21"/>
        </w:rPr>
        <w:t xml:space="preserve">The </w:t>
      </w:r>
      <w:r>
        <w:rPr>
          <w:bCs/>
          <w:szCs w:val="21"/>
        </w:rPr>
        <w:t>IC</w:t>
      </w:r>
      <w:r>
        <w:rPr>
          <w:bCs/>
          <w:szCs w:val="21"/>
          <w:vertAlign w:val="subscript"/>
        </w:rPr>
        <w:t>50</w:t>
      </w:r>
      <w:r>
        <w:rPr>
          <w:bCs/>
          <w:szCs w:val="21"/>
        </w:rPr>
        <w:t xml:space="preserve"> of TKIs in K562 cells and H9 cells</w:t>
      </w:r>
    </w:p>
    <w:tbl>
      <w:tblPr>
        <w:tblStyle w:val="6"/>
        <w:tblW w:w="3413"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60"/>
        <w:gridCol w:w="1958"/>
        <w:gridCol w:w="159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vMerge w:val="restart"/>
            <w:tcBorders>
              <w:top w:val="single" w:color="auto" w:sz="4" w:space="0"/>
            </w:tcBorders>
            <w:vAlign w:val="center"/>
          </w:tcPr>
          <w:p>
            <w:pPr>
              <w:spacing w:line="360" w:lineRule="auto"/>
              <w:jc w:val="center"/>
              <w:rPr>
                <w:kern w:val="0"/>
                <w:szCs w:val="21"/>
              </w:rPr>
            </w:pPr>
            <w:r>
              <w:rPr>
                <w:kern w:val="0"/>
                <w:szCs w:val="21"/>
              </w:rPr>
              <w:t>Compounds</w:t>
            </w:r>
          </w:p>
        </w:tc>
        <w:tc>
          <w:tcPr>
            <w:tcW w:w="3057" w:type="pct"/>
            <w:gridSpan w:val="2"/>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I</w:t>
            </w:r>
            <w:r>
              <w:rPr>
                <w:kern w:val="0"/>
                <w:szCs w:val="21"/>
              </w:rPr>
              <w:t>C</w:t>
            </w:r>
            <w:r>
              <w:rPr>
                <w:kern w:val="0"/>
                <w:szCs w:val="21"/>
                <w:vertAlign w:val="subscript"/>
              </w:rPr>
              <w:t xml:space="preserve">50 </w:t>
            </w:r>
            <w:r>
              <w:rPr>
                <w:kern w:val="0"/>
                <w:szCs w:val="21"/>
              </w:rPr>
              <w:t>(μM)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vMerge w:val="continue"/>
            <w:tcBorders>
              <w:bottom w:val="single" w:color="auto" w:sz="4" w:space="0"/>
            </w:tcBorders>
            <w:vAlign w:val="center"/>
          </w:tcPr>
          <w:p>
            <w:pPr>
              <w:spacing w:line="360" w:lineRule="auto"/>
              <w:jc w:val="center"/>
              <w:rPr>
                <w:kern w:val="0"/>
                <w:szCs w:val="21"/>
              </w:rPr>
            </w:pP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K</w:t>
            </w:r>
            <w:r>
              <w:rPr>
                <w:kern w:val="0"/>
                <w:szCs w:val="21"/>
              </w:rPr>
              <w:t>562 cells</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H</w:t>
            </w:r>
            <w:r>
              <w:rPr>
                <w:kern w:val="0"/>
                <w:szCs w:val="21"/>
              </w:rPr>
              <w:t>9 cells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V</w:t>
            </w:r>
            <w:r>
              <w:rPr>
                <w:kern w:val="0"/>
                <w:szCs w:val="21"/>
              </w:rPr>
              <w:t>andetanib</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2</w:t>
            </w:r>
            <w:r>
              <w:rPr>
                <w:kern w:val="0"/>
                <w:szCs w:val="21"/>
              </w:rPr>
              <w:t>.18</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1</w:t>
            </w:r>
            <w:r>
              <w:rPr>
                <w:kern w:val="0"/>
                <w:szCs w:val="21"/>
              </w:rPr>
              <w:t>1.24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A</w:t>
            </w:r>
            <w:r>
              <w:rPr>
                <w:kern w:val="0"/>
                <w:szCs w:val="21"/>
              </w:rPr>
              <w:t>fatinib</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8</w:t>
            </w:r>
            <w:r>
              <w:rPr>
                <w:kern w:val="0"/>
                <w:szCs w:val="21"/>
              </w:rPr>
              <w:t>.62</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2</w:t>
            </w:r>
            <w:r>
              <w:rPr>
                <w:kern w:val="0"/>
                <w:szCs w:val="21"/>
              </w:rPr>
              <w:t>2.59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L</w:t>
            </w:r>
            <w:r>
              <w:rPr>
                <w:kern w:val="0"/>
                <w:szCs w:val="21"/>
              </w:rPr>
              <w:t>apatinib</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7</w:t>
            </w:r>
            <w:r>
              <w:rPr>
                <w:kern w:val="0"/>
                <w:szCs w:val="21"/>
              </w:rPr>
              <w:t>.69</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1</w:t>
            </w:r>
            <w:r>
              <w:rPr>
                <w:kern w:val="0"/>
                <w:szCs w:val="21"/>
              </w:rPr>
              <w:t>6.00</w:t>
            </w:r>
          </w:p>
        </w:tc>
      </w:tr>
    </w:tbl>
    <w:p>
      <w:pPr>
        <w:spacing w:line="360" w:lineRule="auto"/>
        <w:jc w:val="left"/>
        <w:rPr>
          <w:rFonts w:hint="eastAsia"/>
          <w:b/>
          <w:bCs/>
          <w:szCs w:val="21"/>
        </w:rPr>
      </w:pPr>
    </w:p>
    <w:p>
      <w:pPr>
        <w:spacing w:line="360" w:lineRule="auto"/>
        <w:jc w:val="left"/>
        <w:rPr>
          <w:b/>
          <w:bCs/>
          <w:szCs w:val="21"/>
        </w:rPr>
      </w:pPr>
      <w:bookmarkStart w:id="4" w:name="_GoBack"/>
      <w:bookmarkEnd w:id="4"/>
      <w:r>
        <w:rPr>
          <w:rFonts w:hint="eastAsia"/>
          <w:b/>
          <w:bCs/>
          <w:szCs w:val="21"/>
        </w:rPr>
        <w:t xml:space="preserve">Table </w:t>
      </w:r>
      <w:r>
        <w:rPr>
          <w:b/>
          <w:bCs/>
          <w:szCs w:val="21"/>
        </w:rPr>
        <w:t>S3</w:t>
      </w:r>
      <w:r>
        <w:rPr>
          <w:rFonts w:hint="eastAsia"/>
          <w:b/>
          <w:bCs/>
          <w:szCs w:val="21"/>
        </w:rPr>
        <w:t xml:space="preserve"> </w:t>
      </w:r>
      <w:r>
        <w:rPr>
          <w:rFonts w:hint="eastAsia"/>
          <w:bCs/>
          <w:szCs w:val="21"/>
        </w:rPr>
        <w:t xml:space="preserve">The </w:t>
      </w:r>
      <w:r>
        <w:rPr>
          <w:bCs/>
          <w:szCs w:val="21"/>
        </w:rPr>
        <w:t>IC</w:t>
      </w:r>
      <w:r>
        <w:rPr>
          <w:bCs/>
          <w:szCs w:val="21"/>
          <w:vertAlign w:val="subscript"/>
        </w:rPr>
        <w:t>50</w:t>
      </w:r>
      <w:r>
        <w:rPr>
          <w:bCs/>
          <w:szCs w:val="21"/>
        </w:rPr>
        <w:t xml:space="preserve"> of </w:t>
      </w:r>
      <w:r>
        <w:rPr>
          <w:rFonts w:hint="eastAsia"/>
          <w:bCs/>
          <w:szCs w:val="21"/>
        </w:rPr>
        <w:t>vandetanib</w:t>
      </w:r>
      <w:r>
        <w:rPr>
          <w:bCs/>
          <w:szCs w:val="21"/>
        </w:rPr>
        <w:t xml:space="preserve"> in K562 cells and H9 cells</w:t>
      </w:r>
    </w:p>
    <w:tbl>
      <w:tblPr>
        <w:tblStyle w:val="6"/>
        <w:tblW w:w="3413"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60"/>
        <w:gridCol w:w="1958"/>
        <w:gridCol w:w="159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vMerge w:val="restart"/>
            <w:tcBorders>
              <w:top w:val="single" w:color="auto" w:sz="4" w:space="0"/>
            </w:tcBorders>
            <w:vAlign w:val="center"/>
          </w:tcPr>
          <w:p>
            <w:pPr>
              <w:spacing w:line="360" w:lineRule="auto"/>
              <w:jc w:val="center"/>
              <w:rPr>
                <w:kern w:val="0"/>
                <w:szCs w:val="21"/>
              </w:rPr>
            </w:pPr>
            <w:r>
              <w:rPr>
                <w:rFonts w:hint="eastAsia"/>
                <w:kern w:val="0"/>
                <w:szCs w:val="21"/>
              </w:rPr>
              <w:t>Time</w:t>
            </w:r>
          </w:p>
        </w:tc>
        <w:tc>
          <w:tcPr>
            <w:tcW w:w="3057" w:type="pct"/>
            <w:gridSpan w:val="2"/>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I</w:t>
            </w:r>
            <w:r>
              <w:rPr>
                <w:kern w:val="0"/>
                <w:szCs w:val="21"/>
              </w:rPr>
              <w:t>C</w:t>
            </w:r>
            <w:r>
              <w:rPr>
                <w:kern w:val="0"/>
                <w:szCs w:val="21"/>
                <w:vertAlign w:val="subscript"/>
              </w:rPr>
              <w:t xml:space="preserve">50 </w:t>
            </w:r>
            <w:r>
              <w:rPr>
                <w:kern w:val="0"/>
                <w:szCs w:val="21"/>
              </w:rPr>
              <w:t>(μM)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vMerge w:val="continue"/>
            <w:tcBorders>
              <w:bottom w:val="single" w:color="auto" w:sz="4" w:space="0"/>
            </w:tcBorders>
            <w:vAlign w:val="center"/>
          </w:tcPr>
          <w:p>
            <w:pPr>
              <w:spacing w:line="360" w:lineRule="auto"/>
              <w:jc w:val="center"/>
              <w:rPr>
                <w:kern w:val="0"/>
                <w:szCs w:val="21"/>
              </w:rPr>
            </w:pP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K</w:t>
            </w:r>
            <w:r>
              <w:rPr>
                <w:kern w:val="0"/>
                <w:szCs w:val="21"/>
              </w:rPr>
              <w:t>562 cells</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H</w:t>
            </w:r>
            <w:r>
              <w:rPr>
                <w:kern w:val="0"/>
                <w:szCs w:val="21"/>
              </w:rPr>
              <w:t>9 cells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24 h</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43.31</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17.19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48 h</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2</w:t>
            </w:r>
            <w:r>
              <w:rPr>
                <w:kern w:val="0"/>
                <w:szCs w:val="21"/>
              </w:rPr>
              <w:t>.18</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1</w:t>
            </w:r>
            <w:r>
              <w:rPr>
                <w:kern w:val="0"/>
                <w:szCs w:val="21"/>
              </w:rPr>
              <w:t>1.24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72 h</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0.90</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8.57</w:t>
            </w:r>
          </w:p>
        </w:tc>
      </w:tr>
    </w:tbl>
    <w:p>
      <w:pPr>
        <w:spacing w:line="360" w:lineRule="auto"/>
        <w:jc w:val="left"/>
        <w:rPr>
          <w:b/>
          <w:bCs/>
          <w:szCs w:val="21"/>
        </w:rPr>
      </w:pPr>
    </w:p>
    <w:p>
      <w:pPr>
        <w:spacing w:line="360" w:lineRule="auto"/>
        <w:jc w:val="left"/>
        <w:rPr>
          <w:b/>
          <w:bCs/>
          <w:szCs w:val="21"/>
        </w:rPr>
      </w:pPr>
      <w:r>
        <w:rPr>
          <w:rFonts w:hint="eastAsia"/>
          <w:b/>
          <w:bCs/>
          <w:szCs w:val="21"/>
        </w:rPr>
        <w:t xml:space="preserve">Table </w:t>
      </w:r>
      <w:r>
        <w:rPr>
          <w:b/>
          <w:bCs/>
          <w:szCs w:val="21"/>
        </w:rPr>
        <w:t>S4</w:t>
      </w:r>
      <w:r>
        <w:rPr>
          <w:rFonts w:hint="eastAsia"/>
          <w:b/>
          <w:bCs/>
          <w:szCs w:val="21"/>
        </w:rPr>
        <w:t xml:space="preserve"> </w:t>
      </w:r>
      <w:r>
        <w:rPr>
          <w:rFonts w:hint="eastAsia"/>
          <w:bCs/>
          <w:szCs w:val="21"/>
        </w:rPr>
        <w:t>The</w:t>
      </w:r>
      <w:r>
        <w:rPr>
          <w:bCs/>
          <w:i/>
          <w:iCs/>
          <w:szCs w:val="21"/>
        </w:rPr>
        <w:t xml:space="preserve"> K</w:t>
      </w:r>
      <w:r>
        <w:rPr>
          <w:bCs/>
          <w:szCs w:val="21"/>
          <w:vertAlign w:val="subscript"/>
        </w:rPr>
        <w:t>D</w:t>
      </w:r>
      <w:r>
        <w:rPr>
          <w:bCs/>
          <w:szCs w:val="21"/>
        </w:rPr>
        <w:t xml:space="preserve"> values of TKIs interacting with EphB4 by SPR analysis</w:t>
      </w:r>
    </w:p>
    <w:tbl>
      <w:tblPr>
        <w:tblStyle w:val="6"/>
        <w:tblW w:w="3413"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60"/>
        <w:gridCol w:w="1958"/>
        <w:gridCol w:w="159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vMerge w:val="restart"/>
            <w:tcBorders>
              <w:top w:val="single" w:color="auto" w:sz="4" w:space="0"/>
            </w:tcBorders>
            <w:vAlign w:val="center"/>
          </w:tcPr>
          <w:p>
            <w:pPr>
              <w:spacing w:line="360" w:lineRule="auto"/>
              <w:jc w:val="center"/>
              <w:rPr>
                <w:kern w:val="0"/>
                <w:szCs w:val="21"/>
              </w:rPr>
            </w:pPr>
            <w:r>
              <w:rPr>
                <w:kern w:val="0"/>
                <w:szCs w:val="21"/>
              </w:rPr>
              <w:t>Compounds</w:t>
            </w:r>
          </w:p>
        </w:tc>
        <w:tc>
          <w:tcPr>
            <w:tcW w:w="3057" w:type="pct"/>
            <w:gridSpan w:val="2"/>
            <w:tcBorders>
              <w:top w:val="single" w:color="auto" w:sz="4" w:space="0"/>
              <w:bottom w:val="single" w:color="auto" w:sz="4" w:space="0"/>
            </w:tcBorders>
            <w:vAlign w:val="center"/>
          </w:tcPr>
          <w:p>
            <w:pPr>
              <w:spacing w:line="360" w:lineRule="auto"/>
              <w:jc w:val="center"/>
              <w:rPr>
                <w:kern w:val="0"/>
                <w:szCs w:val="21"/>
              </w:rPr>
            </w:pPr>
            <w:r>
              <w:rPr>
                <w:i/>
                <w:iCs/>
                <w:kern w:val="0"/>
                <w:szCs w:val="21"/>
              </w:rPr>
              <w:t>K</w:t>
            </w:r>
            <w:r>
              <w:rPr>
                <w:kern w:val="0"/>
                <w:szCs w:val="21"/>
                <w:vertAlign w:val="subscript"/>
              </w:rPr>
              <w:t>D</w:t>
            </w:r>
            <w:r>
              <w:rPr>
                <w:rFonts w:hint="eastAsia"/>
                <w:kern w:val="0"/>
                <w:szCs w:val="21"/>
              </w:rPr>
              <w:t xml:space="preserve"> value</w:t>
            </w:r>
            <w:r>
              <w:rPr>
                <w:kern w:val="0"/>
                <w:szCs w:val="21"/>
                <w:vertAlign w:val="subscript"/>
              </w:rPr>
              <w:t xml:space="preserve"> </w:t>
            </w:r>
            <w:r>
              <w:rPr>
                <w:kern w:val="0"/>
                <w:szCs w:val="21"/>
              </w:rPr>
              <w:t>(μM)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vMerge w:val="continue"/>
            <w:tcBorders>
              <w:bottom w:val="single" w:color="auto" w:sz="4" w:space="0"/>
            </w:tcBorders>
            <w:vAlign w:val="center"/>
          </w:tcPr>
          <w:p>
            <w:pPr>
              <w:spacing w:line="360" w:lineRule="auto"/>
              <w:jc w:val="center"/>
              <w:rPr>
                <w:kern w:val="0"/>
                <w:szCs w:val="21"/>
              </w:rPr>
            </w:pPr>
          </w:p>
        </w:tc>
        <w:tc>
          <w:tcPr>
            <w:tcW w:w="1683" w:type="pct"/>
            <w:tcBorders>
              <w:top w:val="single" w:color="auto" w:sz="4" w:space="0"/>
              <w:bottom w:val="single" w:color="auto" w:sz="4" w:space="0"/>
            </w:tcBorders>
            <w:vAlign w:val="center"/>
          </w:tcPr>
          <w:p>
            <w:pPr>
              <w:spacing w:line="360" w:lineRule="auto"/>
              <w:jc w:val="center"/>
              <w:rPr>
                <w:kern w:val="0"/>
                <w:szCs w:val="21"/>
              </w:rPr>
            </w:pPr>
            <w:r>
              <w:rPr>
                <w:kern w:val="0"/>
                <w:szCs w:val="21"/>
              </w:rPr>
              <w:t>ag10042</w:t>
            </w:r>
          </w:p>
        </w:tc>
        <w:tc>
          <w:tcPr>
            <w:tcW w:w="1374" w:type="pct"/>
            <w:tcBorders>
              <w:top w:val="single" w:color="auto" w:sz="4" w:space="0"/>
              <w:bottom w:val="single" w:color="auto" w:sz="4" w:space="0"/>
            </w:tcBorders>
            <w:vAlign w:val="center"/>
          </w:tcPr>
          <w:p>
            <w:pPr>
              <w:spacing w:line="360" w:lineRule="auto"/>
              <w:jc w:val="center"/>
              <w:rPr>
                <w:kern w:val="0"/>
                <w:szCs w:val="21"/>
              </w:rPr>
            </w:pPr>
            <w:r>
              <w:rPr>
                <w:kern w:val="0"/>
                <w:szCs w:val="21"/>
              </w:rPr>
              <w:t>ag16996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V</w:t>
            </w:r>
            <w:r>
              <w:rPr>
                <w:kern w:val="0"/>
                <w:szCs w:val="21"/>
              </w:rPr>
              <w:t>andetanib</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1.48</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4.65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A</w:t>
            </w:r>
            <w:r>
              <w:rPr>
                <w:kern w:val="0"/>
                <w:szCs w:val="21"/>
              </w:rPr>
              <w:t>fatinib</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3.87</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3.75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L</w:t>
            </w:r>
            <w:r>
              <w:rPr>
                <w:kern w:val="0"/>
                <w:szCs w:val="21"/>
              </w:rPr>
              <w:t>apatinib</w:t>
            </w:r>
          </w:p>
        </w:tc>
        <w:tc>
          <w:tcPr>
            <w:tcW w:w="168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5.40</w:t>
            </w:r>
          </w:p>
        </w:tc>
        <w:tc>
          <w:tcPr>
            <w:tcW w:w="1374"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12.14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 w:val="20"/>
                <w:szCs w:val="21"/>
              </w:rPr>
            </w:pPr>
            <w:r>
              <w:rPr>
                <w:kern w:val="0"/>
                <w:sz w:val="20"/>
                <w:szCs w:val="21"/>
              </w:rPr>
              <w:t>NVP-BHG712</w:t>
            </w:r>
          </w:p>
        </w:tc>
        <w:tc>
          <w:tcPr>
            <w:tcW w:w="1683" w:type="pct"/>
            <w:tcBorders>
              <w:top w:val="single" w:color="auto" w:sz="4" w:space="0"/>
              <w:bottom w:val="single" w:color="auto" w:sz="4" w:space="0"/>
            </w:tcBorders>
            <w:vAlign w:val="center"/>
          </w:tcPr>
          <w:p>
            <w:pPr>
              <w:spacing w:line="360" w:lineRule="auto"/>
              <w:jc w:val="center"/>
              <w:rPr>
                <w:kern w:val="0"/>
                <w:sz w:val="20"/>
                <w:szCs w:val="21"/>
              </w:rPr>
            </w:pPr>
            <w:r>
              <w:rPr>
                <w:rFonts w:hint="eastAsia"/>
                <w:kern w:val="0"/>
                <w:sz w:val="20"/>
                <w:szCs w:val="21"/>
              </w:rPr>
              <w:t>3.85</w:t>
            </w:r>
          </w:p>
        </w:tc>
        <w:tc>
          <w:tcPr>
            <w:tcW w:w="1374" w:type="pct"/>
            <w:tcBorders>
              <w:top w:val="single" w:color="auto" w:sz="4" w:space="0"/>
              <w:bottom w:val="single" w:color="auto" w:sz="4" w:space="0"/>
            </w:tcBorders>
            <w:vAlign w:val="center"/>
          </w:tcPr>
          <w:p>
            <w:pPr>
              <w:spacing w:line="360" w:lineRule="auto"/>
              <w:jc w:val="center"/>
              <w:rPr>
                <w:kern w:val="0"/>
                <w:sz w:val="20"/>
                <w:szCs w:val="21"/>
              </w:rPr>
            </w:pPr>
            <w:r>
              <w:rPr>
                <w:rFonts w:hint="eastAsia"/>
                <w:kern w:val="0"/>
                <w:sz w:val="20"/>
                <w:szCs w:val="21"/>
              </w:rPr>
              <w:t>4.75</w:t>
            </w:r>
          </w:p>
        </w:tc>
      </w:tr>
    </w:tbl>
    <w:p>
      <w:pPr>
        <w:spacing w:line="360" w:lineRule="auto"/>
        <w:jc w:val="left"/>
        <w:rPr>
          <w:b/>
          <w:bCs/>
          <w:szCs w:val="21"/>
        </w:rPr>
      </w:pPr>
    </w:p>
    <w:p>
      <w:pPr>
        <w:spacing w:line="360" w:lineRule="auto"/>
        <w:jc w:val="left"/>
        <w:rPr>
          <w:b/>
          <w:bCs/>
          <w:szCs w:val="21"/>
        </w:rPr>
      </w:pPr>
      <w:r>
        <w:rPr>
          <w:rFonts w:hint="eastAsia"/>
          <w:b/>
          <w:bCs/>
          <w:szCs w:val="21"/>
        </w:rPr>
        <w:t xml:space="preserve">Table </w:t>
      </w:r>
      <w:r>
        <w:rPr>
          <w:b/>
          <w:bCs/>
          <w:szCs w:val="21"/>
        </w:rPr>
        <w:t>S5</w:t>
      </w:r>
      <w:r>
        <w:rPr>
          <w:rFonts w:hint="eastAsia"/>
          <w:b/>
          <w:bCs/>
          <w:szCs w:val="21"/>
        </w:rPr>
        <w:t xml:space="preserve"> </w:t>
      </w:r>
      <w:r>
        <w:rPr>
          <w:rFonts w:hint="eastAsia"/>
          <w:bCs/>
          <w:szCs w:val="21"/>
        </w:rPr>
        <w:t>The</w:t>
      </w:r>
      <w:r>
        <w:rPr>
          <w:bCs/>
          <w:i/>
          <w:iCs/>
          <w:szCs w:val="21"/>
        </w:rPr>
        <w:t xml:space="preserve"> </w:t>
      </w:r>
      <w:r>
        <w:rPr>
          <w:bCs/>
          <w:szCs w:val="21"/>
        </w:rPr>
        <w:t>IC</w:t>
      </w:r>
      <w:r>
        <w:rPr>
          <w:bCs/>
          <w:szCs w:val="21"/>
          <w:vertAlign w:val="subscript"/>
        </w:rPr>
        <w:t>50</w:t>
      </w:r>
      <w:r>
        <w:rPr>
          <w:bCs/>
          <w:szCs w:val="21"/>
        </w:rPr>
        <w:t xml:space="preserve"> of TKIs on EphB4 kinase activity by kinase assay</w:t>
      </w:r>
    </w:p>
    <w:tbl>
      <w:tblPr>
        <w:tblStyle w:val="6"/>
        <w:tblW w:w="3413"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60"/>
        <w:gridCol w:w="355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shd w:val="clear" w:color="auto" w:fill="FFFFFF" w:themeFill="background1"/>
            <w:vAlign w:val="center"/>
          </w:tcPr>
          <w:p>
            <w:pPr>
              <w:spacing w:line="360" w:lineRule="auto"/>
              <w:jc w:val="center"/>
              <w:rPr>
                <w:kern w:val="0"/>
                <w:szCs w:val="21"/>
              </w:rPr>
            </w:pPr>
            <w:r>
              <w:rPr>
                <w:kern w:val="0"/>
                <w:szCs w:val="21"/>
              </w:rPr>
              <w:t>Compounds</w:t>
            </w:r>
          </w:p>
        </w:tc>
        <w:tc>
          <w:tcPr>
            <w:tcW w:w="3057" w:type="pct"/>
            <w:tcBorders>
              <w:top w:val="single" w:color="auto" w:sz="4" w:space="0"/>
              <w:bottom w:val="single" w:color="auto" w:sz="4" w:space="0"/>
            </w:tcBorders>
            <w:vAlign w:val="center"/>
          </w:tcPr>
          <w:p>
            <w:pPr>
              <w:spacing w:line="360" w:lineRule="auto"/>
              <w:jc w:val="center"/>
              <w:rPr>
                <w:kern w:val="0"/>
                <w:szCs w:val="21"/>
              </w:rPr>
            </w:pPr>
            <w:r>
              <w:rPr>
                <w:kern w:val="0"/>
                <w:szCs w:val="21"/>
              </w:rPr>
              <w:t>IC</w:t>
            </w:r>
            <w:r>
              <w:rPr>
                <w:kern w:val="0"/>
                <w:szCs w:val="21"/>
                <w:vertAlign w:val="subscript"/>
              </w:rPr>
              <w:t xml:space="preserve">50 </w:t>
            </w:r>
            <w:r>
              <w:rPr>
                <w:kern w:val="0"/>
                <w:szCs w:val="21"/>
              </w:rPr>
              <w:t>(nM)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V</w:t>
            </w:r>
            <w:r>
              <w:rPr>
                <w:kern w:val="0"/>
                <w:szCs w:val="21"/>
              </w:rPr>
              <w:t>andetanib</w:t>
            </w:r>
          </w:p>
        </w:tc>
        <w:tc>
          <w:tcPr>
            <w:tcW w:w="3057" w:type="pct"/>
            <w:tcBorders>
              <w:top w:val="single" w:color="auto" w:sz="4" w:space="0"/>
              <w:bottom w:val="single" w:color="auto" w:sz="4" w:space="0"/>
            </w:tcBorders>
            <w:vAlign w:val="center"/>
          </w:tcPr>
          <w:p>
            <w:pPr>
              <w:spacing w:line="360" w:lineRule="auto"/>
              <w:jc w:val="center"/>
              <w:rPr>
                <w:kern w:val="0"/>
                <w:szCs w:val="21"/>
              </w:rPr>
            </w:pPr>
            <w:r>
              <w:rPr>
                <w:kern w:val="0"/>
                <w:szCs w:val="21"/>
              </w:rPr>
              <w:t>68.33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A</w:t>
            </w:r>
            <w:r>
              <w:rPr>
                <w:kern w:val="0"/>
                <w:szCs w:val="21"/>
              </w:rPr>
              <w:t>fatinib</w:t>
            </w:r>
          </w:p>
        </w:tc>
        <w:tc>
          <w:tcPr>
            <w:tcW w:w="3057" w:type="pct"/>
            <w:tcBorders>
              <w:top w:val="single" w:color="auto" w:sz="4" w:space="0"/>
              <w:bottom w:val="single" w:color="auto" w:sz="4" w:space="0"/>
            </w:tcBorders>
            <w:vAlign w:val="center"/>
          </w:tcPr>
          <w:p>
            <w:pPr>
              <w:spacing w:line="360" w:lineRule="auto"/>
              <w:jc w:val="center"/>
              <w:rPr>
                <w:kern w:val="0"/>
                <w:szCs w:val="21"/>
              </w:rPr>
            </w:pPr>
            <w:r>
              <w:rPr>
                <w:kern w:val="0"/>
                <w:szCs w:val="21"/>
              </w:rPr>
              <w:t>1708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L</w:t>
            </w:r>
            <w:r>
              <w:rPr>
                <w:kern w:val="0"/>
                <w:szCs w:val="21"/>
              </w:rPr>
              <w:t>apatinib</w:t>
            </w:r>
          </w:p>
        </w:tc>
        <w:tc>
          <w:tcPr>
            <w:tcW w:w="3057" w:type="pct"/>
            <w:tcBorders>
              <w:top w:val="single" w:color="auto" w:sz="4" w:space="0"/>
              <w:bottom w:val="single" w:color="auto" w:sz="4" w:space="0"/>
            </w:tcBorders>
            <w:vAlign w:val="center"/>
          </w:tcPr>
          <w:p>
            <w:pPr>
              <w:spacing w:line="360" w:lineRule="auto"/>
              <w:jc w:val="center"/>
              <w:rPr>
                <w:kern w:val="0"/>
                <w:szCs w:val="21"/>
              </w:rPr>
            </w:pPr>
            <w:r>
              <w:rPr>
                <w:kern w:val="0"/>
                <w:szCs w:val="21"/>
              </w:rPr>
              <w:t>&gt;</w:t>
            </w:r>
            <w:r>
              <w:rPr>
                <w:rFonts w:hint="eastAsia"/>
                <w:kern w:val="0"/>
                <w:szCs w:val="21"/>
              </w:rPr>
              <w:t>1</w:t>
            </w:r>
            <w:r>
              <w:rPr>
                <w:kern w:val="0"/>
                <w:szCs w:val="21"/>
              </w:rPr>
              <w:t>00000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943" w:type="pct"/>
            <w:tcBorders>
              <w:top w:val="single" w:color="auto" w:sz="4" w:space="0"/>
              <w:bottom w:val="single" w:color="auto" w:sz="4" w:space="0"/>
            </w:tcBorders>
            <w:vAlign w:val="center"/>
          </w:tcPr>
          <w:p>
            <w:pPr>
              <w:spacing w:line="360" w:lineRule="auto"/>
              <w:jc w:val="center"/>
              <w:rPr>
                <w:kern w:val="0"/>
                <w:szCs w:val="21"/>
              </w:rPr>
            </w:pPr>
            <w:r>
              <w:rPr>
                <w:rFonts w:hint="eastAsia"/>
                <w:kern w:val="0"/>
                <w:szCs w:val="21"/>
              </w:rPr>
              <w:t>N</w:t>
            </w:r>
            <w:r>
              <w:rPr>
                <w:kern w:val="0"/>
                <w:szCs w:val="21"/>
              </w:rPr>
              <w:t>VP-BHG712</w:t>
            </w:r>
          </w:p>
        </w:tc>
        <w:tc>
          <w:tcPr>
            <w:tcW w:w="3057" w:type="pct"/>
            <w:tcBorders>
              <w:top w:val="single" w:color="auto" w:sz="4" w:space="0"/>
              <w:bottom w:val="single" w:color="auto" w:sz="4" w:space="0"/>
            </w:tcBorders>
            <w:vAlign w:val="center"/>
          </w:tcPr>
          <w:p>
            <w:pPr>
              <w:spacing w:line="360" w:lineRule="auto"/>
              <w:jc w:val="center"/>
              <w:rPr>
                <w:kern w:val="0"/>
                <w:szCs w:val="21"/>
              </w:rPr>
            </w:pPr>
            <w:r>
              <w:rPr>
                <w:kern w:val="0"/>
                <w:szCs w:val="21"/>
              </w:rPr>
              <w:t>349.3</w:t>
            </w:r>
            <w:r>
              <w:rPr>
                <w:rFonts w:hint="eastAsia"/>
                <w:kern w:val="0"/>
                <w:szCs w:val="21"/>
              </w:rPr>
              <w:t>0</w:t>
            </w:r>
          </w:p>
        </w:tc>
      </w:tr>
    </w:tbl>
    <w:p>
      <w:pPr>
        <w:spacing w:line="360" w:lineRule="auto"/>
        <w:jc w:val="center"/>
        <w:rPr>
          <w:szCs w:val="21"/>
        </w:rPr>
      </w:pPr>
    </w:p>
    <w:p>
      <w:pPr>
        <w:spacing w:line="360" w:lineRule="auto"/>
        <w:jc w:val="left"/>
        <w:rPr>
          <w:b/>
          <w:bCs/>
          <w:szCs w:val="21"/>
        </w:rPr>
      </w:pPr>
      <w:r>
        <w:rPr>
          <w:rFonts w:hint="eastAsia"/>
          <w:b/>
          <w:bCs/>
          <w:szCs w:val="21"/>
        </w:rPr>
        <w:t xml:space="preserve">Table </w:t>
      </w:r>
      <w:r>
        <w:rPr>
          <w:b/>
          <w:bCs/>
          <w:szCs w:val="21"/>
        </w:rPr>
        <w:t>S6</w:t>
      </w:r>
      <w:r>
        <w:rPr>
          <w:rFonts w:hint="eastAsia"/>
          <w:b/>
          <w:bCs/>
          <w:szCs w:val="21"/>
        </w:rPr>
        <w:t xml:space="preserve"> </w:t>
      </w:r>
      <w:r>
        <w:rPr>
          <w:rFonts w:hint="eastAsia"/>
          <w:bCs/>
          <w:szCs w:val="21"/>
        </w:rPr>
        <w:t>The predicted binding free energies and the individual energy components computed by MM/PBSA method (</w:t>
      </w:r>
      <w:r>
        <w:rPr>
          <w:bCs/>
          <w:szCs w:val="21"/>
        </w:rPr>
        <w:t>neglecting the configurational entropy</w:t>
      </w:r>
      <w:r>
        <w:rPr>
          <w:rFonts w:hint="eastAsia"/>
          <w:bCs/>
          <w:szCs w:val="21"/>
        </w:rPr>
        <w:t>, kcal/mol)</w:t>
      </w:r>
    </w:p>
    <w:tbl>
      <w:tblPr>
        <w:tblStyle w:val="6"/>
        <w:tblW w:w="5000"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59"/>
        <w:gridCol w:w="1021"/>
        <w:gridCol w:w="1021"/>
        <w:gridCol w:w="1021"/>
        <w:gridCol w:w="1158"/>
        <w:gridCol w:w="1021"/>
        <w:gridCol w:w="102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325" w:type="pct"/>
            <w:tcBorders>
              <w:top w:val="single" w:color="auto" w:sz="4" w:space="0"/>
              <w:bottom w:val="single" w:color="auto" w:sz="4" w:space="0"/>
            </w:tcBorders>
            <w:vAlign w:val="center"/>
          </w:tcPr>
          <w:p>
            <w:pPr>
              <w:spacing w:line="360" w:lineRule="auto"/>
              <w:jc w:val="center"/>
              <w:rPr>
                <w:kern w:val="0"/>
                <w:szCs w:val="21"/>
              </w:rPr>
            </w:pPr>
            <w:r>
              <w:rPr>
                <w:kern w:val="0"/>
                <w:szCs w:val="21"/>
              </w:rPr>
              <w:t>Complex</w:t>
            </w:r>
          </w:p>
        </w:tc>
        <w:tc>
          <w:tcPr>
            <w:tcW w:w="599" w:type="pct"/>
            <w:tcBorders>
              <w:top w:val="single" w:color="auto" w:sz="4" w:space="0"/>
              <w:bottom w:val="single" w:color="auto" w:sz="4" w:space="0"/>
            </w:tcBorders>
            <w:vAlign w:val="center"/>
          </w:tcPr>
          <w:p>
            <w:pPr>
              <w:spacing w:line="360" w:lineRule="auto"/>
              <w:jc w:val="center"/>
              <w:rPr>
                <w:kern w:val="0"/>
                <w:szCs w:val="21"/>
              </w:rPr>
            </w:pPr>
            <w:r>
              <w:rPr>
                <w:kern w:val="0"/>
                <w:szCs w:val="21"/>
              </w:rPr>
              <w:t>∆</w:t>
            </w:r>
            <w:r>
              <w:rPr>
                <w:i/>
                <w:kern w:val="0"/>
                <w:szCs w:val="21"/>
              </w:rPr>
              <w:t>E</w:t>
            </w:r>
            <w:r>
              <w:rPr>
                <w:kern w:val="0"/>
                <w:szCs w:val="21"/>
                <w:vertAlign w:val="subscript"/>
              </w:rPr>
              <w:t>ele</w:t>
            </w:r>
          </w:p>
        </w:tc>
        <w:tc>
          <w:tcPr>
            <w:tcW w:w="599" w:type="pct"/>
            <w:tcBorders>
              <w:top w:val="single" w:color="auto" w:sz="4" w:space="0"/>
              <w:bottom w:val="single" w:color="auto" w:sz="4" w:space="0"/>
            </w:tcBorders>
            <w:vAlign w:val="center"/>
          </w:tcPr>
          <w:p>
            <w:pPr>
              <w:spacing w:line="360" w:lineRule="auto"/>
              <w:jc w:val="center"/>
              <w:rPr>
                <w:kern w:val="0"/>
                <w:szCs w:val="21"/>
              </w:rPr>
            </w:pPr>
            <w:r>
              <w:rPr>
                <w:kern w:val="0"/>
                <w:szCs w:val="21"/>
              </w:rPr>
              <w:t>∆</w:t>
            </w:r>
            <w:r>
              <w:rPr>
                <w:i/>
                <w:kern w:val="0"/>
                <w:szCs w:val="21"/>
              </w:rPr>
              <w:t>E</w:t>
            </w:r>
            <w:r>
              <w:rPr>
                <w:kern w:val="0"/>
                <w:szCs w:val="21"/>
                <w:vertAlign w:val="subscript"/>
              </w:rPr>
              <w:t>vdw</w:t>
            </w:r>
          </w:p>
        </w:tc>
        <w:tc>
          <w:tcPr>
            <w:tcW w:w="599" w:type="pct"/>
            <w:tcBorders>
              <w:top w:val="single" w:color="auto" w:sz="4" w:space="0"/>
              <w:bottom w:val="single" w:color="auto" w:sz="4" w:space="0"/>
            </w:tcBorders>
            <w:vAlign w:val="center"/>
          </w:tcPr>
          <w:p>
            <w:pPr>
              <w:spacing w:line="360" w:lineRule="auto"/>
              <w:jc w:val="center"/>
              <w:rPr>
                <w:kern w:val="0"/>
                <w:szCs w:val="21"/>
              </w:rPr>
            </w:pPr>
            <w:r>
              <w:rPr>
                <w:kern w:val="0"/>
                <w:szCs w:val="21"/>
              </w:rPr>
              <w:t>∆</w:t>
            </w:r>
            <w:r>
              <w:rPr>
                <w:i/>
                <w:kern w:val="0"/>
                <w:szCs w:val="21"/>
              </w:rPr>
              <w:t>G</w:t>
            </w:r>
            <w:r>
              <w:rPr>
                <w:kern w:val="0"/>
                <w:szCs w:val="21"/>
                <w:vertAlign w:val="subscript"/>
              </w:rPr>
              <w:t>np</w:t>
            </w:r>
          </w:p>
        </w:tc>
        <w:tc>
          <w:tcPr>
            <w:tcW w:w="679" w:type="pct"/>
            <w:tcBorders>
              <w:top w:val="single" w:color="auto" w:sz="4" w:space="0"/>
              <w:bottom w:val="single" w:color="auto" w:sz="4" w:space="0"/>
            </w:tcBorders>
            <w:vAlign w:val="center"/>
          </w:tcPr>
          <w:p>
            <w:pPr>
              <w:spacing w:line="360" w:lineRule="auto"/>
              <w:jc w:val="center"/>
              <w:rPr>
                <w:kern w:val="0"/>
                <w:szCs w:val="21"/>
              </w:rPr>
            </w:pPr>
            <w:r>
              <w:rPr>
                <w:kern w:val="0"/>
                <w:szCs w:val="21"/>
              </w:rPr>
              <w:t>∆</w:t>
            </w:r>
            <w:r>
              <w:rPr>
                <w:i/>
                <w:kern w:val="0"/>
                <w:szCs w:val="21"/>
              </w:rPr>
              <w:t>G</w:t>
            </w:r>
            <w:r>
              <w:rPr>
                <w:kern w:val="0"/>
                <w:szCs w:val="21"/>
                <w:vertAlign w:val="subscript"/>
              </w:rPr>
              <w:t>ele</w:t>
            </w:r>
          </w:p>
        </w:tc>
        <w:tc>
          <w:tcPr>
            <w:tcW w:w="599" w:type="pct"/>
            <w:tcBorders>
              <w:top w:val="single" w:color="auto" w:sz="4" w:space="0"/>
              <w:bottom w:val="single" w:color="auto" w:sz="4" w:space="0"/>
            </w:tcBorders>
            <w:vAlign w:val="center"/>
          </w:tcPr>
          <w:p>
            <w:pPr>
              <w:spacing w:line="360" w:lineRule="auto"/>
              <w:jc w:val="center"/>
              <w:rPr>
                <w:kern w:val="0"/>
                <w:szCs w:val="21"/>
              </w:rPr>
            </w:pPr>
            <w:r>
              <w:rPr>
                <w:kern w:val="0"/>
                <w:szCs w:val="21"/>
              </w:rPr>
              <w:t>∆</w:t>
            </w:r>
            <w:r>
              <w:rPr>
                <w:i/>
                <w:kern w:val="0"/>
                <w:szCs w:val="21"/>
              </w:rPr>
              <w:t>G</w:t>
            </w:r>
            <w:r>
              <w:rPr>
                <w:kern w:val="0"/>
                <w:szCs w:val="21"/>
                <w:vertAlign w:val="subscript"/>
              </w:rPr>
              <w:t>solv</w:t>
            </w:r>
          </w:p>
        </w:tc>
        <w:tc>
          <w:tcPr>
            <w:tcW w:w="599" w:type="pct"/>
            <w:tcBorders>
              <w:top w:val="single" w:color="auto" w:sz="4" w:space="0"/>
              <w:bottom w:val="single" w:color="auto" w:sz="4" w:space="0"/>
            </w:tcBorders>
            <w:vAlign w:val="center"/>
          </w:tcPr>
          <w:p>
            <w:pPr>
              <w:spacing w:line="360" w:lineRule="auto"/>
              <w:jc w:val="center"/>
              <w:rPr>
                <w:kern w:val="0"/>
                <w:szCs w:val="21"/>
              </w:rPr>
            </w:pPr>
            <w:r>
              <w:rPr>
                <w:kern w:val="0"/>
                <w:szCs w:val="21"/>
              </w:rPr>
              <w:t>∆</w:t>
            </w:r>
            <w:r>
              <w:rPr>
                <w:i/>
                <w:kern w:val="0"/>
                <w:szCs w:val="21"/>
              </w:rPr>
              <w:t>G</w:t>
            </w:r>
            <w:r>
              <w:rPr>
                <w:kern w:val="0"/>
                <w:szCs w:val="21"/>
                <w:vertAlign w:val="subscript"/>
              </w:rPr>
              <w:t>bind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4" w:hRule="atLeast"/>
          <w:jc w:val="center"/>
        </w:trPr>
        <w:tc>
          <w:tcPr>
            <w:tcW w:w="1325" w:type="pct"/>
            <w:tcBorders>
              <w:top w:val="single" w:color="auto" w:sz="4" w:space="0"/>
            </w:tcBorders>
            <w:vAlign w:val="center"/>
          </w:tcPr>
          <w:p>
            <w:pPr>
              <w:spacing w:line="360" w:lineRule="auto"/>
              <w:jc w:val="center"/>
              <w:rPr>
                <w:kern w:val="0"/>
                <w:szCs w:val="21"/>
              </w:rPr>
            </w:pPr>
            <w:r>
              <w:rPr>
                <w:kern w:val="0"/>
                <w:szCs w:val="21"/>
              </w:rPr>
              <w:t>EphB4-vandetanib</w:t>
            </w:r>
          </w:p>
        </w:tc>
        <w:tc>
          <w:tcPr>
            <w:tcW w:w="599" w:type="pct"/>
            <w:tcBorders>
              <w:top w:val="single" w:color="auto" w:sz="4" w:space="0"/>
            </w:tcBorders>
            <w:vAlign w:val="center"/>
          </w:tcPr>
          <w:p>
            <w:pPr>
              <w:spacing w:line="360" w:lineRule="auto"/>
              <w:jc w:val="center"/>
              <w:rPr>
                <w:kern w:val="0"/>
                <w:szCs w:val="21"/>
              </w:rPr>
            </w:pPr>
            <w:r>
              <w:rPr>
                <w:kern w:val="0"/>
                <w:szCs w:val="21"/>
              </w:rPr>
              <w:t>-9.</w:t>
            </w:r>
            <w:r>
              <w:rPr>
                <w:rFonts w:hint="eastAsia"/>
                <w:kern w:val="0"/>
                <w:szCs w:val="21"/>
              </w:rPr>
              <w:t>35</w:t>
            </w:r>
          </w:p>
          <w:p>
            <w:pPr>
              <w:spacing w:line="360" w:lineRule="auto"/>
              <w:jc w:val="center"/>
              <w:rPr>
                <w:kern w:val="0"/>
                <w:szCs w:val="21"/>
              </w:rPr>
            </w:pPr>
            <w:r>
              <w:rPr>
                <w:kern w:val="0"/>
                <w:szCs w:val="21"/>
              </w:rPr>
              <w:t>±</w:t>
            </w:r>
            <w:r>
              <w:rPr>
                <w:rFonts w:hint="eastAsia"/>
                <w:kern w:val="0"/>
                <w:szCs w:val="21"/>
              </w:rPr>
              <w:t>3.43</w:t>
            </w:r>
          </w:p>
        </w:tc>
        <w:tc>
          <w:tcPr>
            <w:tcW w:w="599" w:type="pct"/>
            <w:tcBorders>
              <w:top w:val="single" w:color="auto" w:sz="4" w:space="0"/>
            </w:tcBorders>
            <w:vAlign w:val="center"/>
          </w:tcPr>
          <w:p>
            <w:pPr>
              <w:spacing w:line="360" w:lineRule="auto"/>
              <w:jc w:val="center"/>
              <w:rPr>
                <w:kern w:val="0"/>
                <w:szCs w:val="21"/>
              </w:rPr>
            </w:pPr>
            <w:r>
              <w:rPr>
                <w:kern w:val="0"/>
                <w:szCs w:val="21"/>
              </w:rPr>
              <w:t>-</w:t>
            </w:r>
            <w:r>
              <w:rPr>
                <w:rFonts w:hint="eastAsia"/>
                <w:kern w:val="0"/>
                <w:szCs w:val="21"/>
              </w:rPr>
              <w:t>32.95</w:t>
            </w:r>
          </w:p>
          <w:p>
            <w:pPr>
              <w:spacing w:line="360" w:lineRule="auto"/>
              <w:jc w:val="center"/>
              <w:rPr>
                <w:kern w:val="0"/>
                <w:szCs w:val="21"/>
              </w:rPr>
            </w:pPr>
            <w:r>
              <w:rPr>
                <w:kern w:val="0"/>
                <w:szCs w:val="21"/>
              </w:rPr>
              <w:t>±</w:t>
            </w:r>
            <w:r>
              <w:rPr>
                <w:rFonts w:hint="eastAsia"/>
                <w:kern w:val="0"/>
                <w:szCs w:val="21"/>
              </w:rPr>
              <w:t>4.11</w:t>
            </w:r>
          </w:p>
        </w:tc>
        <w:tc>
          <w:tcPr>
            <w:tcW w:w="599" w:type="pct"/>
            <w:tcBorders>
              <w:top w:val="single" w:color="auto" w:sz="4" w:space="0"/>
            </w:tcBorders>
            <w:vAlign w:val="center"/>
          </w:tcPr>
          <w:p>
            <w:pPr>
              <w:spacing w:line="360" w:lineRule="auto"/>
              <w:jc w:val="center"/>
              <w:rPr>
                <w:kern w:val="0"/>
                <w:szCs w:val="21"/>
              </w:rPr>
            </w:pPr>
            <w:r>
              <w:rPr>
                <w:kern w:val="0"/>
                <w:szCs w:val="21"/>
              </w:rPr>
              <w:t>-</w:t>
            </w:r>
            <w:r>
              <w:rPr>
                <w:rFonts w:hint="eastAsia"/>
                <w:kern w:val="0"/>
                <w:szCs w:val="21"/>
              </w:rPr>
              <w:t>4.95</w:t>
            </w:r>
          </w:p>
          <w:p>
            <w:pPr>
              <w:spacing w:line="360" w:lineRule="auto"/>
              <w:jc w:val="center"/>
              <w:rPr>
                <w:kern w:val="0"/>
                <w:szCs w:val="21"/>
              </w:rPr>
            </w:pPr>
            <w:r>
              <w:rPr>
                <w:kern w:val="0"/>
                <w:szCs w:val="21"/>
              </w:rPr>
              <w:t>±0.</w:t>
            </w:r>
            <w:r>
              <w:rPr>
                <w:rFonts w:hint="eastAsia"/>
                <w:kern w:val="0"/>
                <w:szCs w:val="21"/>
              </w:rPr>
              <w:t>49</w:t>
            </w:r>
          </w:p>
        </w:tc>
        <w:tc>
          <w:tcPr>
            <w:tcW w:w="679" w:type="pct"/>
            <w:tcBorders>
              <w:top w:val="single" w:color="auto" w:sz="4" w:space="0"/>
            </w:tcBorders>
            <w:vAlign w:val="center"/>
          </w:tcPr>
          <w:p>
            <w:pPr>
              <w:spacing w:line="360" w:lineRule="auto"/>
              <w:jc w:val="center"/>
              <w:rPr>
                <w:kern w:val="0"/>
                <w:szCs w:val="21"/>
              </w:rPr>
            </w:pPr>
            <w:r>
              <w:rPr>
                <w:rFonts w:hint="eastAsia"/>
                <w:kern w:val="0"/>
                <w:szCs w:val="21"/>
              </w:rPr>
              <w:t>11.11</w:t>
            </w:r>
          </w:p>
          <w:p>
            <w:pPr>
              <w:spacing w:line="360" w:lineRule="auto"/>
              <w:jc w:val="center"/>
              <w:rPr>
                <w:kern w:val="0"/>
                <w:szCs w:val="21"/>
              </w:rPr>
            </w:pPr>
            <w:r>
              <w:rPr>
                <w:kern w:val="0"/>
                <w:szCs w:val="21"/>
              </w:rPr>
              <w:t>±2</w:t>
            </w:r>
            <w:r>
              <w:rPr>
                <w:rFonts w:hint="eastAsia"/>
                <w:kern w:val="0"/>
                <w:szCs w:val="21"/>
              </w:rPr>
              <w:t>.28</w:t>
            </w:r>
          </w:p>
        </w:tc>
        <w:tc>
          <w:tcPr>
            <w:tcW w:w="599" w:type="pct"/>
            <w:tcBorders>
              <w:top w:val="single" w:color="auto" w:sz="4" w:space="0"/>
            </w:tcBorders>
            <w:vAlign w:val="center"/>
          </w:tcPr>
          <w:p>
            <w:pPr>
              <w:spacing w:line="360" w:lineRule="auto"/>
              <w:jc w:val="center"/>
              <w:rPr>
                <w:kern w:val="0"/>
                <w:szCs w:val="21"/>
              </w:rPr>
            </w:pPr>
            <w:r>
              <w:rPr>
                <w:rFonts w:hint="eastAsia"/>
                <w:kern w:val="0"/>
                <w:szCs w:val="21"/>
              </w:rPr>
              <w:t>15.50</w:t>
            </w:r>
          </w:p>
          <w:p>
            <w:pPr>
              <w:spacing w:line="360" w:lineRule="auto"/>
              <w:jc w:val="center"/>
              <w:rPr>
                <w:kern w:val="0"/>
                <w:szCs w:val="21"/>
              </w:rPr>
            </w:pPr>
            <w:r>
              <w:rPr>
                <w:kern w:val="0"/>
                <w:szCs w:val="21"/>
              </w:rPr>
              <w:t>±</w:t>
            </w:r>
            <w:r>
              <w:rPr>
                <w:rFonts w:hint="eastAsia"/>
                <w:kern w:val="0"/>
                <w:szCs w:val="21"/>
              </w:rPr>
              <w:t>3.15</w:t>
            </w:r>
          </w:p>
        </w:tc>
        <w:tc>
          <w:tcPr>
            <w:tcW w:w="599" w:type="pct"/>
            <w:tcBorders>
              <w:top w:val="single" w:color="auto" w:sz="4" w:space="0"/>
            </w:tcBorders>
            <w:vAlign w:val="center"/>
          </w:tcPr>
          <w:p>
            <w:pPr>
              <w:spacing w:line="360" w:lineRule="auto"/>
              <w:jc w:val="center"/>
              <w:rPr>
                <w:kern w:val="0"/>
                <w:szCs w:val="21"/>
              </w:rPr>
            </w:pPr>
            <w:r>
              <w:rPr>
                <w:kern w:val="0"/>
                <w:szCs w:val="21"/>
              </w:rPr>
              <w:t>-26</w:t>
            </w:r>
            <w:r>
              <w:rPr>
                <w:rFonts w:hint="eastAsia"/>
                <w:kern w:val="0"/>
                <w:szCs w:val="21"/>
              </w:rPr>
              <w:t>.80</w:t>
            </w:r>
          </w:p>
          <w:p>
            <w:pPr>
              <w:spacing w:line="360" w:lineRule="auto"/>
              <w:jc w:val="center"/>
              <w:rPr>
                <w:kern w:val="0"/>
                <w:szCs w:val="21"/>
              </w:rPr>
            </w:pPr>
            <w:r>
              <w:rPr>
                <w:kern w:val="0"/>
                <w:szCs w:val="21"/>
              </w:rPr>
              <w:t>±</w:t>
            </w:r>
            <w:r>
              <w:rPr>
                <w:rFonts w:hint="eastAsia"/>
                <w:kern w:val="0"/>
                <w:szCs w:val="21"/>
              </w:rPr>
              <w:t>3.70</w:t>
            </w:r>
          </w:p>
        </w:tc>
      </w:tr>
    </w:tbl>
    <w:p>
      <w:pPr>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
    <w:altName w:val="宋体"/>
    <w:panose1 w:val="00000000000000000000"/>
    <w:charset w:val="86"/>
    <w:family w:val="auto"/>
    <w:pitch w:val="default"/>
    <w:sig w:usb0="00000000" w:usb1="00000000" w:usb2="00000010" w:usb3="00000000" w:csb0="0006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759"/>
    <w:rsid w:val="00020E62"/>
    <w:rsid w:val="00083BC7"/>
    <w:rsid w:val="000945ED"/>
    <w:rsid w:val="000D0CB7"/>
    <w:rsid w:val="000F1048"/>
    <w:rsid w:val="0018503B"/>
    <w:rsid w:val="001923A6"/>
    <w:rsid w:val="001A36A8"/>
    <w:rsid w:val="00251046"/>
    <w:rsid w:val="002F4F95"/>
    <w:rsid w:val="00356162"/>
    <w:rsid w:val="003731E2"/>
    <w:rsid w:val="00374246"/>
    <w:rsid w:val="004154DC"/>
    <w:rsid w:val="00434B1A"/>
    <w:rsid w:val="004D551A"/>
    <w:rsid w:val="004D774E"/>
    <w:rsid w:val="0051135B"/>
    <w:rsid w:val="00545A99"/>
    <w:rsid w:val="00550B38"/>
    <w:rsid w:val="005670A8"/>
    <w:rsid w:val="00571889"/>
    <w:rsid w:val="005B074E"/>
    <w:rsid w:val="005B0CD7"/>
    <w:rsid w:val="005B2C08"/>
    <w:rsid w:val="005B5915"/>
    <w:rsid w:val="005D33B0"/>
    <w:rsid w:val="005F56E8"/>
    <w:rsid w:val="00601220"/>
    <w:rsid w:val="00606954"/>
    <w:rsid w:val="00672C5E"/>
    <w:rsid w:val="006902F3"/>
    <w:rsid w:val="0069369C"/>
    <w:rsid w:val="006D536C"/>
    <w:rsid w:val="007028B3"/>
    <w:rsid w:val="00703526"/>
    <w:rsid w:val="00706279"/>
    <w:rsid w:val="00761BAC"/>
    <w:rsid w:val="007664AC"/>
    <w:rsid w:val="00780283"/>
    <w:rsid w:val="007C167C"/>
    <w:rsid w:val="00830BA7"/>
    <w:rsid w:val="00834C78"/>
    <w:rsid w:val="00850E2D"/>
    <w:rsid w:val="00872EE7"/>
    <w:rsid w:val="00885628"/>
    <w:rsid w:val="008A35BD"/>
    <w:rsid w:val="008B1759"/>
    <w:rsid w:val="008B4B4B"/>
    <w:rsid w:val="008F0396"/>
    <w:rsid w:val="00905DDC"/>
    <w:rsid w:val="00937E71"/>
    <w:rsid w:val="009817F2"/>
    <w:rsid w:val="009871E0"/>
    <w:rsid w:val="00991173"/>
    <w:rsid w:val="009D4A04"/>
    <w:rsid w:val="00A31786"/>
    <w:rsid w:val="00A52970"/>
    <w:rsid w:val="00A77B04"/>
    <w:rsid w:val="00A84063"/>
    <w:rsid w:val="00AA0D96"/>
    <w:rsid w:val="00AD495A"/>
    <w:rsid w:val="00AE1A81"/>
    <w:rsid w:val="00B354C5"/>
    <w:rsid w:val="00B50A0F"/>
    <w:rsid w:val="00B62F05"/>
    <w:rsid w:val="00B735BA"/>
    <w:rsid w:val="00B93040"/>
    <w:rsid w:val="00BF0955"/>
    <w:rsid w:val="00C00CAA"/>
    <w:rsid w:val="00C04C43"/>
    <w:rsid w:val="00C06847"/>
    <w:rsid w:val="00C209EA"/>
    <w:rsid w:val="00C42941"/>
    <w:rsid w:val="00C43C1C"/>
    <w:rsid w:val="00C478EE"/>
    <w:rsid w:val="00C73846"/>
    <w:rsid w:val="00CD706D"/>
    <w:rsid w:val="00CE2BAE"/>
    <w:rsid w:val="00CF7BED"/>
    <w:rsid w:val="00D05C88"/>
    <w:rsid w:val="00D41D18"/>
    <w:rsid w:val="00D6634B"/>
    <w:rsid w:val="00D707A6"/>
    <w:rsid w:val="00D7353E"/>
    <w:rsid w:val="00D73B91"/>
    <w:rsid w:val="00D95662"/>
    <w:rsid w:val="00DD56CC"/>
    <w:rsid w:val="00E23561"/>
    <w:rsid w:val="00EA25CD"/>
    <w:rsid w:val="00EC1A24"/>
    <w:rsid w:val="00ED4B7B"/>
    <w:rsid w:val="00F01973"/>
    <w:rsid w:val="00F0455E"/>
    <w:rsid w:val="00F32014"/>
    <w:rsid w:val="00F35E7A"/>
    <w:rsid w:val="00F5767F"/>
    <w:rsid w:val="00F72F90"/>
    <w:rsid w:val="00F8151E"/>
    <w:rsid w:val="00FA2E1E"/>
    <w:rsid w:val="00FA7415"/>
    <w:rsid w:val="00FA764C"/>
    <w:rsid w:val="00FB7430"/>
    <w:rsid w:val="00FF5DE3"/>
    <w:rsid w:val="21671BB2"/>
    <w:rsid w:val="2B635D39"/>
    <w:rsid w:val="2BC83A3A"/>
    <w:rsid w:val="35A720A4"/>
    <w:rsid w:val="60013343"/>
    <w:rsid w:val="64254F36"/>
    <w:rsid w:val="6C533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uiPriority w:val="99"/>
    <w:rPr>
      <w:sz w:val="18"/>
      <w:szCs w:val="18"/>
    </w:rPr>
  </w:style>
  <w:style w:type="character" w:customStyle="1" w:styleId="9">
    <w:name w:val="页脚 字符"/>
    <w:basedOn w:val="7"/>
    <w:link w:val="3"/>
    <w:uiPriority w:val="99"/>
    <w:rPr>
      <w:sz w:val="18"/>
      <w:szCs w:val="18"/>
    </w:rPr>
  </w:style>
  <w:style w:type="character" w:customStyle="1" w:styleId="10">
    <w:name w:val="批注框文本 字符"/>
    <w:basedOn w:val="7"/>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image" Target="media/image14.tiff"/><Relationship Id="rId16" Type="http://schemas.openxmlformats.org/officeDocument/2006/relationships/image" Target="media/image13.tiff"/><Relationship Id="rId15" Type="http://schemas.openxmlformats.org/officeDocument/2006/relationships/image" Target="media/image12.tiff"/><Relationship Id="rId14" Type="http://schemas.openxmlformats.org/officeDocument/2006/relationships/image" Target="media/image11.tiff"/><Relationship Id="rId13" Type="http://schemas.openxmlformats.org/officeDocument/2006/relationships/image" Target="media/image10.tiff"/><Relationship Id="rId12" Type="http://schemas.openxmlformats.org/officeDocument/2006/relationships/image" Target="media/image9.tiff"/><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D7FE5E-4554-460B-A0F1-631DD566EDFD}">
  <ds:schemaRefs/>
</ds:datastoreItem>
</file>

<file path=docProps/app.xml><?xml version="1.0" encoding="utf-8"?>
<Properties xmlns="http://schemas.openxmlformats.org/officeDocument/2006/extended-properties" xmlns:vt="http://schemas.openxmlformats.org/officeDocument/2006/docPropsVTypes">
  <Template>Normal</Template>
  <Pages>12</Pages>
  <Words>1394</Words>
  <Characters>7950</Characters>
  <Lines>66</Lines>
  <Paragraphs>18</Paragraphs>
  <TotalTime>108</TotalTime>
  <ScaleCrop>false</ScaleCrop>
  <LinksUpToDate>false</LinksUpToDate>
  <CharactersWithSpaces>9326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2020-09-05T04:50:00Z</dcterms:created>
  <dc:creator>apple</dc:creator>
  <cp:lastModifiedBy>Starpower</cp:lastModifiedBy>
  <dcterms:modified xsi:type="dcterms:W3CDTF">2021-06-17T02:50:29Z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E366F6220172442BA5BDF6F2ABBA7FCF</vt:lpwstr>
  </property>
</Properties>
</file>