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73B55E" w14:textId="3C5468C2" w:rsidR="006A0DD7" w:rsidRDefault="006A0DD7" w:rsidP="006A0DD7">
      <w:pPr>
        <w:spacing w:line="360" w:lineRule="auto"/>
        <w:rPr>
          <w:b/>
          <w:bCs/>
        </w:rPr>
      </w:pPr>
      <w:r>
        <w:rPr>
          <w:rFonts w:hint="eastAsia"/>
          <w:b/>
          <w:bCs/>
        </w:rPr>
        <w:t>1.</w:t>
      </w:r>
      <w:r w:rsidRPr="006A0DD7">
        <w:t xml:space="preserve"> </w:t>
      </w:r>
      <w:r w:rsidRPr="006A0DD7">
        <w:rPr>
          <w:b/>
          <w:bCs/>
        </w:rPr>
        <w:t>Definition of enzyme activity unit</w:t>
      </w:r>
    </w:p>
    <w:p w14:paraId="781DE10A" w14:textId="70D4F636" w:rsidR="006A0DD7" w:rsidRDefault="006A0DD7" w:rsidP="006A0DD7">
      <w:pPr>
        <w:spacing w:line="360" w:lineRule="auto"/>
        <w:ind w:firstLineChars="100" w:firstLine="240"/>
      </w:pPr>
      <w:r w:rsidRPr="006A0DD7">
        <w:t xml:space="preserve">Under the above reaction conditions, the amount of enzyme that converts the substrate to 1 μg of glucose within 1 min is defined as an enzyme activity unit (U/mL), and the enzyme activity calculation formula is as follows: </w:t>
      </w:r>
    </w:p>
    <w:p w14:paraId="09170D67" w14:textId="555A8FBA" w:rsidR="006A0DD7" w:rsidRPr="006A0DD7" w:rsidRDefault="006A0DD7" w:rsidP="006A0DD7">
      <w:pPr>
        <w:spacing w:line="360" w:lineRule="auto"/>
        <w:ind w:firstLineChars="100" w:firstLine="240"/>
      </w:pPr>
      <m:oMathPara>
        <m:oMath>
          <m:r>
            <m:rPr>
              <m:nor/>
            </m:rPr>
            <w:rPr>
              <w:rFonts w:hint="eastAsia"/>
            </w:rPr>
            <m:t>E</m:t>
          </m:r>
          <m:r>
            <m:rPr>
              <m:nor/>
            </m:rPr>
            <m:t>nzyme activity(U/mL)</m:t>
          </m:r>
          <m:r>
            <m:rPr>
              <m:nor/>
            </m:rPr>
            <w:rPr>
              <w:rFonts w:eastAsia="Cambria Math" w:cs="Times New Roman"/>
              <w:sz w:val="21"/>
              <w:szCs w:val="21"/>
            </w:rPr>
            <m:t>=</m:t>
          </m:r>
          <m:f>
            <m:fPr>
              <m:type m:val="skw"/>
              <m:ctrlPr>
                <w:rPr>
                  <w:rFonts w:ascii="Cambria Math" w:eastAsia="Cambria Math" w:hAnsi="Cambria Math" w:cs="Times New Roman"/>
                  <w:sz w:val="21"/>
                  <w:szCs w:val="21"/>
                </w:rPr>
              </m:ctrlPr>
            </m:fPr>
            <m:num>
              <m:r>
                <m:rPr>
                  <m:nor/>
                </m:rPr>
                <w:rPr>
                  <w:rFonts w:ascii="Cambria Math" w:eastAsiaTheme="minorEastAsia" w:cs="Times New Roman" w:hint="eastAsia"/>
                  <w:sz w:val="21"/>
                  <w:szCs w:val="21"/>
                </w:rPr>
                <m:t>(</m:t>
              </m:r>
              <m:r>
                <m:rPr>
                  <m:nor/>
                </m:rPr>
                <w:rPr>
                  <w:rFonts w:eastAsia="Cambria Math" w:cs="Times New Roman"/>
                  <w:sz w:val="21"/>
                  <w:szCs w:val="21"/>
                </w:rPr>
                <m:t>G</m:t>
              </m:r>
              <m:r>
                <m:rPr>
                  <m:nor/>
                </m:rPr>
                <w:rPr>
                  <w:rFonts w:eastAsiaTheme="minorEastAsia" w:cs="Times New Roman"/>
                  <w:sz w:val="21"/>
                  <w:szCs w:val="21"/>
                </w:rPr>
                <m:t>×N×1000</m:t>
              </m:r>
              <m:r>
                <m:rPr>
                  <m:nor/>
                </m:rPr>
                <w:rPr>
                  <w:rFonts w:ascii="Cambria Math" w:eastAsiaTheme="minorEastAsia" w:cs="Times New Roman" w:hint="eastAsia"/>
                  <w:sz w:val="21"/>
                  <w:szCs w:val="21"/>
                </w:rPr>
                <m:t>)</m:t>
              </m:r>
            </m:num>
            <m:den>
              <m:r>
                <m:rPr>
                  <m:nor/>
                </m:rPr>
                <w:rPr>
                  <w:rFonts w:ascii="Cambria Math" w:eastAsiaTheme="minorEastAsia" w:cs="Times New Roman" w:hint="eastAsia"/>
                  <w:sz w:val="21"/>
                  <w:szCs w:val="21"/>
                </w:rPr>
                <m:t>(</m:t>
              </m:r>
              <m:r>
                <m:rPr>
                  <m:nor/>
                </m:rPr>
                <w:rPr>
                  <w:rFonts w:eastAsia="Cambria Math" w:cs="Times New Roman"/>
                  <w:sz w:val="21"/>
                  <w:szCs w:val="21"/>
                </w:rPr>
                <m:t>T</m:t>
              </m:r>
              <m:r>
                <m:rPr>
                  <m:nor/>
                </m:rPr>
                <w:rPr>
                  <w:rFonts w:eastAsiaTheme="minorEastAsia" w:cs="Times New Roman"/>
                  <w:sz w:val="21"/>
                  <w:szCs w:val="21"/>
                </w:rPr>
                <m:t>×V</m:t>
              </m:r>
              <m:r>
                <m:rPr>
                  <m:nor/>
                </m:rPr>
                <w:rPr>
                  <w:rFonts w:ascii="Cambria Math" w:eastAsiaTheme="minorEastAsia" w:cs="Times New Roman" w:hint="eastAsia"/>
                  <w:sz w:val="21"/>
                  <w:szCs w:val="21"/>
                </w:rPr>
                <m:t>)</m:t>
              </m:r>
            </m:den>
          </m:f>
          <m:r>
            <m:rPr>
              <m:nor/>
            </m:rPr>
            <w:rPr>
              <w:rFonts w:eastAsiaTheme="minorEastAsia" w:cs="Times New Roman"/>
              <w:sz w:val="21"/>
              <w:szCs w:val="21"/>
            </w:rPr>
            <m:t xml:space="preserve"> </m:t>
          </m:r>
        </m:oMath>
      </m:oMathPara>
    </w:p>
    <w:p w14:paraId="0A1DC9BD" w14:textId="018B850B" w:rsidR="006A0DD7" w:rsidRPr="006A0DD7" w:rsidRDefault="006A0DD7" w:rsidP="00F2603D">
      <w:pPr>
        <w:spacing w:line="360" w:lineRule="auto"/>
        <w:ind w:firstLineChars="200" w:firstLine="480"/>
      </w:pPr>
      <w:r w:rsidRPr="006A0DD7">
        <w:t xml:space="preserve">where, G is the glucose concentration (540 nm) obtained from the standard curve of glucose; </w:t>
      </w:r>
      <w:r>
        <w:rPr>
          <w:rFonts w:hint="eastAsia"/>
        </w:rPr>
        <w:t>N</w:t>
      </w:r>
      <w:r w:rsidRPr="006A0DD7">
        <w:t xml:space="preserve"> is the reaction volume (mL); </w:t>
      </w:r>
      <w:r>
        <w:rPr>
          <w:rFonts w:hint="eastAsia"/>
        </w:rPr>
        <w:t>T</w:t>
      </w:r>
      <w:r w:rsidRPr="006A0DD7">
        <w:t xml:space="preserve"> is the reaction time (min); </w:t>
      </w:r>
      <w:r>
        <w:rPr>
          <w:rFonts w:hint="eastAsia"/>
        </w:rPr>
        <w:t>V</w:t>
      </w:r>
      <w:r w:rsidRPr="006A0DD7">
        <w:t xml:space="preserve"> is the volume of crude enzyme solution (mL).</w:t>
      </w:r>
    </w:p>
    <w:p w14:paraId="1E35E897" w14:textId="52EDDC00" w:rsidR="002C3999" w:rsidRPr="002C3999" w:rsidRDefault="006A0DD7" w:rsidP="002C3999">
      <w:pPr>
        <w:spacing w:line="360" w:lineRule="auto"/>
        <w:rPr>
          <w:b/>
          <w:bCs/>
        </w:rPr>
      </w:pPr>
      <w:r>
        <w:rPr>
          <w:rFonts w:hint="eastAsia"/>
          <w:b/>
          <w:bCs/>
        </w:rPr>
        <w:t>2</w:t>
      </w:r>
      <w:r w:rsidR="002C3999" w:rsidRPr="002C3999">
        <w:rPr>
          <w:rFonts w:hint="eastAsia"/>
          <w:b/>
          <w:bCs/>
        </w:rPr>
        <w:t>.</w:t>
      </w:r>
      <w:r w:rsidR="002C3999" w:rsidRPr="002C3999">
        <w:rPr>
          <w:b/>
          <w:bCs/>
        </w:rPr>
        <w:t>Determination of CMCase activity</w:t>
      </w:r>
    </w:p>
    <w:p w14:paraId="6EDBC98D" w14:textId="6E99D674" w:rsidR="002C3999" w:rsidRDefault="002C3999" w:rsidP="002C3999">
      <w:pPr>
        <w:pStyle w:val="a7"/>
        <w:spacing w:line="360" w:lineRule="auto"/>
        <w:ind w:firstLine="480"/>
      </w:pPr>
      <w:r w:rsidRPr="002C3999">
        <w:t>CMCase activity was measured by adding 1 mL of 1% CMC-Na to a 25 mL stoppered test tube, shaking thoroughly afterward. 1 mL of a crude enzyme solution that had been properly diluted was added after that. 2 mL of DNS reagent was rapidly added after the reaction at a constant temperature of 50 °C for 30 minutes, and a boiling water bath reaction ensued (5 min). Without delay, the test tube was cooled and filled with 25 milliliters of pure water. A spectrophotometer was used to detect the absorbance at 540 nm, and glucose was used as a standard to compute the enzyme activity unit.</w:t>
      </w:r>
    </w:p>
    <w:p w14:paraId="30C6D845" w14:textId="7FBDFFE8" w:rsidR="00A21F89" w:rsidRDefault="00A21F89" w:rsidP="002C3999">
      <w:pPr>
        <w:pStyle w:val="a7"/>
        <w:spacing w:line="360" w:lineRule="auto"/>
        <w:ind w:firstLine="480"/>
      </w:pPr>
      <w:r w:rsidRPr="00A21F89">
        <w:t>DNS reagent: 500 mL of clean water was mixed with 182.0 g of precisely weighed sodium tartrate. 6.3 g of 3,5-dinitrosalicylic acid, 21.0 g of sodium hydroxide, 5.0 g of phenol, and 5.0 g of anhydrous sodium sulfite were added when the dissolution temperature was below 50 °C. After the solution was fully dissolved, let to cool, and then diluted with 1000 milliliters of pure water, it was kept for a week in a brown bottle until it was needed.</w:t>
      </w:r>
    </w:p>
    <w:sectPr w:rsidR="00A21F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EDC37C7" w14:textId="77777777" w:rsidR="00D46D6C" w:rsidRDefault="00D46D6C" w:rsidP="002C3999">
      <w:r>
        <w:separator/>
      </w:r>
    </w:p>
  </w:endnote>
  <w:endnote w:type="continuationSeparator" w:id="0">
    <w:p w14:paraId="22B74D69" w14:textId="77777777" w:rsidR="00D46D6C" w:rsidRDefault="00D46D6C" w:rsidP="002C39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5FFD087" w14:textId="77777777" w:rsidR="00D46D6C" w:rsidRDefault="00D46D6C" w:rsidP="002C3999">
      <w:r>
        <w:separator/>
      </w:r>
    </w:p>
  </w:footnote>
  <w:footnote w:type="continuationSeparator" w:id="0">
    <w:p w14:paraId="3D5C7467" w14:textId="77777777" w:rsidR="00D46D6C" w:rsidRDefault="00D46D6C" w:rsidP="002C39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AF0297F"/>
    <w:multiLevelType w:val="hybridMultilevel"/>
    <w:tmpl w:val="71483750"/>
    <w:lvl w:ilvl="0" w:tplc="58D0981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0810582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13EE"/>
    <w:rsid w:val="00077712"/>
    <w:rsid w:val="000C1D88"/>
    <w:rsid w:val="00174E2D"/>
    <w:rsid w:val="00245B6F"/>
    <w:rsid w:val="002C3999"/>
    <w:rsid w:val="006939A6"/>
    <w:rsid w:val="006A0DD7"/>
    <w:rsid w:val="00800648"/>
    <w:rsid w:val="0081454E"/>
    <w:rsid w:val="00A21F89"/>
    <w:rsid w:val="00A33738"/>
    <w:rsid w:val="00CD13EE"/>
    <w:rsid w:val="00CE4440"/>
    <w:rsid w:val="00D46D6C"/>
    <w:rsid w:val="00DC438A"/>
    <w:rsid w:val="00F26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0FC2FC"/>
  <w15:chartTrackingRefBased/>
  <w15:docId w15:val="{1E069F88-4E42-4A92-9468-BB7FC7299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theme="minorBidi"/>
        <w:kern w:val="2"/>
        <w:sz w:val="24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C39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C399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C39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C3999"/>
    <w:rPr>
      <w:sz w:val="18"/>
      <w:szCs w:val="18"/>
    </w:rPr>
  </w:style>
  <w:style w:type="paragraph" w:styleId="a7">
    <w:name w:val="List Paragraph"/>
    <w:basedOn w:val="a"/>
    <w:uiPriority w:val="34"/>
    <w:qFormat/>
    <w:rsid w:val="002C399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7473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234</Words>
  <Characters>1335</Characters>
  <Application>Microsoft Office Word</Application>
  <DocSecurity>0</DocSecurity>
  <Lines>11</Lines>
  <Paragraphs>3</Paragraphs>
  <ScaleCrop>false</ScaleCrop>
  <Company/>
  <LinksUpToDate>false</LinksUpToDate>
  <CharactersWithSpaces>1566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tao zhang</dc:creator>
  <cp:keywords/>
  <dc:description/>
  <cp:lastModifiedBy>tao zhang</cp:lastModifiedBy>
  <cp:revision>7</cp:revision>
  <dcterms:created xsi:type="dcterms:W3CDTF">2024-07-21T05:09:00Z</dcterms:created>
  <dcterms:modified xsi:type="dcterms:W3CDTF">2025-01-08T02:37:00Z</dcterms:modified>
</cp:coreProperties>
</file>