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F6513" w14:textId="077B2F34" w:rsidR="00BE7EAF" w:rsidRPr="00650FC2" w:rsidRDefault="00BE7EAF" w:rsidP="00650FC2">
      <w:pPr>
        <w:spacing w:line="360" w:lineRule="auto"/>
        <w:jc w:val="both"/>
        <w:rPr>
          <w:b/>
          <w:bCs/>
          <w:color w:val="000000" w:themeColor="text1"/>
          <w:sz w:val="20"/>
          <w:lang w:val="en-US"/>
        </w:rPr>
      </w:pPr>
      <w:r w:rsidRPr="00650FC2">
        <w:rPr>
          <w:b/>
          <w:bCs/>
          <w:color w:val="000000" w:themeColor="text1"/>
          <w:sz w:val="20"/>
          <w:lang w:val="en-US"/>
        </w:rPr>
        <w:t xml:space="preserve">SUPPLEMENTAL </w:t>
      </w:r>
      <w:r w:rsidR="00A63BFF" w:rsidRPr="00650FC2">
        <w:rPr>
          <w:b/>
          <w:bCs/>
          <w:color w:val="000000" w:themeColor="text1"/>
          <w:sz w:val="20"/>
          <w:lang w:val="en-US"/>
        </w:rPr>
        <w:t xml:space="preserve">INFORMATION </w:t>
      </w:r>
    </w:p>
    <w:p w14:paraId="6C470866" w14:textId="3B906C3F" w:rsidR="00410035" w:rsidRPr="002C0270" w:rsidRDefault="00FB63FD" w:rsidP="00650FC2">
      <w:pPr>
        <w:pStyle w:val="Descripcin"/>
        <w:keepNext/>
        <w:spacing w:line="360" w:lineRule="auto"/>
        <w:rPr>
          <w:b/>
          <w:bCs/>
          <w:i w:val="0"/>
          <w:color w:val="000000" w:themeColor="text1"/>
          <w:sz w:val="20"/>
          <w:szCs w:val="20"/>
          <w:lang w:val="en-US"/>
        </w:rPr>
      </w:pPr>
      <w:r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t xml:space="preserve">Supplemental Table </w:t>
      </w:r>
      <w:r w:rsidR="00410035"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fldChar w:fldCharType="begin"/>
      </w:r>
      <w:r w:rsidR="00410035"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instrText xml:space="preserve"> SEQ Tabla_S \* ARABIC </w:instrText>
      </w:r>
      <w:r w:rsidR="00410035"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fldChar w:fldCharType="separate"/>
      </w:r>
      <w:r w:rsidR="005029EB">
        <w:rPr>
          <w:b/>
          <w:bCs/>
          <w:i w:val="0"/>
          <w:noProof/>
          <w:color w:val="000000" w:themeColor="text1"/>
          <w:sz w:val="20"/>
          <w:szCs w:val="20"/>
          <w:lang w:val="en-US"/>
        </w:rPr>
        <w:t>1</w:t>
      </w:r>
      <w:r w:rsidR="00410035"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fldChar w:fldCharType="end"/>
      </w:r>
      <w:r w:rsidR="00410035" w:rsidRPr="002C0270">
        <w:rPr>
          <w:b/>
          <w:bCs/>
          <w:i w:val="0"/>
          <w:color w:val="000000" w:themeColor="text1"/>
          <w:sz w:val="20"/>
          <w:szCs w:val="20"/>
          <w:lang w:val="en-US"/>
        </w:rPr>
        <w:t xml:space="preserve"> Antibodies Used for Experimental Procedures</w:t>
      </w:r>
    </w:p>
    <w:tbl>
      <w:tblPr>
        <w:tblStyle w:val="Tabladelista3-nfasis3"/>
        <w:tblW w:w="0" w:type="auto"/>
        <w:tblLook w:val="04A0" w:firstRow="1" w:lastRow="0" w:firstColumn="1" w:lastColumn="0" w:noHBand="0" w:noVBand="1"/>
      </w:tblPr>
      <w:tblGrid>
        <w:gridCol w:w="3114"/>
        <w:gridCol w:w="1417"/>
        <w:gridCol w:w="1985"/>
        <w:gridCol w:w="1978"/>
      </w:tblGrid>
      <w:tr w:rsidR="00BE7EAF" w:rsidRPr="002C0270" w14:paraId="2B74DEF5" w14:textId="77777777" w:rsidTr="00D241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  <w:shd w:val="clear" w:color="auto" w:fill="E7E6E6" w:themeFill="background2"/>
          </w:tcPr>
          <w:p w14:paraId="68221B05" w14:textId="77777777" w:rsidR="00BE7EAF" w:rsidRPr="002C0270" w:rsidRDefault="00BE7EAF" w:rsidP="00DE192F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Antibody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  <w:shd w:val="clear" w:color="auto" w:fill="E7E6E6" w:themeFill="background2"/>
          </w:tcPr>
          <w:p w14:paraId="7F7371A5" w14:textId="77777777" w:rsidR="00BE7EAF" w:rsidRPr="002C0270" w:rsidRDefault="00BE7EAF" w:rsidP="00DE1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Dilution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  <w:shd w:val="clear" w:color="auto" w:fill="E7E6E6" w:themeFill="background2"/>
          </w:tcPr>
          <w:p w14:paraId="0ADBB730" w14:textId="77777777" w:rsidR="00BE7EAF" w:rsidRPr="002C0270" w:rsidRDefault="00BE7EAF" w:rsidP="00DE1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  <w:shd w:val="clear" w:color="auto" w:fill="E7E6E6" w:themeFill="background2"/>
          </w:tcPr>
          <w:p w14:paraId="2A0F63D0" w14:textId="77777777" w:rsidR="00BE7EAF" w:rsidRPr="002C0270" w:rsidRDefault="00BE7EAF" w:rsidP="00DE1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Distributor</w:t>
            </w:r>
          </w:p>
        </w:tc>
      </w:tr>
      <w:tr w:rsidR="00BE7EAF" w:rsidRPr="002C0270" w14:paraId="120A8E22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3D9A1FEA" w14:textId="77777777" w:rsidR="00BE7EAF" w:rsidRPr="002C0270" w:rsidRDefault="00BE7EAF" w:rsidP="00DE192F">
            <w:pPr>
              <w:jc w:val="both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 xml:space="preserve">HIF-1α 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CC735B6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16481EC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#ab179483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67D92FC5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0B8EB26A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39FB619A" w14:textId="77777777" w:rsidR="00BE7EAF" w:rsidRPr="002C0270" w:rsidRDefault="00BE7EAF" w:rsidP="00DE192F">
            <w:pPr>
              <w:jc w:val="both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β-actin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BDC341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1:5000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9C6A2A8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#A5316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645AD448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Merk</w:t>
            </w:r>
          </w:p>
        </w:tc>
      </w:tr>
      <w:tr w:rsidR="00BE7EAF" w:rsidRPr="002C0270" w14:paraId="11A7F3F3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C5F4154" w14:textId="77777777" w:rsidR="00BE7EAF" w:rsidRPr="002C0270" w:rsidRDefault="00BE7EAF" w:rsidP="00DE192F">
            <w:pPr>
              <w:jc w:val="both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B55α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D5A35E3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38D247C4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#5689S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7617FF3E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39CCB5E6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3465FA8" w14:textId="77777777" w:rsidR="00BE7EAF" w:rsidRPr="002C0270" w:rsidRDefault="00BE7EAF" w:rsidP="00DE192F">
            <w:pPr>
              <w:jc w:val="both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phospho-AMPK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DD09A94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6C704FE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#2535S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C176D66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F0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62D99562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D6B1C35" w14:textId="77777777" w:rsidR="00BE7EAF" w:rsidRPr="002C0270" w:rsidRDefault="00BE7EAF" w:rsidP="00DE192F">
            <w:pPr>
              <w:ind w:firstLine="29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total-AMPK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1260D6D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BDDBEEC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#ab80039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04F26A03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35F29732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5044B574" w14:textId="77777777" w:rsidR="00BE7EAF" w:rsidRPr="002C0270" w:rsidRDefault="00BE7EAF" w:rsidP="00DE192F">
            <w:pPr>
              <w:ind w:firstLine="29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Sirtuin 1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6F20FB5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3F519A86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#8469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38A1E59D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0CAA0FBE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369F26DE" w14:textId="77777777" w:rsidR="00BE7EAF" w:rsidRPr="002C0270" w:rsidRDefault="00BE7EAF" w:rsidP="00DE192F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p21 Waf1/Cip1 (p21)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2A2D3FD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0BAB5360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#2947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6AA41C5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481CD90A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32A9216" w14:textId="77777777" w:rsidR="00BE7EAF" w:rsidRPr="002C0270" w:rsidRDefault="00BE7EAF" w:rsidP="00DE192F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HSP 90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3333A5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F513E06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#4874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0AC524AE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6B81EA00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15BF2675" w14:textId="77777777" w:rsidR="00BE7EAF" w:rsidRPr="002C0270" w:rsidRDefault="00BE7EAF" w:rsidP="00DE192F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α-SMA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1331777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1:500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00181C95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#53-9760-80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380D2645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Invitrogen</w:t>
            </w:r>
          </w:p>
        </w:tc>
      </w:tr>
      <w:tr w:rsidR="00BE7EAF" w:rsidRPr="002C0270" w14:paraId="66F5EF47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1FAEDAB" w14:textId="77777777" w:rsidR="00BE7EAF" w:rsidRPr="002C0270" w:rsidRDefault="00BE7EAF" w:rsidP="00DE192F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CD31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27CBA13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5FB359B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#ab28364</w:t>
            </w:r>
          </w:p>
          <w:p w14:paraId="514458D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#14-0311-85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6103E24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Abcam</w:t>
            </w:r>
          </w:p>
          <w:p w14:paraId="782CBA59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Invitrogen</w:t>
            </w:r>
          </w:p>
        </w:tc>
      </w:tr>
      <w:tr w:rsidR="00BE7EAF" w:rsidRPr="002C0270" w14:paraId="167B34CA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03E955E2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CAV1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29905F79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22AB6A6B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#3267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251E4CF6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6F7ACD21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0FA4DE6F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CD34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2F612E1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53F114F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553731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0F880029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BD Biosciences</w:t>
            </w:r>
          </w:p>
        </w:tc>
      </w:tr>
      <w:tr w:rsidR="00BE7EAF" w:rsidRPr="002C0270" w14:paraId="0CA2D4FE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551C5995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2C0270">
              <w:rPr>
                <w:sz w:val="20"/>
                <w:szCs w:val="20"/>
                <w:lang w:val="en-US"/>
              </w:rPr>
              <w:t>peNOS</w:t>
            </w:r>
            <w:proofErr w:type="spellEnd"/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3BA586DD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833AF0A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ab215717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51CEFBE8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1ABA0FE2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5DD1C25A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2C0270">
              <w:rPr>
                <w:sz w:val="20"/>
                <w:szCs w:val="20"/>
                <w:lang w:val="en-US"/>
              </w:rPr>
              <w:t>eNOS</w:t>
            </w:r>
            <w:proofErr w:type="spellEnd"/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319EBBC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24755A80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32027S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51D93C0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09DEA4F6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6F00107D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MPO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70857EDF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1:200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C612DC4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#ab208670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725A2AD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04DCDD9D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3D6B2A3D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F4/80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3403AD4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1:50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21DBA98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#MCA497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298C426B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Bio-Rad</w:t>
            </w:r>
          </w:p>
        </w:tc>
      </w:tr>
      <w:tr w:rsidR="00BE7EAF" w:rsidRPr="002C0270" w14:paraId="2E691460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282E823D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Ki67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B472C76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4817D97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#ab15580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46BBD1B6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7D359F6D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103F77E0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2C0270">
              <w:rPr>
                <w:sz w:val="20"/>
                <w:szCs w:val="20"/>
                <w:lang w:val="en-US"/>
              </w:rPr>
              <w:t>Gapdh</w:t>
            </w:r>
            <w:proofErr w:type="spellEnd"/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DE68D69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40CBE876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#ab1816002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69A1BF5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Abcam</w:t>
            </w:r>
          </w:p>
        </w:tc>
      </w:tr>
      <w:tr w:rsidR="00BE7EAF" w:rsidRPr="002C0270" w14:paraId="18BAA64B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0D32155B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PARP1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56A082B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1:1000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FC837BB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9542S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1F0EE02B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color w:val="000000" w:themeColor="text1"/>
                <w:sz w:val="20"/>
                <w:szCs w:val="20"/>
                <w:lang w:val="en-US"/>
              </w:rPr>
              <w:t>Cell Signaling</w:t>
            </w:r>
          </w:p>
        </w:tc>
      </w:tr>
      <w:tr w:rsidR="00BE7EAF" w:rsidRPr="002C0270" w14:paraId="54BB50B4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4B8A4876" w14:textId="3305422B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 xml:space="preserve">Biotinylated </w:t>
            </w:r>
            <w:r w:rsidR="00A63BFF" w:rsidRPr="002C0270">
              <w:rPr>
                <w:sz w:val="20"/>
                <w:szCs w:val="20"/>
                <w:lang w:val="en-US"/>
              </w:rPr>
              <w:t>anti-mouse</w:t>
            </w:r>
            <w:r w:rsidRPr="002C0270">
              <w:rPr>
                <w:sz w:val="20"/>
                <w:szCs w:val="20"/>
                <w:lang w:val="en-US"/>
              </w:rPr>
              <w:t xml:space="preserve"> goat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30AC01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R.T.U.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1E7726EB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#BP-9200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5C1CB792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Vector Lab</w:t>
            </w:r>
          </w:p>
        </w:tc>
      </w:tr>
      <w:tr w:rsidR="00BE7EAF" w:rsidRPr="002C0270" w14:paraId="492DA2D0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3113DC1D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Goat anti mouse Alexa 488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61F00C64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1:500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51183996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#A11029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2966007E" w14:textId="77777777" w:rsidR="00BE7EAF" w:rsidRPr="002C0270" w:rsidRDefault="00BE7EAF" w:rsidP="00DE1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2C0270">
              <w:rPr>
                <w:sz w:val="20"/>
                <w:szCs w:val="20"/>
                <w:lang w:val="en-US"/>
              </w:rPr>
              <w:t>Thermo</w:t>
            </w:r>
            <w:proofErr w:type="spellEnd"/>
            <w:r w:rsidRPr="002C0270">
              <w:rPr>
                <w:sz w:val="20"/>
                <w:szCs w:val="20"/>
                <w:lang w:val="en-US"/>
              </w:rPr>
              <w:t xml:space="preserve"> Fisher</w:t>
            </w:r>
          </w:p>
        </w:tc>
      </w:tr>
      <w:tr w:rsidR="00BE7EAF" w:rsidRPr="002C0270" w14:paraId="5484431A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right w:val="single" w:sz="4" w:space="0" w:color="E7E6E6" w:themeColor="background2"/>
            </w:tcBorders>
          </w:tcPr>
          <w:p w14:paraId="76CBD283" w14:textId="77777777" w:rsidR="00BE7EAF" w:rsidRPr="002C0270" w:rsidRDefault="00BE7EAF" w:rsidP="00DE192F">
            <w:pPr>
              <w:jc w:val="both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Goat anti mouse Alexa 647</w:t>
            </w:r>
          </w:p>
        </w:tc>
        <w:tc>
          <w:tcPr>
            <w:tcW w:w="1417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0457DA56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1:500</w:t>
            </w:r>
          </w:p>
        </w:tc>
        <w:tc>
          <w:tcPr>
            <w:tcW w:w="1985" w:type="dxa"/>
            <w:tcBorders>
              <w:left w:val="single" w:sz="4" w:space="0" w:color="E7E6E6" w:themeColor="background2"/>
              <w:right w:val="single" w:sz="4" w:space="0" w:color="E7E6E6" w:themeColor="background2"/>
            </w:tcBorders>
          </w:tcPr>
          <w:p w14:paraId="395FDAB4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0270">
              <w:rPr>
                <w:sz w:val="20"/>
                <w:szCs w:val="20"/>
                <w:lang w:val="en-US"/>
              </w:rPr>
              <w:t>#A21235</w:t>
            </w:r>
          </w:p>
        </w:tc>
        <w:tc>
          <w:tcPr>
            <w:tcW w:w="1978" w:type="dxa"/>
            <w:tcBorders>
              <w:left w:val="single" w:sz="4" w:space="0" w:color="E7E6E6" w:themeColor="background2"/>
            </w:tcBorders>
          </w:tcPr>
          <w:p w14:paraId="2D55ED7B" w14:textId="77777777" w:rsidR="00BE7EAF" w:rsidRPr="002C0270" w:rsidRDefault="00BE7EAF" w:rsidP="00DE1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2C0270">
              <w:rPr>
                <w:sz w:val="20"/>
                <w:szCs w:val="20"/>
                <w:lang w:val="en-US"/>
              </w:rPr>
              <w:t>Thermo</w:t>
            </w:r>
            <w:proofErr w:type="spellEnd"/>
            <w:r w:rsidRPr="002C0270">
              <w:rPr>
                <w:sz w:val="20"/>
                <w:szCs w:val="20"/>
                <w:lang w:val="en-US"/>
              </w:rPr>
              <w:t xml:space="preserve"> Fisher</w:t>
            </w:r>
          </w:p>
        </w:tc>
      </w:tr>
    </w:tbl>
    <w:p w14:paraId="710F17DB" w14:textId="77777777" w:rsidR="00BE7EAF" w:rsidRDefault="00BE7EAF" w:rsidP="00DE192F">
      <w:pPr>
        <w:jc w:val="both"/>
        <w:rPr>
          <w:color w:val="00B0F0"/>
          <w:lang w:val="en-US"/>
        </w:rPr>
      </w:pPr>
    </w:p>
    <w:p w14:paraId="6A600AFA" w14:textId="77777777" w:rsidR="00650FC2" w:rsidRDefault="00650FC2" w:rsidP="00DE192F">
      <w:pPr>
        <w:jc w:val="both"/>
        <w:rPr>
          <w:b/>
          <w:sz w:val="20"/>
          <w:lang w:val="en-GB"/>
        </w:rPr>
      </w:pPr>
    </w:p>
    <w:p w14:paraId="02E77150" w14:textId="77777777" w:rsidR="00DE192F" w:rsidRPr="00650FC2" w:rsidRDefault="00BE7EAF" w:rsidP="002C0270">
      <w:pPr>
        <w:jc w:val="both"/>
        <w:rPr>
          <w:b/>
          <w:sz w:val="20"/>
          <w:lang w:val="en-GB"/>
        </w:rPr>
      </w:pPr>
      <w:proofErr w:type="spellStart"/>
      <w:r w:rsidRPr="00650FC2">
        <w:rPr>
          <w:b/>
          <w:sz w:val="20"/>
          <w:lang w:val="en-GB"/>
        </w:rPr>
        <w:t>qRT</w:t>
      </w:r>
      <w:proofErr w:type="spellEnd"/>
      <w:r w:rsidRPr="00650FC2">
        <w:rPr>
          <w:b/>
          <w:sz w:val="20"/>
          <w:lang w:val="en-GB"/>
        </w:rPr>
        <w:t>-PCR</w:t>
      </w:r>
      <w:r w:rsidR="00DE192F" w:rsidRPr="00650FC2">
        <w:rPr>
          <w:b/>
          <w:sz w:val="20"/>
          <w:lang w:val="en-GB"/>
        </w:rPr>
        <w:t xml:space="preserve">. </w:t>
      </w:r>
    </w:p>
    <w:p w14:paraId="575EA0F8" w14:textId="64AE044A" w:rsidR="00BE7EAF" w:rsidRPr="00650FC2" w:rsidRDefault="00BE7EAF" w:rsidP="002C0270">
      <w:pPr>
        <w:jc w:val="both"/>
        <w:rPr>
          <w:b/>
          <w:sz w:val="20"/>
          <w:lang w:val="en-GB"/>
        </w:rPr>
      </w:pPr>
      <w:r w:rsidRPr="00650FC2">
        <w:rPr>
          <w:sz w:val="20"/>
          <w:lang w:val="en-GB"/>
        </w:rPr>
        <w:t xml:space="preserve">cDNA was then subjected to quantitative real-time PCR (qPCR) using the </w:t>
      </w:r>
      <w:proofErr w:type="spellStart"/>
      <w:r w:rsidRPr="00650FC2">
        <w:rPr>
          <w:sz w:val="20"/>
          <w:lang w:val="en-GB"/>
        </w:rPr>
        <w:t>iQ</w:t>
      </w:r>
      <w:proofErr w:type="spellEnd"/>
      <w:r w:rsidRPr="00650FC2">
        <w:rPr>
          <w:sz w:val="20"/>
          <w:lang w:val="en-GB"/>
        </w:rPr>
        <w:t xml:space="preserve">™ SYBR Green </w:t>
      </w:r>
      <w:proofErr w:type="spellStart"/>
      <w:r w:rsidRPr="00650FC2">
        <w:rPr>
          <w:sz w:val="20"/>
          <w:lang w:val="en-GB"/>
        </w:rPr>
        <w:t>Supermix</w:t>
      </w:r>
      <w:proofErr w:type="spellEnd"/>
      <w:r w:rsidRPr="00650FC2">
        <w:rPr>
          <w:sz w:val="20"/>
          <w:lang w:val="en-GB"/>
        </w:rPr>
        <w:t xml:space="preserve"> (Bio-Rad) and a CFX96 Real-Time PCR Detection System (Bio-Rad</w:t>
      </w:r>
      <w:proofErr w:type="gramStart"/>
      <w:r w:rsidRPr="00650FC2">
        <w:rPr>
          <w:sz w:val="20"/>
          <w:lang w:val="en-GB"/>
        </w:rPr>
        <w:t>).PCR</w:t>
      </w:r>
      <w:proofErr w:type="gramEnd"/>
      <w:r w:rsidRPr="00650FC2">
        <w:rPr>
          <w:sz w:val="20"/>
          <w:lang w:val="en-GB"/>
        </w:rPr>
        <w:t xml:space="preserve"> amplification efficiency was normalized to the expression of the PPIA gene for each sample, and the relative fold change in gene expression was calculated using the -</w:t>
      </w:r>
      <w:proofErr w:type="spellStart"/>
      <w:r w:rsidRPr="00650FC2">
        <w:rPr>
          <w:sz w:val="20"/>
          <w:lang w:val="en-GB"/>
        </w:rPr>
        <w:t>ΔΔCt</w:t>
      </w:r>
      <w:proofErr w:type="spellEnd"/>
      <w:r w:rsidRPr="00650FC2">
        <w:rPr>
          <w:sz w:val="20"/>
          <w:lang w:val="en-GB"/>
        </w:rPr>
        <w:t xml:space="preserve"> method. The primers used for amplification were synthesized by Eurofins (Luxembourg) and are detailed in the table below:</w:t>
      </w:r>
    </w:p>
    <w:p w14:paraId="3EB7D3CE" w14:textId="77777777" w:rsidR="00BE7EAF" w:rsidRPr="00650FC2" w:rsidRDefault="00BE7EAF" w:rsidP="00BE7EAF">
      <w:pPr>
        <w:autoSpaceDE w:val="0"/>
        <w:autoSpaceDN w:val="0"/>
        <w:adjustRightInd w:val="0"/>
        <w:rPr>
          <w:sz w:val="20"/>
          <w:lang w:val="en-GB"/>
        </w:rPr>
      </w:pPr>
    </w:p>
    <w:p w14:paraId="0E4A2CFD" w14:textId="77777777" w:rsidR="002C0270" w:rsidRDefault="002C0270" w:rsidP="00B357BC">
      <w:pPr>
        <w:pStyle w:val="Descripcin"/>
        <w:keepNext/>
        <w:rPr>
          <w:b/>
          <w:bCs/>
          <w:i w:val="0"/>
          <w:color w:val="000000" w:themeColor="text1"/>
          <w:sz w:val="20"/>
          <w:lang w:val="en-GB"/>
        </w:rPr>
      </w:pPr>
    </w:p>
    <w:p w14:paraId="71BB5584" w14:textId="4C441C41" w:rsidR="00B357BC" w:rsidRPr="00650FC2" w:rsidRDefault="00FB63FD" w:rsidP="00B357BC">
      <w:pPr>
        <w:pStyle w:val="Descripcin"/>
        <w:keepNext/>
        <w:rPr>
          <w:b/>
          <w:bCs/>
          <w:i w:val="0"/>
          <w:color w:val="000000" w:themeColor="text1"/>
          <w:sz w:val="20"/>
          <w:lang w:val="en-GB"/>
        </w:rPr>
      </w:pPr>
      <w:r w:rsidRPr="00650FC2">
        <w:rPr>
          <w:b/>
          <w:bCs/>
          <w:i w:val="0"/>
          <w:color w:val="000000" w:themeColor="text1"/>
          <w:sz w:val="20"/>
          <w:lang w:val="en-GB"/>
        </w:rPr>
        <w:t xml:space="preserve">Supplemental </w:t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t>Table S</w:t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fldChar w:fldCharType="begin"/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instrText xml:space="preserve"> SEQ Tabla_S \* ARABIC </w:instrText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fldChar w:fldCharType="separate"/>
      </w:r>
      <w:r w:rsidR="005029EB">
        <w:rPr>
          <w:b/>
          <w:bCs/>
          <w:i w:val="0"/>
          <w:noProof/>
          <w:color w:val="000000" w:themeColor="text1"/>
          <w:sz w:val="20"/>
          <w:lang w:val="en-GB"/>
        </w:rPr>
        <w:t>2</w:t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fldChar w:fldCharType="end"/>
      </w:r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t xml:space="preserve"> </w:t>
      </w:r>
      <w:proofErr w:type="spellStart"/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t>qRT</w:t>
      </w:r>
      <w:proofErr w:type="spellEnd"/>
      <w:r w:rsidR="00B357BC" w:rsidRPr="00650FC2">
        <w:rPr>
          <w:b/>
          <w:bCs/>
          <w:i w:val="0"/>
          <w:color w:val="000000" w:themeColor="text1"/>
          <w:sz w:val="20"/>
          <w:lang w:val="en-GB"/>
        </w:rPr>
        <w:t>-PCR Primers and Their Sequences</w:t>
      </w:r>
    </w:p>
    <w:tbl>
      <w:tblPr>
        <w:tblStyle w:val="Tabladelista2-nfasis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3691"/>
        <w:gridCol w:w="3532"/>
      </w:tblGrid>
      <w:tr w:rsidR="00BE7EAF" w:rsidRPr="00DB107D" w14:paraId="1CD03D27" w14:textId="77777777" w:rsidTr="00D241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D4569B8" w14:textId="77777777" w:rsidR="00BE7EAF" w:rsidRPr="00DB107D" w:rsidRDefault="00BE7EAF" w:rsidP="00D24175">
            <w:pPr>
              <w:autoSpaceDE w:val="0"/>
              <w:autoSpaceDN w:val="0"/>
              <w:adjustRightInd w:val="0"/>
              <w:rPr>
                <w:bCs w:val="0"/>
                <w:lang w:val="en-GB"/>
              </w:rPr>
            </w:pPr>
            <w:r w:rsidRPr="00DB107D">
              <w:rPr>
                <w:bCs w:val="0"/>
                <w:lang w:val="en-GB"/>
              </w:rPr>
              <w:t>Genes</w:t>
            </w:r>
          </w:p>
        </w:tc>
        <w:tc>
          <w:tcPr>
            <w:tcW w:w="3691" w:type="dxa"/>
          </w:tcPr>
          <w:p w14:paraId="5AF57030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lang w:val="en-GB"/>
              </w:rPr>
            </w:pPr>
            <w:r w:rsidRPr="00DB107D">
              <w:rPr>
                <w:bCs w:val="0"/>
                <w:lang w:val="en-GB"/>
              </w:rPr>
              <w:t xml:space="preserve">Forward (5’ </w:t>
            </w:r>
            <w:r w:rsidRPr="00DB107D">
              <w:rPr>
                <w:bCs w:val="0"/>
                <w:lang w:val="en-GB"/>
              </w:rPr>
              <w:sym w:font="Wingdings" w:char="F0E0"/>
            </w:r>
            <w:r w:rsidRPr="00DB107D">
              <w:rPr>
                <w:bCs w:val="0"/>
                <w:lang w:val="en-GB"/>
              </w:rPr>
              <w:t>3’)</w:t>
            </w:r>
          </w:p>
        </w:tc>
        <w:tc>
          <w:tcPr>
            <w:tcW w:w="3532" w:type="dxa"/>
          </w:tcPr>
          <w:p w14:paraId="14DDD20F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lang w:val="en-GB"/>
              </w:rPr>
            </w:pPr>
            <w:r w:rsidRPr="00DB107D">
              <w:rPr>
                <w:bCs w:val="0"/>
                <w:lang w:val="en-GB"/>
              </w:rPr>
              <w:t>Reverse (3’</w:t>
            </w:r>
            <w:r w:rsidRPr="00DB107D">
              <w:rPr>
                <w:bCs w:val="0"/>
                <w:lang w:val="en-GB"/>
              </w:rPr>
              <w:sym w:font="Wingdings" w:char="F0E0"/>
            </w:r>
            <w:r w:rsidRPr="00DB107D">
              <w:rPr>
                <w:bCs w:val="0"/>
                <w:lang w:val="en-GB"/>
              </w:rPr>
              <w:t>5’)</w:t>
            </w:r>
          </w:p>
        </w:tc>
      </w:tr>
      <w:tr w:rsidR="00BE7EAF" w:rsidRPr="00DB107D" w14:paraId="4EDBED4B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BC6C161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r w:rsidRPr="002F66AB">
              <w:rPr>
                <w:bCs w:val="0"/>
                <w:i/>
                <w:lang w:val="en-GB"/>
              </w:rPr>
              <w:t xml:space="preserve">B55α </w:t>
            </w:r>
          </w:p>
        </w:tc>
        <w:tc>
          <w:tcPr>
            <w:tcW w:w="3691" w:type="dxa"/>
          </w:tcPr>
          <w:p w14:paraId="12F599A2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GAGACAAAAGACCAGAAGGCTATA</w:t>
            </w:r>
          </w:p>
        </w:tc>
        <w:tc>
          <w:tcPr>
            <w:tcW w:w="3532" w:type="dxa"/>
          </w:tcPr>
          <w:p w14:paraId="731384D6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ATTCTCCGTGGACTGGCTTCCA</w:t>
            </w:r>
          </w:p>
        </w:tc>
      </w:tr>
      <w:tr w:rsidR="00BE7EAF" w:rsidRPr="00DB107D" w14:paraId="717D5F45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62B3148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r w:rsidRPr="002F66AB">
              <w:rPr>
                <w:bCs w:val="0"/>
                <w:i/>
                <w:lang w:val="en-GB"/>
              </w:rPr>
              <w:t>CAV1</w:t>
            </w:r>
          </w:p>
        </w:tc>
        <w:tc>
          <w:tcPr>
            <w:tcW w:w="3691" w:type="dxa"/>
          </w:tcPr>
          <w:p w14:paraId="220E8B99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CACACCAAGGAGATTGACCTGG</w:t>
            </w:r>
          </w:p>
        </w:tc>
        <w:tc>
          <w:tcPr>
            <w:tcW w:w="3532" w:type="dxa"/>
          </w:tcPr>
          <w:p w14:paraId="230E2A66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CCTTCCAGATGCCGTCGAAACT</w:t>
            </w:r>
          </w:p>
        </w:tc>
      </w:tr>
      <w:tr w:rsidR="00BE7EAF" w:rsidRPr="00DB107D" w14:paraId="3F9601D1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1BCE08F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proofErr w:type="spellStart"/>
            <w:r w:rsidRPr="002F66AB">
              <w:rPr>
                <w:bCs w:val="0"/>
                <w:i/>
                <w:lang w:val="en-GB"/>
              </w:rPr>
              <w:t>Epo</w:t>
            </w:r>
            <w:proofErr w:type="spellEnd"/>
            <w:r w:rsidRPr="002F66AB">
              <w:rPr>
                <w:bCs w:val="0"/>
                <w:i/>
                <w:lang w:val="en-GB"/>
              </w:rPr>
              <w:t xml:space="preserve"> </w:t>
            </w:r>
          </w:p>
        </w:tc>
        <w:tc>
          <w:tcPr>
            <w:tcW w:w="3691" w:type="dxa"/>
          </w:tcPr>
          <w:p w14:paraId="75FFCFF2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GACAAAGCCATCAGTGGTCTACG</w:t>
            </w:r>
          </w:p>
        </w:tc>
        <w:tc>
          <w:tcPr>
            <w:tcW w:w="3532" w:type="dxa"/>
          </w:tcPr>
          <w:p w14:paraId="71D97CCF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GCAGAAAGTATCCACTGTGAGTG</w:t>
            </w:r>
          </w:p>
        </w:tc>
      </w:tr>
      <w:tr w:rsidR="00BE7EAF" w:rsidRPr="00DB107D" w14:paraId="13DC080F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8D08910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proofErr w:type="spellStart"/>
            <w:r w:rsidRPr="002F66AB">
              <w:rPr>
                <w:bCs w:val="0"/>
                <w:i/>
                <w:lang w:val="en-GB"/>
              </w:rPr>
              <w:t>Hgf</w:t>
            </w:r>
            <w:proofErr w:type="spellEnd"/>
            <w:r w:rsidRPr="002F66AB">
              <w:rPr>
                <w:bCs w:val="0"/>
                <w:i/>
                <w:lang w:val="en-GB"/>
              </w:rPr>
              <w:t xml:space="preserve"> </w:t>
            </w:r>
          </w:p>
        </w:tc>
        <w:tc>
          <w:tcPr>
            <w:tcW w:w="3691" w:type="dxa"/>
          </w:tcPr>
          <w:p w14:paraId="7327185B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GTCCTGAAGGCTCAGACTTGGT</w:t>
            </w:r>
          </w:p>
        </w:tc>
        <w:tc>
          <w:tcPr>
            <w:tcW w:w="3532" w:type="dxa"/>
          </w:tcPr>
          <w:p w14:paraId="3DDE4A7A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CCAGCCGTAAATACTGCAAGTGG</w:t>
            </w:r>
          </w:p>
        </w:tc>
      </w:tr>
      <w:tr w:rsidR="00BE7EAF" w:rsidRPr="00DB107D" w14:paraId="26EED23B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B2DE3D7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r w:rsidRPr="002F66AB">
              <w:rPr>
                <w:bCs w:val="0"/>
                <w:i/>
                <w:lang w:val="en-GB"/>
              </w:rPr>
              <w:t>PPIA</w:t>
            </w:r>
          </w:p>
        </w:tc>
        <w:tc>
          <w:tcPr>
            <w:tcW w:w="3691" w:type="dxa"/>
          </w:tcPr>
          <w:p w14:paraId="2A8A9862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946C2">
              <w:rPr>
                <w:color w:val="000000" w:themeColor="text1"/>
                <w:sz w:val="20"/>
                <w:szCs w:val="20"/>
                <w:lang w:val="en-US"/>
              </w:rPr>
              <w:t>CATACAGGTCCTGGCATCTTGTC</w:t>
            </w:r>
          </w:p>
        </w:tc>
        <w:tc>
          <w:tcPr>
            <w:tcW w:w="3532" w:type="dxa"/>
          </w:tcPr>
          <w:p w14:paraId="2204A306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946C2">
              <w:rPr>
                <w:color w:val="000000" w:themeColor="text1"/>
                <w:sz w:val="20"/>
                <w:szCs w:val="20"/>
                <w:lang w:val="en-US"/>
              </w:rPr>
              <w:t>AGACCACATGCTTGCCATCCAG</w:t>
            </w:r>
          </w:p>
        </w:tc>
      </w:tr>
      <w:tr w:rsidR="00BE7EAF" w:rsidRPr="00DB107D" w14:paraId="3371EA9B" w14:textId="77777777" w:rsidTr="00D24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303EBFD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r w:rsidRPr="002F66AB">
              <w:rPr>
                <w:bCs w:val="0"/>
                <w:i/>
                <w:lang w:val="en-GB"/>
              </w:rPr>
              <w:t xml:space="preserve">Sirt1 </w:t>
            </w:r>
          </w:p>
        </w:tc>
        <w:tc>
          <w:tcPr>
            <w:tcW w:w="3691" w:type="dxa"/>
          </w:tcPr>
          <w:p w14:paraId="3881187C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GGAGCAGATTAGTAAGCGGCTTG</w:t>
            </w:r>
          </w:p>
        </w:tc>
        <w:tc>
          <w:tcPr>
            <w:tcW w:w="3532" w:type="dxa"/>
          </w:tcPr>
          <w:p w14:paraId="4B952324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GTTACTGCCACAGGAACTAGAGG</w:t>
            </w:r>
          </w:p>
        </w:tc>
      </w:tr>
      <w:tr w:rsidR="00BE7EAF" w:rsidRPr="00DB107D" w14:paraId="4C5097D6" w14:textId="77777777" w:rsidTr="00D24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441FD92" w14:textId="77777777" w:rsidR="00BE7EAF" w:rsidRPr="002F66AB" w:rsidRDefault="00BE7EAF" w:rsidP="00D24175">
            <w:pPr>
              <w:autoSpaceDE w:val="0"/>
              <w:autoSpaceDN w:val="0"/>
              <w:adjustRightInd w:val="0"/>
              <w:rPr>
                <w:bCs w:val="0"/>
                <w:i/>
                <w:lang w:val="en-GB"/>
              </w:rPr>
            </w:pPr>
            <w:proofErr w:type="spellStart"/>
            <w:r w:rsidRPr="002F66AB">
              <w:rPr>
                <w:bCs w:val="0"/>
                <w:i/>
                <w:lang w:val="en-GB"/>
              </w:rPr>
              <w:t>Vegfa</w:t>
            </w:r>
            <w:proofErr w:type="spellEnd"/>
            <w:r w:rsidRPr="002F66AB">
              <w:rPr>
                <w:bCs w:val="0"/>
                <w:i/>
                <w:lang w:val="en-GB"/>
              </w:rPr>
              <w:t xml:space="preserve"> </w:t>
            </w:r>
          </w:p>
        </w:tc>
        <w:tc>
          <w:tcPr>
            <w:tcW w:w="3691" w:type="dxa"/>
          </w:tcPr>
          <w:p w14:paraId="62A9ABE5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CTGCTGTAACGATGAAGCCCTG</w:t>
            </w:r>
          </w:p>
        </w:tc>
        <w:tc>
          <w:tcPr>
            <w:tcW w:w="3532" w:type="dxa"/>
          </w:tcPr>
          <w:p w14:paraId="22345293" w14:textId="77777777" w:rsidR="00BE7EAF" w:rsidRPr="00DB107D" w:rsidRDefault="00BE7EAF" w:rsidP="00D2417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E07E09">
              <w:rPr>
                <w:color w:val="000000" w:themeColor="text1"/>
                <w:sz w:val="20"/>
                <w:szCs w:val="20"/>
                <w:lang w:val="en-US"/>
              </w:rPr>
              <w:t>GCTGTAGGAAGCTCATCTCTCC</w:t>
            </w:r>
          </w:p>
        </w:tc>
      </w:tr>
    </w:tbl>
    <w:p w14:paraId="561DF59C" w14:textId="1BEE23E7" w:rsidR="0026505F" w:rsidRDefault="002C0270" w:rsidP="00E4017E">
      <w:pPr>
        <w:jc w:val="both"/>
        <w:rPr>
          <w:noProof/>
          <w:lang w:eastAsia="es-ES"/>
        </w:rPr>
      </w:pPr>
      <w:r>
        <w:rPr>
          <w:b/>
          <w:bCs/>
          <w:noProof/>
          <w:lang w:eastAsia="es-ES"/>
        </w:rPr>
        <w:lastRenderedPageBreak/>
        <w:drawing>
          <wp:anchor distT="0" distB="0" distL="114300" distR="114300" simplePos="0" relativeHeight="251658240" behindDoc="0" locked="0" layoutInCell="1" allowOverlap="1" wp14:anchorId="514B9571" wp14:editId="71D10F94">
            <wp:simplePos x="0" y="0"/>
            <wp:positionH relativeFrom="column">
              <wp:posOffset>942975</wp:posOffset>
            </wp:positionH>
            <wp:positionV relativeFrom="paragraph">
              <wp:posOffset>2540</wp:posOffset>
            </wp:positionV>
            <wp:extent cx="3368040" cy="6802755"/>
            <wp:effectExtent l="0" t="0" r="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6802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9BE583" w14:textId="051BF0B6" w:rsidR="009E35E2" w:rsidRDefault="009E35E2" w:rsidP="009E35E2">
      <w:pPr>
        <w:spacing w:after="120"/>
        <w:jc w:val="center"/>
        <w:rPr>
          <w:b/>
          <w:bCs/>
          <w:lang w:val="en-GB"/>
        </w:rPr>
      </w:pPr>
    </w:p>
    <w:p w14:paraId="4EB1297E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578D8004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2A9614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11E0239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531F45AC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7B8D654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65985E75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6137EA45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186A28A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1A82DEA2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5EB80F3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98E8898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70BB588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C4413F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58E63850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1E1C542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6F4F0CE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71075B78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1D232E35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1867C37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F44106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291044A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C656BC2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EC004DB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2D85FB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2042344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CC8490B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50C906E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DB26EBB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68EB412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A7016CF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899E2D8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2635AF6A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6A05AF6F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5C60D04D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4167B2E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35A96CDB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E07B805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7069A615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7704A682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4B6633F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73F662E0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73B451B4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4EF70747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0A240BF7" w14:textId="77777777" w:rsidR="002C0270" w:rsidRDefault="002C0270" w:rsidP="002C0270">
      <w:pPr>
        <w:jc w:val="both"/>
        <w:rPr>
          <w:b/>
          <w:bCs/>
          <w:sz w:val="20"/>
          <w:lang w:val="en-GB"/>
        </w:rPr>
      </w:pPr>
    </w:p>
    <w:p w14:paraId="5AA88AC4" w14:textId="44CBE3A0" w:rsidR="002C0270" w:rsidRPr="002C0270" w:rsidRDefault="00FB63FD" w:rsidP="002C0270">
      <w:pPr>
        <w:jc w:val="both"/>
        <w:rPr>
          <w:bCs/>
          <w:sz w:val="20"/>
          <w:lang w:val="en-GB"/>
        </w:rPr>
      </w:pPr>
      <w:r w:rsidRPr="00650FC2">
        <w:rPr>
          <w:b/>
          <w:bCs/>
          <w:sz w:val="20"/>
          <w:lang w:val="en-GB"/>
        </w:rPr>
        <w:t xml:space="preserve">Supplemental </w:t>
      </w:r>
      <w:r w:rsidR="00BE7EAF" w:rsidRPr="00650FC2">
        <w:rPr>
          <w:b/>
          <w:bCs/>
          <w:sz w:val="20"/>
          <w:lang w:val="en-GB"/>
        </w:rPr>
        <w:t>Fig</w:t>
      </w:r>
      <w:r w:rsidRPr="00650FC2">
        <w:rPr>
          <w:b/>
          <w:bCs/>
          <w:sz w:val="20"/>
          <w:lang w:val="en-GB"/>
        </w:rPr>
        <w:t xml:space="preserve">. 1 </w:t>
      </w:r>
      <w:r w:rsidR="00BE7EAF" w:rsidRPr="00650FC2">
        <w:rPr>
          <w:b/>
          <w:sz w:val="20"/>
          <w:lang w:val="en-GB"/>
        </w:rPr>
        <w:t>Inhibition of HSP90 by CCT018159 decreases HIF-1</w:t>
      </w:r>
      <w:r w:rsidR="00BE7EAF" w:rsidRPr="00650FC2">
        <w:rPr>
          <w:b/>
          <w:sz w:val="20"/>
        </w:rPr>
        <w:t>α</w:t>
      </w:r>
      <w:r w:rsidR="00BE7EAF" w:rsidRPr="00650FC2">
        <w:rPr>
          <w:b/>
          <w:sz w:val="20"/>
          <w:lang w:val="en-GB"/>
        </w:rPr>
        <w:t xml:space="preserve"> expression induced by VCE-005.1</w:t>
      </w:r>
      <w:r w:rsidR="00A63BFF" w:rsidRPr="00650FC2">
        <w:rPr>
          <w:b/>
          <w:sz w:val="20"/>
          <w:lang w:val="en-GB"/>
        </w:rPr>
        <w:t>.</w:t>
      </w:r>
      <w:r w:rsidR="0074309D" w:rsidRPr="00650FC2">
        <w:rPr>
          <w:b/>
          <w:sz w:val="20"/>
          <w:lang w:val="en-GB"/>
        </w:rPr>
        <w:t xml:space="preserve"> </w:t>
      </w:r>
      <w:r w:rsidR="00555059" w:rsidRPr="00650FC2">
        <w:rPr>
          <w:b/>
          <w:bCs/>
          <w:sz w:val="20"/>
          <w:lang w:val="en-GB"/>
        </w:rPr>
        <w:t>(a)</w:t>
      </w:r>
      <w:r w:rsidR="0074309D" w:rsidRPr="00650FC2">
        <w:rPr>
          <w:sz w:val="20"/>
          <w:lang w:val="en-GB"/>
        </w:rPr>
        <w:t xml:space="preserve"> </w:t>
      </w:r>
      <w:r w:rsidR="0074309D" w:rsidRPr="00650FC2">
        <w:rPr>
          <w:bCs/>
          <w:sz w:val="20"/>
          <w:lang w:val="en-US"/>
        </w:rPr>
        <w:t>In the presence or absence of AMPK, SIRT1 and HSP90 inhibitors, NIH-3T3-EPO-luc cells were treated with VCE-005.1 for 6 h. After this, luciferase activity was measured and expressed as a percentage of activation, considering the value of VCE-005.1 as 100% activation. Data represent the mean ± SD (n= 3-6) and the significance was determined using non-parametric followed by a Kruskal-</w:t>
      </w:r>
      <w:proofErr w:type="gramStart"/>
      <w:r w:rsidR="0074309D" w:rsidRPr="00650FC2">
        <w:rPr>
          <w:bCs/>
          <w:sz w:val="20"/>
          <w:lang w:val="en-US"/>
        </w:rPr>
        <w:t>Wallis</w:t>
      </w:r>
      <w:proofErr w:type="gramEnd"/>
      <w:r w:rsidR="0074309D" w:rsidRPr="00650FC2">
        <w:rPr>
          <w:bCs/>
          <w:sz w:val="20"/>
          <w:lang w:val="en-US"/>
        </w:rPr>
        <w:t xml:space="preserve"> test; **p &lt; 0.01, ****p &lt; 0.0001. </w:t>
      </w:r>
      <w:r w:rsidR="00555059" w:rsidRPr="00650FC2">
        <w:rPr>
          <w:b/>
          <w:sz w:val="20"/>
          <w:lang w:val="en-US"/>
        </w:rPr>
        <w:t>(b)</w:t>
      </w:r>
      <w:r w:rsidR="0074309D" w:rsidRPr="00650FC2">
        <w:rPr>
          <w:b/>
          <w:sz w:val="20"/>
          <w:lang w:val="en-GB"/>
        </w:rPr>
        <w:t xml:space="preserve"> </w:t>
      </w:r>
      <w:proofErr w:type="gramStart"/>
      <w:r w:rsidR="0074309D" w:rsidRPr="00650FC2">
        <w:rPr>
          <w:bCs/>
          <w:sz w:val="20"/>
          <w:lang w:val="en-GB"/>
        </w:rPr>
        <w:t>EA.hy</w:t>
      </w:r>
      <w:proofErr w:type="gramEnd"/>
      <w:r w:rsidR="0074309D" w:rsidRPr="00650FC2">
        <w:rPr>
          <w:bCs/>
          <w:sz w:val="20"/>
          <w:lang w:val="en-GB"/>
        </w:rPr>
        <w:t xml:space="preserve">926 cell line was pre-incubated with CTT018159 and subsequently treated with different concentrations of VCE-005.1 for a period of three hours. Western blot analysis was then performed </w:t>
      </w:r>
      <w:proofErr w:type="gramStart"/>
      <w:r w:rsidR="0074309D" w:rsidRPr="00650FC2">
        <w:rPr>
          <w:bCs/>
          <w:sz w:val="20"/>
          <w:lang w:val="en-GB"/>
        </w:rPr>
        <w:t>in order to</w:t>
      </w:r>
      <w:proofErr w:type="gramEnd"/>
      <w:r w:rsidR="0074309D" w:rsidRPr="00650FC2">
        <w:rPr>
          <w:bCs/>
          <w:sz w:val="20"/>
          <w:lang w:val="en-GB"/>
        </w:rPr>
        <w:t xml:space="preserve"> measure the levels of HIF1α, Sirt1, HSP90, and Actin</w:t>
      </w:r>
      <w:r w:rsidR="00235ADF" w:rsidRPr="00650FC2">
        <w:rPr>
          <w:bCs/>
          <w:sz w:val="20"/>
          <w:lang w:val="en-GB"/>
        </w:rPr>
        <w:t xml:space="preserve"> (n=3)</w:t>
      </w:r>
      <w:r w:rsidR="0074309D" w:rsidRPr="00650FC2">
        <w:rPr>
          <w:bCs/>
          <w:sz w:val="20"/>
          <w:lang w:val="en-GB"/>
        </w:rPr>
        <w:t>.</w:t>
      </w:r>
      <w:r w:rsidR="00235ADF" w:rsidRPr="00650FC2">
        <w:rPr>
          <w:bCs/>
          <w:sz w:val="20"/>
          <w:lang w:val="en-US"/>
        </w:rPr>
        <w:t xml:space="preserve"> </w:t>
      </w:r>
      <w:r w:rsidR="00555059" w:rsidRPr="00650FC2">
        <w:rPr>
          <w:b/>
          <w:bCs/>
          <w:sz w:val="20"/>
          <w:lang w:val="en-US"/>
        </w:rPr>
        <w:t>(c)</w:t>
      </w:r>
      <w:r w:rsidR="0074309D" w:rsidRPr="00650FC2">
        <w:rPr>
          <w:b/>
          <w:bCs/>
          <w:sz w:val="20"/>
          <w:lang w:val="en-US"/>
        </w:rPr>
        <w:t xml:space="preserve"> </w:t>
      </w:r>
      <w:proofErr w:type="gramStart"/>
      <w:r w:rsidR="0074309D" w:rsidRPr="00650FC2">
        <w:rPr>
          <w:bCs/>
          <w:sz w:val="20"/>
          <w:lang w:val="en-GB"/>
        </w:rPr>
        <w:t>EA.hy</w:t>
      </w:r>
      <w:proofErr w:type="gramEnd"/>
      <w:r w:rsidR="0074309D" w:rsidRPr="00650FC2">
        <w:rPr>
          <w:bCs/>
          <w:sz w:val="20"/>
          <w:lang w:val="en-GB"/>
        </w:rPr>
        <w:t xml:space="preserve">926 cells were subjected to transfection with siSIRT1 or scrambled control siRNAs, followed by exposure to VCE-005.1 for a duration of 5h. Then, the expression levels of </w:t>
      </w:r>
      <w:proofErr w:type="spellStart"/>
      <w:r w:rsidR="0074309D" w:rsidRPr="00650FC2">
        <w:rPr>
          <w:bCs/>
          <w:sz w:val="20"/>
          <w:lang w:val="en-GB"/>
        </w:rPr>
        <w:t>peNOS</w:t>
      </w:r>
      <w:proofErr w:type="spellEnd"/>
      <w:r w:rsidR="0074309D" w:rsidRPr="00650FC2">
        <w:rPr>
          <w:bCs/>
          <w:sz w:val="20"/>
          <w:lang w:val="en-GB"/>
        </w:rPr>
        <w:t xml:space="preserve"> (s1177), </w:t>
      </w:r>
      <w:proofErr w:type="spellStart"/>
      <w:r w:rsidR="0074309D" w:rsidRPr="00650FC2">
        <w:rPr>
          <w:bCs/>
          <w:sz w:val="20"/>
          <w:lang w:val="en-GB"/>
        </w:rPr>
        <w:t>eNOS</w:t>
      </w:r>
      <w:proofErr w:type="spellEnd"/>
      <w:r w:rsidR="0074309D" w:rsidRPr="00650FC2">
        <w:rPr>
          <w:bCs/>
          <w:sz w:val="20"/>
          <w:lang w:val="en-GB"/>
        </w:rPr>
        <w:t>, B55α and Actin</w:t>
      </w:r>
      <w:r w:rsidR="0074309D" w:rsidRPr="00650FC2">
        <w:rPr>
          <w:sz w:val="20"/>
          <w:lang w:val="en-GB"/>
        </w:rPr>
        <w:t xml:space="preserve"> </w:t>
      </w:r>
      <w:r w:rsidR="0074309D" w:rsidRPr="00650FC2">
        <w:rPr>
          <w:bCs/>
          <w:sz w:val="20"/>
          <w:lang w:val="en-GB"/>
        </w:rPr>
        <w:t>were analysed using Western Blot analysis (n=3)</w:t>
      </w:r>
      <w:r w:rsidR="002C0270">
        <w:rPr>
          <w:bCs/>
          <w:sz w:val="20"/>
          <w:lang w:val="en-GB"/>
        </w:rPr>
        <w:t>.</w:t>
      </w:r>
    </w:p>
    <w:p w14:paraId="1759621C" w14:textId="06A763CF" w:rsidR="009E35E2" w:rsidRDefault="009E35E2" w:rsidP="009E35E2">
      <w:pPr>
        <w:spacing w:line="360" w:lineRule="auto"/>
        <w:jc w:val="center"/>
        <w:rPr>
          <w:b/>
          <w:bCs/>
          <w:sz w:val="20"/>
          <w:lang w:val="en-GB"/>
        </w:rPr>
      </w:pPr>
      <w:r>
        <w:rPr>
          <w:b/>
          <w:bCs/>
          <w:noProof/>
          <w:sz w:val="20"/>
          <w:lang w:eastAsia="es-ES"/>
        </w:rPr>
        <w:lastRenderedPageBreak/>
        <w:drawing>
          <wp:inline distT="0" distB="0" distL="0" distR="0" wp14:anchorId="7980FBB0" wp14:editId="6A2751A8">
            <wp:extent cx="5394091" cy="6264000"/>
            <wp:effectExtent l="0" t="0" r="0" b="0"/>
            <wp:docPr id="93" name="Imagen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091" cy="626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B5DB6" w14:textId="3B22991B" w:rsidR="00BE7EAF" w:rsidRPr="00650FC2" w:rsidRDefault="00FB63FD" w:rsidP="002C0270">
      <w:pPr>
        <w:jc w:val="both"/>
        <w:rPr>
          <w:sz w:val="20"/>
          <w:lang w:val="en-GB"/>
        </w:rPr>
      </w:pPr>
      <w:r w:rsidRPr="00650FC2">
        <w:rPr>
          <w:b/>
          <w:bCs/>
          <w:sz w:val="20"/>
          <w:lang w:val="en-GB"/>
        </w:rPr>
        <w:t xml:space="preserve">Supplemental </w:t>
      </w:r>
      <w:r w:rsidR="00BE7EAF" w:rsidRPr="00650FC2">
        <w:rPr>
          <w:b/>
          <w:bCs/>
          <w:sz w:val="20"/>
          <w:lang w:val="en-GB"/>
        </w:rPr>
        <w:t>Fig</w:t>
      </w:r>
      <w:r w:rsidRPr="00650FC2">
        <w:rPr>
          <w:b/>
          <w:bCs/>
          <w:sz w:val="20"/>
          <w:lang w:val="en-GB"/>
        </w:rPr>
        <w:t>. 2</w:t>
      </w:r>
      <w:r w:rsidR="0026505F" w:rsidRPr="00650FC2">
        <w:rPr>
          <w:b/>
          <w:bCs/>
          <w:sz w:val="20"/>
          <w:lang w:val="en-GB"/>
        </w:rPr>
        <w:t xml:space="preserve"> </w:t>
      </w:r>
      <w:r w:rsidR="00BE7EAF" w:rsidRPr="00650FC2">
        <w:rPr>
          <w:b/>
          <w:bCs/>
          <w:sz w:val="20"/>
          <w:lang w:val="en-US"/>
        </w:rPr>
        <w:t xml:space="preserve">VCE-005.1 induces Cav1 </w:t>
      </w:r>
      <w:r w:rsidR="00BE7BE5">
        <w:rPr>
          <w:b/>
          <w:bCs/>
          <w:i/>
          <w:sz w:val="20"/>
          <w:lang w:val="en-US"/>
        </w:rPr>
        <w:t>in vivo.</w:t>
      </w:r>
      <w:r w:rsidR="00BE7EAF" w:rsidRPr="00650FC2">
        <w:rPr>
          <w:b/>
          <w:bCs/>
          <w:sz w:val="20"/>
          <w:lang w:val="en-US"/>
        </w:rPr>
        <w:t xml:space="preserve"> </w:t>
      </w:r>
      <w:r w:rsidR="00555059" w:rsidRPr="00650FC2">
        <w:rPr>
          <w:b/>
          <w:bCs/>
          <w:sz w:val="20"/>
          <w:lang w:val="en-GB"/>
        </w:rPr>
        <w:t>(a)</w:t>
      </w:r>
      <w:r w:rsidR="00BE7EAF" w:rsidRPr="00650FC2">
        <w:rPr>
          <w:sz w:val="20"/>
          <w:lang w:val="en-GB"/>
        </w:rPr>
        <w:t xml:space="preserve"> Representative double immunofluorescence confocal staining </w:t>
      </w:r>
      <w:r w:rsidR="002C0270" w:rsidRPr="00650FC2">
        <w:rPr>
          <w:sz w:val="20"/>
          <w:lang w:val="en-GB"/>
        </w:rPr>
        <w:t xml:space="preserve">of </w:t>
      </w:r>
      <w:r w:rsidR="002C0270">
        <w:rPr>
          <w:sz w:val="20"/>
          <w:lang w:val="en-GB"/>
        </w:rPr>
        <w:t>CAV</w:t>
      </w:r>
      <w:r w:rsidR="00A954EF" w:rsidRPr="00650FC2">
        <w:rPr>
          <w:sz w:val="20"/>
          <w:lang w:val="en-GB"/>
        </w:rPr>
        <w:t>1</w:t>
      </w:r>
      <w:r w:rsidR="00BE7EAF" w:rsidRPr="00650FC2">
        <w:rPr>
          <w:sz w:val="20"/>
          <w:lang w:val="en-GB"/>
        </w:rPr>
        <w:t xml:space="preserve">(red)/CD31 (green) and its quantification </w:t>
      </w:r>
      <w:r w:rsidR="00BE7EAF" w:rsidRPr="00650FC2">
        <w:rPr>
          <w:bCs/>
          <w:sz w:val="20"/>
          <w:lang w:val="en-GB"/>
        </w:rPr>
        <w:t>in gastrocnemius muscles 10 days after ischemia.</w:t>
      </w:r>
      <w:r w:rsidR="00235ADF" w:rsidRPr="00650FC2">
        <w:rPr>
          <w:sz w:val="20"/>
          <w:lang w:val="en-GB"/>
        </w:rPr>
        <w:t xml:space="preserve"> Scale bar corresponds to 100 </w:t>
      </w:r>
      <w:proofErr w:type="spellStart"/>
      <w:r w:rsidR="00235ADF" w:rsidRPr="00650FC2">
        <w:rPr>
          <w:sz w:val="20"/>
          <w:lang w:val="en-GB"/>
        </w:rPr>
        <w:t>μm</w:t>
      </w:r>
      <w:proofErr w:type="spellEnd"/>
      <w:r w:rsidR="00235ADF" w:rsidRPr="00650FC2">
        <w:rPr>
          <w:sz w:val="20"/>
          <w:lang w:val="en-GB"/>
        </w:rPr>
        <w:t>.</w:t>
      </w:r>
      <w:r w:rsidR="00BE7EAF" w:rsidRPr="00650FC2">
        <w:rPr>
          <w:bCs/>
          <w:sz w:val="20"/>
          <w:lang w:val="en-GB"/>
        </w:rPr>
        <w:t xml:space="preserve"> </w:t>
      </w:r>
      <w:r w:rsidR="00555059" w:rsidRPr="00650FC2">
        <w:rPr>
          <w:b/>
          <w:bCs/>
          <w:sz w:val="20"/>
          <w:lang w:val="en-GB"/>
        </w:rPr>
        <w:t>(b)</w:t>
      </w:r>
      <w:r w:rsidR="00BE7EAF" w:rsidRPr="00650FC2">
        <w:rPr>
          <w:sz w:val="20"/>
          <w:lang w:val="en-GB"/>
        </w:rPr>
        <w:t xml:space="preserve"> Representative double immunofluorescence confocal staining of C</w:t>
      </w:r>
      <w:r w:rsidR="00A954EF" w:rsidRPr="00650FC2">
        <w:rPr>
          <w:sz w:val="20"/>
          <w:lang w:val="en-GB"/>
        </w:rPr>
        <w:t>AV</w:t>
      </w:r>
      <w:r w:rsidR="00BE7EAF" w:rsidRPr="00650FC2">
        <w:rPr>
          <w:sz w:val="20"/>
          <w:lang w:val="en-GB"/>
        </w:rPr>
        <w:t>1(red)/CD31 (green) in Wound Healing.</w:t>
      </w:r>
      <w:r w:rsidR="00235ADF" w:rsidRPr="00650FC2">
        <w:rPr>
          <w:sz w:val="20"/>
          <w:lang w:val="en-GB"/>
        </w:rPr>
        <w:t xml:space="preserve"> </w:t>
      </w:r>
      <w:r w:rsidR="00235ADF" w:rsidRPr="00650FC2">
        <w:rPr>
          <w:bCs/>
          <w:sz w:val="20"/>
          <w:lang w:val="en-GB"/>
        </w:rPr>
        <w:t xml:space="preserve">Scale bars equivalent to 50 </w:t>
      </w:r>
      <w:proofErr w:type="spellStart"/>
      <w:r w:rsidR="00235ADF" w:rsidRPr="00650FC2">
        <w:rPr>
          <w:bCs/>
          <w:sz w:val="20"/>
          <w:lang w:val="en-GB"/>
        </w:rPr>
        <w:t>μm</w:t>
      </w:r>
      <w:proofErr w:type="spellEnd"/>
      <w:r w:rsidR="00235ADF" w:rsidRPr="00650FC2">
        <w:rPr>
          <w:bCs/>
          <w:sz w:val="20"/>
          <w:lang w:val="en-GB"/>
        </w:rPr>
        <w:t xml:space="preserve"> for confocal images. </w:t>
      </w:r>
      <w:r w:rsidR="00BE7EAF" w:rsidRPr="00650FC2">
        <w:rPr>
          <w:sz w:val="20"/>
          <w:lang w:val="en-GB"/>
        </w:rPr>
        <w:t xml:space="preserve"> </w:t>
      </w:r>
      <w:r w:rsidR="00555059" w:rsidRPr="00650FC2">
        <w:rPr>
          <w:b/>
          <w:sz w:val="20"/>
          <w:lang w:val="en-GB"/>
        </w:rPr>
        <w:t xml:space="preserve">(c) </w:t>
      </w:r>
      <w:r w:rsidR="00BE7EAF" w:rsidRPr="00650FC2">
        <w:rPr>
          <w:sz w:val="20"/>
          <w:lang w:val="en-GB"/>
        </w:rPr>
        <w:t>Quantification of C</w:t>
      </w:r>
      <w:r w:rsidR="00555059" w:rsidRPr="00650FC2">
        <w:rPr>
          <w:sz w:val="20"/>
          <w:lang w:val="en-GB"/>
        </w:rPr>
        <w:t>AV</w:t>
      </w:r>
      <w:r w:rsidR="00BE7EAF" w:rsidRPr="00650FC2">
        <w:rPr>
          <w:sz w:val="20"/>
          <w:lang w:val="en-GB"/>
        </w:rPr>
        <w:t>1 (red)/CD31 (green) immunofluorescence. Data did not pass the normality test, and significance was determined using non-parametric methods, followed by a Kruskal–</w:t>
      </w:r>
      <w:proofErr w:type="gramStart"/>
      <w:r w:rsidR="00BE7EAF" w:rsidRPr="00650FC2">
        <w:rPr>
          <w:sz w:val="20"/>
          <w:lang w:val="en-GB"/>
        </w:rPr>
        <w:t>Wallis</w:t>
      </w:r>
      <w:proofErr w:type="gramEnd"/>
      <w:r w:rsidR="00BE7EAF" w:rsidRPr="00650FC2">
        <w:rPr>
          <w:sz w:val="20"/>
          <w:lang w:val="en-GB"/>
        </w:rPr>
        <w:t xml:space="preserve"> test. </w:t>
      </w:r>
      <w:r w:rsidR="002368D3" w:rsidRPr="00650FC2">
        <w:rPr>
          <w:b/>
          <w:sz w:val="20"/>
          <w:lang w:val="en-GB"/>
        </w:rPr>
        <w:t>(d)</w:t>
      </w:r>
      <w:r w:rsidR="002368D3" w:rsidRPr="00650FC2">
        <w:rPr>
          <w:sz w:val="20"/>
          <w:lang w:val="en-GB"/>
        </w:rPr>
        <w:t xml:space="preserve"> </w:t>
      </w:r>
      <w:r w:rsidR="002368D3" w:rsidRPr="00650FC2">
        <w:rPr>
          <w:bCs/>
          <w:sz w:val="20"/>
          <w:lang w:val="en-US"/>
        </w:rPr>
        <w:t xml:space="preserve">The mRNA expression of </w:t>
      </w:r>
      <w:r w:rsidR="00555059" w:rsidRPr="00650FC2">
        <w:rPr>
          <w:i/>
          <w:sz w:val="20"/>
          <w:lang w:val="en-GB"/>
        </w:rPr>
        <w:t>CAV</w:t>
      </w:r>
      <w:r w:rsidR="00BE7EAF" w:rsidRPr="00650FC2">
        <w:rPr>
          <w:i/>
          <w:sz w:val="20"/>
          <w:lang w:val="en-GB"/>
        </w:rPr>
        <w:t>1</w:t>
      </w:r>
      <w:r w:rsidR="002368D3" w:rsidRPr="00650FC2">
        <w:rPr>
          <w:i/>
          <w:sz w:val="20"/>
          <w:lang w:val="en-GB"/>
        </w:rPr>
        <w:t xml:space="preserve"> </w:t>
      </w:r>
      <w:r w:rsidR="002368D3" w:rsidRPr="00650FC2">
        <w:rPr>
          <w:bCs/>
          <w:color w:val="000000" w:themeColor="text1"/>
          <w:sz w:val="20"/>
          <w:lang w:val="en-US" w:eastAsia="es-ES"/>
        </w:rPr>
        <w:t xml:space="preserve">in the skin after 10 days </w:t>
      </w:r>
      <w:r w:rsidR="002368D3" w:rsidRPr="00650FC2">
        <w:rPr>
          <w:bCs/>
          <w:color w:val="000000" w:themeColor="text1"/>
          <w:sz w:val="20"/>
          <w:lang w:val="en-US"/>
        </w:rPr>
        <w:t>of wounding</w:t>
      </w:r>
      <w:r w:rsidR="002368D3" w:rsidRPr="00650FC2">
        <w:rPr>
          <w:sz w:val="20"/>
          <w:lang w:val="en-GB"/>
        </w:rPr>
        <w:t xml:space="preserve">. Data </w:t>
      </w:r>
      <w:r w:rsidR="00BE7EAF" w:rsidRPr="00650FC2">
        <w:rPr>
          <w:sz w:val="20"/>
          <w:lang w:val="en-GB"/>
        </w:rPr>
        <w:t>passed the Shapiro-Wilk normality test and statistical analysis was performed using one-way ANOVA, followed by Tukey’s post hoc test to compare di</w:t>
      </w:r>
      <w:r w:rsidR="002368D3" w:rsidRPr="00650FC2">
        <w:rPr>
          <w:sz w:val="20"/>
          <w:lang w:val="en-GB"/>
        </w:rPr>
        <w:t>fferences among the groups (n =4</w:t>
      </w:r>
      <w:r w:rsidR="00BE7EAF" w:rsidRPr="00650FC2">
        <w:rPr>
          <w:sz w:val="20"/>
          <w:lang w:val="en-GB"/>
        </w:rPr>
        <w:t xml:space="preserve">–6 animals per group). The results are presented as mean ± SEM. Statistical significance is indicated in the panel, with *p &lt; 0.05, </w:t>
      </w:r>
      <w:r w:rsidR="00BE7EAF" w:rsidRPr="00650FC2">
        <w:rPr>
          <w:bCs/>
          <w:sz w:val="20"/>
          <w:lang w:val="en-US"/>
        </w:rPr>
        <w:t>***p &lt; 0.001 and ****p &lt; 0.0001.</w:t>
      </w:r>
    </w:p>
    <w:p w14:paraId="5416E103" w14:textId="51F3EED5" w:rsidR="00BE7EAF" w:rsidRPr="00E4017E" w:rsidRDefault="009E35E2" w:rsidP="009E35E2">
      <w:pPr>
        <w:spacing w:line="360" w:lineRule="auto"/>
        <w:jc w:val="center"/>
        <w:rPr>
          <w:lang w:val="en-GB"/>
        </w:rPr>
      </w:pPr>
      <w:r>
        <w:rPr>
          <w:noProof/>
          <w:lang w:eastAsia="es-ES"/>
        </w:rPr>
        <w:lastRenderedPageBreak/>
        <w:drawing>
          <wp:inline distT="0" distB="0" distL="0" distR="0" wp14:anchorId="161E3EF8" wp14:editId="2C254C01">
            <wp:extent cx="5137519" cy="7185414"/>
            <wp:effectExtent l="0" t="0" r="6350" b="3175"/>
            <wp:docPr id="92" name="Imagen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409" cy="7210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0BC1E" w14:textId="77777777" w:rsidR="002C0270" w:rsidRDefault="002C0270" w:rsidP="002C0270">
      <w:pPr>
        <w:jc w:val="both"/>
        <w:rPr>
          <w:b/>
          <w:bCs/>
          <w:sz w:val="20"/>
          <w:szCs w:val="20"/>
          <w:lang w:val="en-GB"/>
        </w:rPr>
      </w:pPr>
    </w:p>
    <w:p w14:paraId="5149E49A" w14:textId="4EAC99AF" w:rsidR="00732E22" w:rsidRPr="00BE7EAF" w:rsidRDefault="009E35E2" w:rsidP="002C0270">
      <w:pPr>
        <w:jc w:val="both"/>
        <w:rPr>
          <w:lang w:val="en-GB"/>
        </w:rPr>
      </w:pPr>
      <w:r>
        <w:rPr>
          <w:b/>
          <w:bCs/>
          <w:sz w:val="20"/>
          <w:szCs w:val="20"/>
          <w:lang w:val="en-GB"/>
        </w:rPr>
        <w:t>S</w:t>
      </w:r>
      <w:r w:rsidR="00FB63FD" w:rsidRPr="00650FC2">
        <w:rPr>
          <w:b/>
          <w:bCs/>
          <w:sz w:val="20"/>
          <w:szCs w:val="20"/>
          <w:lang w:val="en-GB"/>
        </w:rPr>
        <w:t xml:space="preserve">upplemental </w:t>
      </w:r>
      <w:r w:rsidR="00DE192F" w:rsidRPr="00650FC2">
        <w:rPr>
          <w:b/>
          <w:bCs/>
          <w:sz w:val="20"/>
          <w:szCs w:val="20"/>
          <w:lang w:val="en-GB"/>
        </w:rPr>
        <w:t>Fig</w:t>
      </w:r>
      <w:r w:rsidR="00FB63FD" w:rsidRPr="00650FC2">
        <w:rPr>
          <w:b/>
          <w:bCs/>
          <w:sz w:val="20"/>
          <w:szCs w:val="20"/>
          <w:lang w:val="en-GB"/>
        </w:rPr>
        <w:t xml:space="preserve">. </w:t>
      </w:r>
      <w:r w:rsidR="00DE192F" w:rsidRPr="00650FC2">
        <w:rPr>
          <w:b/>
          <w:bCs/>
          <w:sz w:val="20"/>
          <w:szCs w:val="20"/>
          <w:lang w:val="en-GB"/>
        </w:rPr>
        <w:t>3</w:t>
      </w:r>
      <w:r w:rsidR="00DE192F" w:rsidRPr="00650FC2">
        <w:rPr>
          <w:b/>
          <w:bCs/>
          <w:sz w:val="20"/>
          <w:szCs w:val="20"/>
          <w:lang w:val="en-US"/>
        </w:rPr>
        <w:t xml:space="preserve"> </w:t>
      </w:r>
      <w:r w:rsidR="00DE192F" w:rsidRPr="00650FC2">
        <w:rPr>
          <w:rFonts w:eastAsiaTheme="minorHAnsi"/>
          <w:b/>
          <w:bCs/>
          <w:sz w:val="20"/>
          <w:szCs w:val="20"/>
          <w:lang w:val="en-US" w:eastAsia="en-US"/>
        </w:rPr>
        <w:t>VCE-005.1 induce HIF1</w:t>
      </w:r>
      <w:r w:rsidR="00DE192F" w:rsidRPr="00650FC2">
        <w:rPr>
          <w:b/>
          <w:bCs/>
          <w:sz w:val="20"/>
          <w:szCs w:val="20"/>
          <w:lang w:val="en-US"/>
        </w:rPr>
        <w:t>α</w:t>
      </w:r>
      <w:r w:rsidR="00DE192F" w:rsidRPr="00650FC2">
        <w:rPr>
          <w:rFonts w:eastAsiaTheme="minorHAnsi"/>
          <w:b/>
          <w:bCs/>
          <w:sz w:val="20"/>
          <w:szCs w:val="20"/>
          <w:lang w:val="en-US" w:eastAsia="en-US"/>
        </w:rPr>
        <w:t xml:space="preserve"> and B55</w:t>
      </w:r>
      <w:r w:rsidR="00DE192F" w:rsidRPr="00650FC2">
        <w:rPr>
          <w:b/>
          <w:bCs/>
          <w:sz w:val="20"/>
          <w:szCs w:val="20"/>
          <w:lang w:val="en-US"/>
        </w:rPr>
        <w:t xml:space="preserve">α </w:t>
      </w:r>
      <w:r w:rsidR="00DE192F" w:rsidRPr="00650FC2">
        <w:rPr>
          <w:rFonts w:eastAsiaTheme="minorHAnsi"/>
          <w:b/>
          <w:bCs/>
          <w:sz w:val="20"/>
          <w:szCs w:val="20"/>
          <w:lang w:val="en-US" w:eastAsia="en-US"/>
        </w:rPr>
        <w:t>in papillary follicular cell line</w:t>
      </w:r>
      <w:r w:rsidR="00BE7BE5">
        <w:rPr>
          <w:rFonts w:eastAsiaTheme="minorHAnsi"/>
          <w:b/>
          <w:bCs/>
          <w:sz w:val="20"/>
          <w:szCs w:val="20"/>
          <w:lang w:val="en-US" w:eastAsia="en-US"/>
        </w:rPr>
        <w:t>.</w:t>
      </w:r>
      <w:r w:rsidR="00BE7BE5">
        <w:rPr>
          <w:b/>
          <w:bCs/>
          <w:sz w:val="20"/>
          <w:szCs w:val="20"/>
          <w:lang w:val="en-US"/>
        </w:rPr>
        <w:t xml:space="preserve"> </w:t>
      </w:r>
      <w:r w:rsidR="00DE192F" w:rsidRPr="00650FC2">
        <w:rPr>
          <w:b/>
          <w:bCs/>
          <w:sz w:val="20"/>
          <w:szCs w:val="20"/>
          <w:lang w:val="en-US"/>
        </w:rPr>
        <w:t xml:space="preserve"> </w:t>
      </w:r>
      <w:r w:rsidR="001100E8">
        <w:rPr>
          <w:b/>
          <w:bCs/>
          <w:sz w:val="20"/>
          <w:szCs w:val="20"/>
          <w:lang w:val="en-US"/>
        </w:rPr>
        <w:t>(a)</w:t>
      </w:r>
      <w:r w:rsidR="00DE192F" w:rsidRPr="00650FC2">
        <w:rPr>
          <w:b/>
          <w:bCs/>
          <w:sz w:val="20"/>
          <w:szCs w:val="20"/>
          <w:lang w:val="en-US"/>
        </w:rPr>
        <w:t xml:space="preserve"> </w:t>
      </w:r>
      <w:r w:rsidR="00DE192F" w:rsidRPr="00650FC2">
        <w:rPr>
          <w:sz w:val="20"/>
          <w:szCs w:val="20"/>
          <w:lang w:val="en-GB"/>
        </w:rPr>
        <w:t xml:space="preserve">The IHDPC cell line was stimulated with increasing concentrations of VCE-005.1 for 3 hours, and the compound DMOG was used as a positive control for HIF1α. The expression levels of HIF1α, B55α, and Actin were assessed by Western blot analysis (n=3). </w:t>
      </w:r>
      <w:r w:rsidR="001100E8">
        <w:rPr>
          <w:b/>
          <w:sz w:val="20"/>
          <w:szCs w:val="20"/>
          <w:lang w:val="en-GB"/>
        </w:rPr>
        <w:t>(b)</w:t>
      </w:r>
      <w:r w:rsidR="00DE192F" w:rsidRPr="00650FC2">
        <w:rPr>
          <w:b/>
          <w:sz w:val="20"/>
          <w:szCs w:val="20"/>
          <w:lang w:val="en-GB"/>
        </w:rPr>
        <w:t xml:space="preserve"> </w:t>
      </w:r>
      <w:r w:rsidR="00DE192F" w:rsidRPr="00650FC2">
        <w:rPr>
          <w:sz w:val="20"/>
          <w:szCs w:val="20"/>
          <w:lang w:val="en-GB"/>
        </w:rPr>
        <w:t xml:space="preserve">Representative confocal image of HIF1α (green) and B55α (red) expression in IHDPC cells untreated and treated with increasing concentrations of VCE-005.1 for 3h </w:t>
      </w:r>
      <w:r w:rsidR="002C491A">
        <w:rPr>
          <w:bCs/>
          <w:sz w:val="20"/>
          <w:szCs w:val="20"/>
          <w:lang w:val="en-GB"/>
        </w:rPr>
        <w:t xml:space="preserve">(scale bars=50 </w:t>
      </w:r>
      <w:proofErr w:type="spellStart"/>
      <w:r w:rsidR="002C491A">
        <w:rPr>
          <w:bCs/>
          <w:sz w:val="20"/>
          <w:szCs w:val="20"/>
          <w:lang w:val="en-GB"/>
        </w:rPr>
        <w:t>μm</w:t>
      </w:r>
      <w:proofErr w:type="spellEnd"/>
      <w:r w:rsidR="002C491A">
        <w:rPr>
          <w:bCs/>
          <w:sz w:val="20"/>
          <w:szCs w:val="20"/>
          <w:lang w:val="en-GB"/>
        </w:rPr>
        <w:t>; n=3).</w:t>
      </w:r>
    </w:p>
    <w:sectPr w:rsidR="00732E22" w:rsidRPr="00BE7EAF" w:rsidSect="002C0270">
      <w:footerReference w:type="even" r:id="rId10"/>
      <w:footerReference w:type="default" r:id="rId11"/>
      <w:pgSz w:w="11906" w:h="16838"/>
      <w:pgMar w:top="1417" w:right="1701" w:bottom="179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31E10" w14:textId="77777777" w:rsidR="00366646" w:rsidRDefault="00366646">
      <w:r>
        <w:separator/>
      </w:r>
    </w:p>
  </w:endnote>
  <w:endnote w:type="continuationSeparator" w:id="0">
    <w:p w14:paraId="4F8A00BF" w14:textId="77777777" w:rsidR="00366646" w:rsidRDefault="00366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2028206368"/>
      <w:docPartObj>
        <w:docPartGallery w:val="Page Numbers (Bottom of Page)"/>
        <w:docPartUnique/>
      </w:docPartObj>
    </w:sdtPr>
    <w:sdtContent>
      <w:p w14:paraId="6ACD57E8" w14:textId="77777777" w:rsidR="00732E22" w:rsidRDefault="00BE674A" w:rsidP="00C95AB2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2B24D59" w14:textId="77777777" w:rsidR="00732E22" w:rsidRDefault="00732E22" w:rsidP="00C72F1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828207695"/>
      <w:docPartObj>
        <w:docPartGallery w:val="Page Numbers (Bottom of Page)"/>
        <w:docPartUnique/>
      </w:docPartObj>
    </w:sdtPr>
    <w:sdtContent>
      <w:p w14:paraId="6F56D790" w14:textId="77777777" w:rsidR="00732E22" w:rsidRDefault="00BE674A" w:rsidP="003B0392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2C491A">
          <w:rPr>
            <w:rStyle w:val="Nmerodepgina"/>
            <w:noProof/>
          </w:rPr>
          <w:t>4</w:t>
        </w:r>
        <w:r>
          <w:rPr>
            <w:rStyle w:val="Nmerodepgin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B246F" w14:textId="77777777" w:rsidR="00366646" w:rsidRDefault="00366646">
      <w:r>
        <w:separator/>
      </w:r>
    </w:p>
  </w:footnote>
  <w:footnote w:type="continuationSeparator" w:id="0">
    <w:p w14:paraId="3C8E81AE" w14:textId="77777777" w:rsidR="00366646" w:rsidRDefault="00366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5CD"/>
    <w:rsid w:val="0004042D"/>
    <w:rsid w:val="00104A2C"/>
    <w:rsid w:val="001100E8"/>
    <w:rsid w:val="001331A4"/>
    <w:rsid w:val="00235ADF"/>
    <w:rsid w:val="002368D3"/>
    <w:rsid w:val="0026505F"/>
    <w:rsid w:val="002C0270"/>
    <w:rsid w:val="002C491A"/>
    <w:rsid w:val="00366646"/>
    <w:rsid w:val="00410035"/>
    <w:rsid w:val="00465D8F"/>
    <w:rsid w:val="005029EB"/>
    <w:rsid w:val="00555059"/>
    <w:rsid w:val="00596C13"/>
    <w:rsid w:val="00614DDA"/>
    <w:rsid w:val="00650FC2"/>
    <w:rsid w:val="00720F4F"/>
    <w:rsid w:val="00732E22"/>
    <w:rsid w:val="0074309D"/>
    <w:rsid w:val="0086455E"/>
    <w:rsid w:val="008D0DB1"/>
    <w:rsid w:val="008F0E71"/>
    <w:rsid w:val="0096330D"/>
    <w:rsid w:val="00963DF3"/>
    <w:rsid w:val="009E1757"/>
    <w:rsid w:val="009E35E2"/>
    <w:rsid w:val="00A13137"/>
    <w:rsid w:val="00A135CD"/>
    <w:rsid w:val="00A63BFF"/>
    <w:rsid w:val="00A954EF"/>
    <w:rsid w:val="00B357BC"/>
    <w:rsid w:val="00BE674A"/>
    <w:rsid w:val="00BE7BE5"/>
    <w:rsid w:val="00BE7EAF"/>
    <w:rsid w:val="00C13989"/>
    <w:rsid w:val="00C46BC2"/>
    <w:rsid w:val="00C65B38"/>
    <w:rsid w:val="00CD4BD0"/>
    <w:rsid w:val="00D61DFE"/>
    <w:rsid w:val="00DA6D4B"/>
    <w:rsid w:val="00DE192F"/>
    <w:rsid w:val="00E4017E"/>
    <w:rsid w:val="00EB3AF5"/>
    <w:rsid w:val="00EB4219"/>
    <w:rsid w:val="00EF4A7F"/>
    <w:rsid w:val="00FB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102A6"/>
  <w15:chartTrackingRefBased/>
  <w15:docId w15:val="{86D3D932-1BA7-4ED9-B949-F4A5CF66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BE7EA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7EAF"/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BE7EAF"/>
  </w:style>
  <w:style w:type="character" w:styleId="Nmerodelnea">
    <w:name w:val="line number"/>
    <w:basedOn w:val="Fuentedeprrafopredeter"/>
    <w:uiPriority w:val="99"/>
    <w:semiHidden/>
    <w:unhideWhenUsed/>
    <w:rsid w:val="00BE7EAF"/>
  </w:style>
  <w:style w:type="table" w:styleId="Tabladelista3-nfasis3">
    <w:name w:val="List Table 3 Accent 3"/>
    <w:basedOn w:val="Tablanormal"/>
    <w:uiPriority w:val="48"/>
    <w:rsid w:val="00BE7EAF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adelista2-nfasis3">
    <w:name w:val="List Table 2 Accent 3"/>
    <w:basedOn w:val="Tablanormal"/>
    <w:uiPriority w:val="47"/>
    <w:rsid w:val="00BE7EAF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41003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FA8F3-0BE5-4843-BEC0-F1908DBFD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712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Eduardo Muñoz</cp:lastModifiedBy>
  <cp:revision>3</cp:revision>
  <cp:lastPrinted>2025-03-27T09:05:00Z</cp:lastPrinted>
  <dcterms:created xsi:type="dcterms:W3CDTF">2025-03-27T09:05:00Z</dcterms:created>
  <dcterms:modified xsi:type="dcterms:W3CDTF">2025-03-27T09:05:00Z</dcterms:modified>
</cp:coreProperties>
</file>