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5EF9F3" w14:textId="77777777" w:rsidR="00C42A03" w:rsidRDefault="00C42A03" w:rsidP="00C42A03">
      <w:pPr>
        <w:jc w:val="center"/>
      </w:pPr>
      <w:r>
        <w:t>Future flood risk exacerbat</w:t>
      </w:r>
      <w:bookmarkStart w:id="0" w:name="_GoBack"/>
      <w:bookmarkEnd w:id="0"/>
      <w:r>
        <w:t>ed by the dynamic impacts of sea level rise</w:t>
      </w:r>
    </w:p>
    <w:p w14:paraId="3CA7B3A6" w14:textId="77777777" w:rsidR="00C42A03" w:rsidRDefault="00C42A03" w:rsidP="00C42A03">
      <w:pPr>
        <w:jc w:val="center"/>
        <w:rPr>
          <w:sz w:val="20"/>
          <w:szCs w:val="20"/>
          <w:vertAlign w:val="superscript"/>
        </w:rPr>
      </w:pPr>
      <w:bookmarkStart w:id="1" w:name="_Hlk37148515"/>
      <w:r w:rsidRPr="00D21BE6">
        <w:rPr>
          <w:sz w:val="20"/>
          <w:szCs w:val="20"/>
        </w:rPr>
        <w:t>Matthew V. Bilskie</w:t>
      </w:r>
      <w:r w:rsidRPr="00D21BE6"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>, Diana Del Angel</w:t>
      </w:r>
      <w:r>
        <w:rPr>
          <w:sz w:val="20"/>
          <w:szCs w:val="20"/>
          <w:vertAlign w:val="superscript"/>
        </w:rPr>
        <w:t>2</w:t>
      </w:r>
      <w:r>
        <w:rPr>
          <w:sz w:val="20"/>
          <w:szCs w:val="20"/>
        </w:rPr>
        <w:t>, David Yoskowitz</w:t>
      </w:r>
      <w:r>
        <w:rPr>
          <w:sz w:val="20"/>
          <w:szCs w:val="20"/>
          <w:vertAlign w:val="superscript"/>
        </w:rPr>
        <w:t>2</w:t>
      </w:r>
      <w:r w:rsidRPr="00E93C98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&amp; Scott </w:t>
      </w:r>
      <w:r w:rsidRPr="00D21BE6">
        <w:rPr>
          <w:sz w:val="20"/>
          <w:szCs w:val="20"/>
        </w:rPr>
        <w:t>C. Hagen</w:t>
      </w:r>
      <w:r>
        <w:rPr>
          <w:sz w:val="20"/>
          <w:szCs w:val="20"/>
          <w:vertAlign w:val="superscript"/>
        </w:rPr>
        <w:t>3,4</w:t>
      </w:r>
    </w:p>
    <w:p w14:paraId="08A3AF04" w14:textId="77777777" w:rsidR="00C42A03" w:rsidRPr="00EF15FC" w:rsidRDefault="00C42A03" w:rsidP="00C42A03">
      <w:pPr>
        <w:jc w:val="center"/>
        <w:rPr>
          <w:u w:val="single"/>
        </w:rPr>
      </w:pPr>
      <w:r w:rsidRPr="00EF15FC">
        <w:rPr>
          <w:u w:val="single"/>
        </w:rPr>
        <w:t>Supplemental Materials</w:t>
      </w:r>
    </w:p>
    <w:p w14:paraId="0A7DD96A" w14:textId="77777777" w:rsidR="00C42A03" w:rsidRDefault="00C42A03" w:rsidP="00C42A03">
      <w:pPr>
        <w:keepNext/>
        <w:jc w:val="center"/>
      </w:pPr>
      <w:r>
        <w:rPr>
          <w:noProof/>
          <w:sz w:val="20"/>
          <w:szCs w:val="20"/>
          <w:vertAlign w:val="superscript"/>
        </w:rPr>
        <w:drawing>
          <wp:inline distT="0" distB="0" distL="0" distR="0" wp14:anchorId="5C6E1472" wp14:editId="06134683">
            <wp:extent cx="5939790" cy="5939790"/>
            <wp:effectExtent l="0" t="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0A6A63" w14:textId="2D157EB6" w:rsidR="00C42A03" w:rsidRDefault="00C42A03" w:rsidP="00C42A03">
      <w:pPr>
        <w:pStyle w:val="Caption"/>
      </w:pPr>
      <w:r w:rsidRPr="00C42A03">
        <w:rPr>
          <w:b/>
        </w:rPr>
        <w:t xml:space="preserve">Figure </w:t>
      </w:r>
      <w:r w:rsidR="0062288B">
        <w:rPr>
          <w:b/>
        </w:rPr>
        <w:t>S</w:t>
      </w:r>
      <w:r w:rsidRPr="00C42A03">
        <w:rPr>
          <w:b/>
        </w:rPr>
        <w:fldChar w:fldCharType="begin"/>
      </w:r>
      <w:r w:rsidRPr="00C42A03">
        <w:rPr>
          <w:b/>
        </w:rPr>
        <w:instrText xml:space="preserve"> SEQ Figure \* ARABIC </w:instrText>
      </w:r>
      <w:r w:rsidRPr="00C42A03">
        <w:rPr>
          <w:b/>
        </w:rPr>
        <w:fldChar w:fldCharType="separate"/>
      </w:r>
      <w:r w:rsidR="00D92CF1">
        <w:rPr>
          <w:b/>
          <w:noProof/>
        </w:rPr>
        <w:t>1</w:t>
      </w:r>
      <w:r w:rsidRPr="00C42A03">
        <w:rPr>
          <w:b/>
        </w:rPr>
        <w:fldChar w:fldCharType="end"/>
      </w:r>
      <w:r>
        <w:t xml:space="preserve">. </w:t>
      </w:r>
      <w:r>
        <w:t>Total number of substantially damaged residential buildings for each SLR scenario categorized by increasing damages for buildings in the present 1% annual chance floodplain and new buildings exposed under SLR. Black bars represent building exposed to the present-day 1% AEP flood and gray bars represent new buildings exposed to the 1% AEP under SLR. Substantially damaged buildings are classified as greater than 50% damaged. Damages are summed by county</w:t>
      </w:r>
      <w:r w:rsidR="00D92CF1">
        <w:t>.</w:t>
      </w:r>
    </w:p>
    <w:p w14:paraId="0583E64C" w14:textId="77777777" w:rsidR="00D92CF1" w:rsidRDefault="00D92CF1" w:rsidP="00D92CF1">
      <w:pPr>
        <w:keepNext/>
      </w:pPr>
      <w:r>
        <w:rPr>
          <w:noProof/>
        </w:rPr>
        <w:lastRenderedPageBreak/>
        <w:drawing>
          <wp:inline distT="0" distB="0" distL="0" distR="0" wp14:anchorId="17E23656" wp14:editId="7FD9F15A">
            <wp:extent cx="5932805" cy="593280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593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6CE0B5" w14:textId="4A89D3CB" w:rsidR="00D92CF1" w:rsidRPr="00D92CF1" w:rsidRDefault="00D92CF1" w:rsidP="00D92CF1">
      <w:pPr>
        <w:pStyle w:val="Caption"/>
      </w:pPr>
      <w:r w:rsidRPr="00D92CF1">
        <w:rPr>
          <w:b/>
        </w:rPr>
        <w:t xml:space="preserve">Figure </w:t>
      </w:r>
      <w:r>
        <w:rPr>
          <w:b/>
        </w:rPr>
        <w:t>S</w:t>
      </w:r>
      <w:r w:rsidRPr="00D92CF1">
        <w:rPr>
          <w:b/>
        </w:rPr>
        <w:fldChar w:fldCharType="begin"/>
      </w:r>
      <w:r w:rsidRPr="00D92CF1">
        <w:rPr>
          <w:b/>
        </w:rPr>
        <w:instrText xml:space="preserve"> SEQ Figure \* ARABIC </w:instrText>
      </w:r>
      <w:r w:rsidRPr="00D92CF1">
        <w:rPr>
          <w:b/>
        </w:rPr>
        <w:fldChar w:fldCharType="separate"/>
      </w:r>
      <w:r w:rsidRPr="00D92CF1">
        <w:rPr>
          <w:b/>
          <w:noProof/>
        </w:rPr>
        <w:t>2</w:t>
      </w:r>
      <w:r w:rsidRPr="00D92CF1">
        <w:rPr>
          <w:b/>
        </w:rPr>
        <w:fldChar w:fldCharType="end"/>
      </w:r>
      <w:r>
        <w:rPr>
          <w:b/>
        </w:rPr>
        <w:t xml:space="preserve">. </w:t>
      </w:r>
      <w:r>
        <w:t xml:space="preserve">Total number of substantially damaged residential buildings for each SLR scenario categorized by increasing damages for buildings in the present </w:t>
      </w:r>
      <w:r>
        <w:t>0.2</w:t>
      </w:r>
      <w:r>
        <w:t xml:space="preserve">% annual chance floodplain and new buildings exposed under SLR. Black bars represent building exposed to the present-day </w:t>
      </w:r>
      <w:r>
        <w:t>0.2</w:t>
      </w:r>
      <w:r>
        <w:t xml:space="preserve">% AEP flood and gray bars represent new buildings exposed to the </w:t>
      </w:r>
      <w:r>
        <w:t>0.2</w:t>
      </w:r>
      <w:r>
        <w:t>% AEP under SLR. Substantially damaged buildings are classified as greater than 50% damaged. Damages are summed by county.</w:t>
      </w:r>
    </w:p>
    <w:bookmarkEnd w:id="1"/>
    <w:sectPr w:rsidR="00D92CF1" w:rsidRPr="00D92C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A03"/>
    <w:rsid w:val="0062288B"/>
    <w:rsid w:val="00B77AFD"/>
    <w:rsid w:val="00C42A03"/>
    <w:rsid w:val="00D570D8"/>
    <w:rsid w:val="00D92CF1"/>
    <w:rsid w:val="00EB1BA1"/>
    <w:rsid w:val="00EF1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DD5A2E"/>
  <w15:chartTrackingRefBased/>
  <w15:docId w15:val="{5E2CBF5F-1B2A-4878-BEAB-A4026DABF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42A03"/>
    <w:pPr>
      <w:spacing w:line="360" w:lineRule="auto"/>
      <w:jc w:val="both"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42A03"/>
    <w:rPr>
      <w:color w:val="0563C1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C42A03"/>
    <w:pPr>
      <w:spacing w:after="200" w:line="240" w:lineRule="auto"/>
    </w:pPr>
    <w:rPr>
      <w:iCs/>
      <w:sz w:val="20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42A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2A0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2A03"/>
    <w:rPr>
      <w:rFonts w:ascii="Times New Roman" w:hAnsi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2A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2A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C9BB4BCC619B748AEA290844E544D86" ma:contentTypeVersion="11" ma:contentTypeDescription="Create a new document." ma:contentTypeScope="" ma:versionID="99eca4d5e485b195eea51aab053dc543">
  <xsd:schema xmlns:xsd="http://www.w3.org/2001/XMLSchema" xmlns:xs="http://www.w3.org/2001/XMLSchema" xmlns:p="http://schemas.microsoft.com/office/2006/metadata/properties" xmlns:ns1="http://schemas.microsoft.com/sharepoint/v3" xmlns:ns3="1da47e6b-b8d4-4d7f-adc0-7db8fa4afb31" targetNamespace="http://schemas.microsoft.com/office/2006/metadata/properties" ma:root="true" ma:fieldsID="966d627aab494d33c821f27879a3cd02" ns1:_="" ns3:_="">
    <xsd:import namespace="http://schemas.microsoft.com/sharepoint/v3"/>
    <xsd:import namespace="1da47e6b-b8d4-4d7f-adc0-7db8fa4afb3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7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8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a47e6b-b8d4-4d7f-adc0-7db8fa4afb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612329D-6D26-4B5C-BF4C-0354B9B2F5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da47e6b-b8d4-4d7f-adc0-7db8fa4afb3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8C7938F-BA45-41A2-9C4E-1048AEDCFC9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476D4AB-51C9-4B98-B9B6-AAE363243531}">
  <ds:schemaRefs>
    <ds:schemaRef ds:uri="http://purl.org/dc/dcmitype/"/>
    <ds:schemaRef ds:uri="http://schemas.microsoft.com/sharepoint/v3"/>
    <ds:schemaRef ds:uri="http://schemas.microsoft.com/office/2006/metadata/properties"/>
    <ds:schemaRef ds:uri="http://www.w3.org/XML/1998/namespace"/>
    <ds:schemaRef ds:uri="1da47e6b-b8d4-4d7f-adc0-7db8fa4afb31"/>
    <ds:schemaRef ds:uri="http://purl.org/dc/elements/1.1/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Georgia</Company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Vernon Bilskie</dc:creator>
  <cp:keywords/>
  <dc:description/>
  <cp:lastModifiedBy>Matthew Vernon Bilskie</cp:lastModifiedBy>
  <cp:revision>6</cp:revision>
  <dcterms:created xsi:type="dcterms:W3CDTF">2020-08-20T14:49:00Z</dcterms:created>
  <dcterms:modified xsi:type="dcterms:W3CDTF">2020-08-20T14:59:00Z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0x0101007C9BB4BCC619B748AEA290844E544D86</vt:lpwstr>
  </property>
</Properties>
</file>