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45B7C" w14:textId="77777777" w:rsidR="00D4499D" w:rsidRPr="009A5C22" w:rsidRDefault="00D4499D" w:rsidP="00D4499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4</w:t>
      </w:r>
      <w:r w:rsidRPr="009A5C22">
        <w:rPr>
          <w:rFonts w:ascii="Times New Roman" w:hAnsi="Times New Roman" w:cs="Times New Roman"/>
          <w:sz w:val="24"/>
          <w:szCs w:val="24"/>
          <w:lang w:val="en-US"/>
        </w:rPr>
        <w:t xml:space="preserve">. </w:t>
      </w:r>
      <w:r>
        <w:rPr>
          <w:rFonts w:ascii="Times New Roman" w:hAnsi="Times New Roman" w:cs="Times New Roman"/>
          <w:sz w:val="24"/>
          <w:szCs w:val="24"/>
          <w:lang w:val="en-US"/>
        </w:rPr>
        <w:t>Assignment of risk priority number</w:t>
      </w:r>
      <w:r w:rsidRPr="009A5C22">
        <w:rPr>
          <w:rFonts w:ascii="Times New Roman" w:hAnsi="Times New Roman" w:cs="Times New Roman"/>
          <w:sz w:val="24"/>
          <w:szCs w:val="24"/>
          <w:lang w:val="en-US"/>
        </w:rPr>
        <w:t xml:space="preserve"> for </w:t>
      </w:r>
      <w:r>
        <w:rPr>
          <w:rFonts w:ascii="Times New Roman" w:hAnsi="Times New Roman" w:cs="Times New Roman"/>
          <w:sz w:val="24"/>
          <w:szCs w:val="24"/>
          <w:lang w:val="en-US"/>
        </w:rPr>
        <w:t>CMAs</w:t>
      </w:r>
      <w:r w:rsidRPr="009A5C22">
        <w:rPr>
          <w:rFonts w:ascii="Times New Roman" w:hAnsi="Times New Roman" w:cs="Times New Roman"/>
          <w:sz w:val="24"/>
          <w:szCs w:val="24"/>
          <w:lang w:val="en-US"/>
        </w:rPr>
        <w:t xml:space="preserve"> of OLZ Sublingual film</w:t>
      </w:r>
    </w:p>
    <w:tbl>
      <w:tblPr>
        <w:tblStyle w:val="TableGrid"/>
        <w:tblW w:w="5000" w:type="pct"/>
        <w:tblLook w:val="04A0" w:firstRow="1" w:lastRow="0" w:firstColumn="1" w:lastColumn="0" w:noHBand="0" w:noVBand="1"/>
      </w:tblPr>
      <w:tblGrid>
        <w:gridCol w:w="3422"/>
        <w:gridCol w:w="536"/>
        <w:gridCol w:w="617"/>
        <w:gridCol w:w="7557"/>
        <w:gridCol w:w="597"/>
        <w:gridCol w:w="1219"/>
      </w:tblGrid>
      <w:tr w:rsidR="00D4499D" w:rsidRPr="009A5C22" w14:paraId="019EA661" w14:textId="77777777" w:rsidTr="00EF465D">
        <w:tc>
          <w:tcPr>
            <w:tcW w:w="1227" w:type="pct"/>
            <w:vAlign w:val="center"/>
          </w:tcPr>
          <w:p w14:paraId="62D67F62" w14:textId="77777777" w:rsidR="00D4499D" w:rsidRPr="00EF465D" w:rsidRDefault="00D4499D" w:rsidP="00EF465D">
            <w:pPr>
              <w:spacing w:line="360" w:lineRule="auto"/>
              <w:jc w:val="center"/>
              <w:rPr>
                <w:rFonts w:ascii="Times New Roman" w:hAnsi="Times New Roman" w:cs="Times New Roman"/>
                <w:b/>
                <w:sz w:val="24"/>
                <w:szCs w:val="24"/>
                <w:lang w:val="en-US"/>
              </w:rPr>
            </w:pPr>
            <w:bookmarkStart w:id="0" w:name="_GoBack" w:colFirst="0" w:colLast="5"/>
            <w:r w:rsidRPr="00EF465D">
              <w:rPr>
                <w:rFonts w:ascii="Times New Roman" w:hAnsi="Times New Roman" w:cs="Times New Roman"/>
                <w:b/>
                <w:sz w:val="24"/>
                <w:szCs w:val="24"/>
                <w:lang w:val="en-US"/>
              </w:rPr>
              <w:t>CMA’s</w:t>
            </w:r>
          </w:p>
        </w:tc>
        <w:tc>
          <w:tcPr>
            <w:tcW w:w="192" w:type="pct"/>
            <w:vAlign w:val="center"/>
          </w:tcPr>
          <w:p w14:paraId="59E1BC8D" w14:textId="77777777" w:rsidR="00D4499D" w:rsidRPr="00EF465D" w:rsidRDefault="00D4499D" w:rsidP="00EF465D">
            <w:pPr>
              <w:spacing w:line="360" w:lineRule="auto"/>
              <w:jc w:val="center"/>
              <w:rPr>
                <w:rFonts w:ascii="Times New Roman" w:hAnsi="Times New Roman" w:cs="Times New Roman"/>
                <w:b/>
                <w:sz w:val="24"/>
                <w:szCs w:val="24"/>
                <w:lang w:val="en-US"/>
              </w:rPr>
            </w:pPr>
            <w:r w:rsidRPr="00EF465D">
              <w:rPr>
                <w:rFonts w:ascii="Times New Roman" w:hAnsi="Times New Roman" w:cs="Times New Roman"/>
                <w:b/>
                <w:sz w:val="24"/>
                <w:szCs w:val="24"/>
                <w:lang w:val="en-US"/>
              </w:rPr>
              <w:t>S</w:t>
            </w:r>
          </w:p>
        </w:tc>
        <w:tc>
          <w:tcPr>
            <w:tcW w:w="221" w:type="pct"/>
            <w:vAlign w:val="center"/>
          </w:tcPr>
          <w:p w14:paraId="440B40EB" w14:textId="77777777" w:rsidR="00D4499D" w:rsidRPr="00EF465D" w:rsidRDefault="00D4499D" w:rsidP="00EF465D">
            <w:pPr>
              <w:spacing w:line="360" w:lineRule="auto"/>
              <w:jc w:val="center"/>
              <w:rPr>
                <w:rFonts w:ascii="Times New Roman" w:hAnsi="Times New Roman" w:cs="Times New Roman"/>
                <w:b/>
                <w:sz w:val="24"/>
                <w:szCs w:val="24"/>
                <w:lang w:val="en-US"/>
              </w:rPr>
            </w:pPr>
            <w:r w:rsidRPr="00EF465D">
              <w:rPr>
                <w:rFonts w:ascii="Times New Roman" w:hAnsi="Times New Roman" w:cs="Times New Roman"/>
                <w:b/>
                <w:sz w:val="24"/>
                <w:szCs w:val="24"/>
                <w:lang w:val="en-US"/>
              </w:rPr>
              <w:t>O</w:t>
            </w:r>
          </w:p>
        </w:tc>
        <w:tc>
          <w:tcPr>
            <w:tcW w:w="2709" w:type="pct"/>
            <w:vAlign w:val="center"/>
          </w:tcPr>
          <w:p w14:paraId="7EC64D16" w14:textId="77777777" w:rsidR="00D4499D" w:rsidRPr="00EF465D" w:rsidRDefault="00D4499D" w:rsidP="00EF465D">
            <w:pPr>
              <w:spacing w:line="360" w:lineRule="auto"/>
              <w:jc w:val="center"/>
              <w:rPr>
                <w:rFonts w:ascii="Times New Roman" w:hAnsi="Times New Roman" w:cs="Times New Roman"/>
                <w:b/>
                <w:sz w:val="24"/>
                <w:szCs w:val="24"/>
                <w:lang w:val="en-US"/>
              </w:rPr>
            </w:pPr>
            <w:r w:rsidRPr="00EF465D">
              <w:rPr>
                <w:rFonts w:ascii="Times New Roman" w:hAnsi="Times New Roman" w:cs="Times New Roman"/>
                <w:b/>
                <w:sz w:val="24"/>
                <w:szCs w:val="24"/>
                <w:lang w:val="en-US"/>
              </w:rPr>
              <w:t>Major critical factors and control strategy</w:t>
            </w:r>
          </w:p>
        </w:tc>
        <w:tc>
          <w:tcPr>
            <w:tcW w:w="214" w:type="pct"/>
            <w:vAlign w:val="center"/>
          </w:tcPr>
          <w:p w14:paraId="18883D68" w14:textId="77777777" w:rsidR="00D4499D" w:rsidRPr="00EF465D" w:rsidRDefault="00D4499D" w:rsidP="00EF465D">
            <w:pPr>
              <w:spacing w:line="360" w:lineRule="auto"/>
              <w:jc w:val="center"/>
              <w:rPr>
                <w:rFonts w:ascii="Times New Roman" w:hAnsi="Times New Roman" w:cs="Times New Roman"/>
                <w:b/>
                <w:sz w:val="24"/>
                <w:szCs w:val="24"/>
                <w:lang w:val="en-US"/>
              </w:rPr>
            </w:pPr>
            <w:r w:rsidRPr="00EF465D">
              <w:rPr>
                <w:rFonts w:ascii="Times New Roman" w:hAnsi="Times New Roman" w:cs="Times New Roman"/>
                <w:b/>
                <w:sz w:val="24"/>
                <w:szCs w:val="24"/>
                <w:lang w:val="en-US"/>
              </w:rPr>
              <w:t>D</w:t>
            </w:r>
          </w:p>
        </w:tc>
        <w:tc>
          <w:tcPr>
            <w:tcW w:w="437" w:type="pct"/>
            <w:vAlign w:val="center"/>
          </w:tcPr>
          <w:p w14:paraId="3DA86E5C" w14:textId="77777777" w:rsidR="00D4499D" w:rsidRPr="00EF465D" w:rsidRDefault="00D4499D" w:rsidP="00EF465D">
            <w:pPr>
              <w:spacing w:line="360" w:lineRule="auto"/>
              <w:jc w:val="center"/>
              <w:rPr>
                <w:rFonts w:ascii="Times New Roman" w:hAnsi="Times New Roman" w:cs="Times New Roman"/>
                <w:b/>
                <w:sz w:val="24"/>
                <w:szCs w:val="24"/>
                <w:lang w:val="en-US"/>
              </w:rPr>
            </w:pPr>
            <w:r w:rsidRPr="00EF465D">
              <w:rPr>
                <w:rFonts w:ascii="Times New Roman" w:hAnsi="Times New Roman" w:cs="Times New Roman"/>
                <w:b/>
                <w:sz w:val="24"/>
                <w:szCs w:val="24"/>
                <w:lang w:val="en-US"/>
              </w:rPr>
              <w:t>RPN</w:t>
            </w:r>
          </w:p>
        </w:tc>
      </w:tr>
      <w:bookmarkEnd w:id="0"/>
      <w:tr w:rsidR="00D4499D" w:rsidRPr="009A5C22" w14:paraId="7DDCC3CA" w14:textId="77777777" w:rsidTr="00EF465D">
        <w:tc>
          <w:tcPr>
            <w:tcW w:w="1227" w:type="pct"/>
            <w:vAlign w:val="center"/>
          </w:tcPr>
          <w:p w14:paraId="3E617A61"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API characteristics on the physical attributes i.e., the size, shape and thickness of the film</w:t>
            </w:r>
          </w:p>
        </w:tc>
        <w:tc>
          <w:tcPr>
            <w:tcW w:w="192" w:type="pct"/>
            <w:vAlign w:val="center"/>
          </w:tcPr>
          <w:p w14:paraId="3CA0BC59"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21" w:type="pct"/>
            <w:vAlign w:val="center"/>
          </w:tcPr>
          <w:p w14:paraId="7D6670DA"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09" w:type="pct"/>
            <w:vAlign w:val="center"/>
          </w:tcPr>
          <w:p w14:paraId="5E04692F"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Maximum area of the film should be available for drug absorption. Uniformity in size and shape of the sublingual film is essential to ensure consistent dosing. Mechanical properties of the film, such as flexibility and brittleness, can affect the handling and administration of the film. A brittle film may be more prone to breakage during handling, potentially affecting API release.</w:t>
            </w:r>
          </w:p>
        </w:tc>
        <w:tc>
          <w:tcPr>
            <w:tcW w:w="214" w:type="pct"/>
            <w:vAlign w:val="center"/>
          </w:tcPr>
          <w:p w14:paraId="6A441201"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507399B6"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45</w:t>
            </w:r>
          </w:p>
        </w:tc>
      </w:tr>
      <w:tr w:rsidR="00D4499D" w:rsidRPr="009A5C22" w14:paraId="0E825F48" w14:textId="77777777" w:rsidTr="00EF465D">
        <w:tc>
          <w:tcPr>
            <w:tcW w:w="1227" w:type="pct"/>
            <w:vAlign w:val="center"/>
          </w:tcPr>
          <w:p w14:paraId="19501312"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API characteristics on In-vitro drug release</w:t>
            </w:r>
          </w:p>
        </w:tc>
        <w:tc>
          <w:tcPr>
            <w:tcW w:w="192" w:type="pct"/>
            <w:vAlign w:val="center"/>
          </w:tcPr>
          <w:p w14:paraId="2FF86897"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21" w:type="pct"/>
            <w:vAlign w:val="center"/>
          </w:tcPr>
          <w:p w14:paraId="67D13488"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709" w:type="pct"/>
            <w:vAlign w:val="center"/>
          </w:tcPr>
          <w:p w14:paraId="5FD930C7"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particle size, zeta potential, solubility of the API in the solvent is essential in formulating sublingual film.</w:t>
            </w:r>
          </w:p>
        </w:tc>
        <w:tc>
          <w:tcPr>
            <w:tcW w:w="214" w:type="pct"/>
            <w:vAlign w:val="center"/>
          </w:tcPr>
          <w:p w14:paraId="2A31274C"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3ABD62C1"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75</w:t>
            </w:r>
          </w:p>
        </w:tc>
      </w:tr>
      <w:tr w:rsidR="00D4499D" w:rsidRPr="009A5C22" w14:paraId="33FD9451" w14:textId="77777777" w:rsidTr="00EF465D">
        <w:tc>
          <w:tcPr>
            <w:tcW w:w="1227" w:type="pct"/>
            <w:vAlign w:val="center"/>
          </w:tcPr>
          <w:p w14:paraId="3A8E067A"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polymer on content uniformity</w:t>
            </w:r>
          </w:p>
        </w:tc>
        <w:tc>
          <w:tcPr>
            <w:tcW w:w="192" w:type="pct"/>
            <w:vAlign w:val="center"/>
          </w:tcPr>
          <w:p w14:paraId="759B4E6F"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21" w:type="pct"/>
            <w:vAlign w:val="center"/>
          </w:tcPr>
          <w:p w14:paraId="621CE98A"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09" w:type="pct"/>
            <w:vAlign w:val="center"/>
          </w:tcPr>
          <w:p w14:paraId="0A383EA9"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highest degree of content uniformity can be reached if the shape, size and density of mixed particles are as similar as possible</w:t>
            </w:r>
          </w:p>
        </w:tc>
        <w:tc>
          <w:tcPr>
            <w:tcW w:w="214" w:type="pct"/>
            <w:vAlign w:val="center"/>
          </w:tcPr>
          <w:p w14:paraId="2AC87F9C"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68D44F92"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45</w:t>
            </w:r>
          </w:p>
        </w:tc>
      </w:tr>
      <w:tr w:rsidR="00D4499D" w:rsidRPr="009A5C22" w14:paraId="368C256B" w14:textId="77777777" w:rsidTr="00EF465D">
        <w:tc>
          <w:tcPr>
            <w:tcW w:w="1227" w:type="pct"/>
            <w:vAlign w:val="center"/>
          </w:tcPr>
          <w:p w14:paraId="222FC011"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 xml:space="preserve">Effect of polymer on </w:t>
            </w:r>
            <w:proofErr w:type="spellStart"/>
            <w:r w:rsidRPr="009A5C22">
              <w:rPr>
                <w:rFonts w:ascii="Times New Roman" w:hAnsi="Times New Roman" w:cs="Times New Roman"/>
                <w:sz w:val="24"/>
                <w:szCs w:val="24"/>
                <w:lang w:val="en-US"/>
              </w:rPr>
              <w:t>Invitro</w:t>
            </w:r>
            <w:proofErr w:type="spellEnd"/>
            <w:r w:rsidRPr="009A5C22">
              <w:rPr>
                <w:rFonts w:ascii="Times New Roman" w:hAnsi="Times New Roman" w:cs="Times New Roman"/>
                <w:sz w:val="24"/>
                <w:szCs w:val="24"/>
                <w:lang w:val="en-US"/>
              </w:rPr>
              <w:t xml:space="preserve"> drug release</w:t>
            </w:r>
          </w:p>
        </w:tc>
        <w:tc>
          <w:tcPr>
            <w:tcW w:w="192" w:type="pct"/>
            <w:vAlign w:val="center"/>
          </w:tcPr>
          <w:p w14:paraId="1CE82172"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21" w:type="pct"/>
            <w:vAlign w:val="center"/>
          </w:tcPr>
          <w:p w14:paraId="1057E104"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709" w:type="pct"/>
            <w:vAlign w:val="center"/>
          </w:tcPr>
          <w:p w14:paraId="16601EB0"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 xml:space="preserve">High affinity of the drug to the polymer may result in delayed release. The thickness obtained after pouring in glass plate may also affect the </w:t>
            </w:r>
            <w:proofErr w:type="spellStart"/>
            <w:r w:rsidRPr="009A5C22">
              <w:rPr>
                <w:rFonts w:ascii="Times New Roman" w:hAnsi="Times New Roman" w:cs="Times New Roman"/>
                <w:sz w:val="24"/>
                <w:szCs w:val="24"/>
                <w:lang w:val="en-US"/>
              </w:rPr>
              <w:t>invitro</w:t>
            </w:r>
            <w:proofErr w:type="spellEnd"/>
            <w:r w:rsidRPr="009A5C22">
              <w:rPr>
                <w:rFonts w:ascii="Times New Roman" w:hAnsi="Times New Roman" w:cs="Times New Roman"/>
                <w:sz w:val="24"/>
                <w:szCs w:val="24"/>
                <w:lang w:val="en-US"/>
              </w:rPr>
              <w:t xml:space="preserve"> drug release. To use specific grade of polymer and concentration, amount of polymer is the only control strategy.</w:t>
            </w:r>
          </w:p>
        </w:tc>
        <w:tc>
          <w:tcPr>
            <w:tcW w:w="214" w:type="pct"/>
            <w:vAlign w:val="center"/>
          </w:tcPr>
          <w:p w14:paraId="0085FD50"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437" w:type="pct"/>
            <w:vAlign w:val="center"/>
          </w:tcPr>
          <w:p w14:paraId="2F53A275"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75</w:t>
            </w:r>
          </w:p>
        </w:tc>
      </w:tr>
      <w:tr w:rsidR="00D4499D" w:rsidRPr="009A5C22" w14:paraId="4FCAE885" w14:textId="77777777" w:rsidTr="00EF465D">
        <w:tc>
          <w:tcPr>
            <w:tcW w:w="1227" w:type="pct"/>
            <w:vAlign w:val="center"/>
          </w:tcPr>
          <w:p w14:paraId="398440B7"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Effect of surfactant on content uniformity</w:t>
            </w:r>
          </w:p>
        </w:tc>
        <w:tc>
          <w:tcPr>
            <w:tcW w:w="192" w:type="pct"/>
            <w:vAlign w:val="center"/>
          </w:tcPr>
          <w:p w14:paraId="21B38F8A"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5</w:t>
            </w:r>
          </w:p>
        </w:tc>
        <w:tc>
          <w:tcPr>
            <w:tcW w:w="221" w:type="pct"/>
            <w:vAlign w:val="center"/>
          </w:tcPr>
          <w:p w14:paraId="0096598F"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3</w:t>
            </w:r>
          </w:p>
        </w:tc>
        <w:tc>
          <w:tcPr>
            <w:tcW w:w="2709" w:type="pct"/>
            <w:vAlign w:val="center"/>
          </w:tcPr>
          <w:p w14:paraId="22F66DCF"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The drug will have ease in spread ability in the sublingual film.</w:t>
            </w:r>
          </w:p>
        </w:tc>
        <w:tc>
          <w:tcPr>
            <w:tcW w:w="214" w:type="pct"/>
            <w:vAlign w:val="center"/>
          </w:tcPr>
          <w:p w14:paraId="62DF7424"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w:t>
            </w:r>
          </w:p>
        </w:tc>
        <w:tc>
          <w:tcPr>
            <w:tcW w:w="437" w:type="pct"/>
            <w:vAlign w:val="center"/>
          </w:tcPr>
          <w:p w14:paraId="31777B88" w14:textId="77777777" w:rsidR="00D4499D" w:rsidRPr="009A5C22" w:rsidRDefault="00D4499D" w:rsidP="00EF465D">
            <w:pPr>
              <w:spacing w:line="360" w:lineRule="auto"/>
              <w:jc w:val="center"/>
              <w:rPr>
                <w:rFonts w:ascii="Times New Roman" w:hAnsi="Times New Roman" w:cs="Times New Roman"/>
                <w:sz w:val="24"/>
                <w:szCs w:val="24"/>
                <w:lang w:val="en-US"/>
              </w:rPr>
            </w:pPr>
            <w:r w:rsidRPr="009A5C22">
              <w:rPr>
                <w:rFonts w:ascii="Times New Roman" w:hAnsi="Times New Roman" w:cs="Times New Roman"/>
                <w:sz w:val="24"/>
                <w:szCs w:val="24"/>
                <w:lang w:val="en-US"/>
              </w:rPr>
              <w:t>15</w:t>
            </w:r>
          </w:p>
        </w:tc>
      </w:tr>
    </w:tbl>
    <w:p w14:paraId="36472789" w14:textId="77777777" w:rsidR="00717AAF" w:rsidRDefault="00717AAF"/>
    <w:sectPr w:rsidR="00717AAF" w:rsidSect="00EF46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39"/>
    <w:rsid w:val="00717AAF"/>
    <w:rsid w:val="009E0639"/>
    <w:rsid w:val="00D4499D"/>
    <w:rsid w:val="00EF4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1B90"/>
  <w15:chartTrackingRefBased/>
  <w15:docId w15:val="{35A566E2-6911-462B-92D1-9564810A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9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499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Company>HP Inc.</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Pai (Dr.)</dc:creator>
  <cp:keywords/>
  <dc:description/>
  <cp:lastModifiedBy>Rohan Pai (Dr.)</cp:lastModifiedBy>
  <cp:revision>3</cp:revision>
  <dcterms:created xsi:type="dcterms:W3CDTF">2024-08-19T04:46:00Z</dcterms:created>
  <dcterms:modified xsi:type="dcterms:W3CDTF">2024-12-14T05:23:00Z</dcterms:modified>
</cp:coreProperties>
</file>