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B5F43B" w14:textId="77777777" w:rsidR="00154DA0" w:rsidRDefault="00154DA0" w:rsidP="00154DA0">
      <w:pPr>
        <w:pStyle w:val="Heading1"/>
        <w:spacing w:before="0" w:after="0"/>
      </w:pPr>
      <w:r>
        <w:t>Supplementary material</w:t>
      </w:r>
    </w:p>
    <w:p w14:paraId="28676D8D" w14:textId="77777777" w:rsidR="00154DA0" w:rsidRDefault="00154DA0" w:rsidP="00154DA0">
      <w:pPr>
        <w:spacing w:line="256" w:lineRule="auto"/>
        <w:rPr>
          <w:sz w:val="24"/>
          <w:szCs w:val="24"/>
        </w:rPr>
      </w:pPr>
      <w:r>
        <w:rPr>
          <w:noProof/>
          <w:sz w:val="24"/>
          <w:szCs w:val="24"/>
        </w:rPr>
        <w:drawing>
          <wp:inline distT="114300" distB="114300" distL="114300" distR="114300" wp14:anchorId="6E707399" wp14:editId="52F0379C">
            <wp:extent cx="5943600" cy="2362200"/>
            <wp:effectExtent l="0" t="0" r="0" b="0"/>
            <wp:docPr id="1" name="image3.png" descr="A screenshot of a graph&#10;&#10;AI-generated content may be incorrect."/>
            <wp:cNvGraphicFramePr/>
            <a:graphic xmlns:a="http://schemas.openxmlformats.org/drawingml/2006/main">
              <a:graphicData uri="http://schemas.openxmlformats.org/drawingml/2006/picture">
                <pic:pic xmlns:pic="http://schemas.openxmlformats.org/drawingml/2006/picture">
                  <pic:nvPicPr>
                    <pic:cNvPr id="1" name="image3.png" descr="A screenshot of a graph&#10;&#10;AI-generated content may be incorrect."/>
                    <pic:cNvPicPr preferRelativeResize="0"/>
                  </pic:nvPicPr>
                  <pic:blipFill>
                    <a:blip r:embed="rId4"/>
                    <a:srcRect/>
                    <a:stretch>
                      <a:fillRect/>
                    </a:stretch>
                  </pic:blipFill>
                  <pic:spPr>
                    <a:xfrm>
                      <a:off x="0" y="0"/>
                      <a:ext cx="5943600" cy="2362200"/>
                    </a:xfrm>
                    <a:prstGeom prst="rect">
                      <a:avLst/>
                    </a:prstGeom>
                    <a:ln/>
                  </pic:spPr>
                </pic:pic>
              </a:graphicData>
            </a:graphic>
          </wp:inline>
        </w:drawing>
      </w:r>
    </w:p>
    <w:p w14:paraId="22E28634" w14:textId="77777777" w:rsidR="00154DA0" w:rsidRDefault="00154DA0" w:rsidP="00154DA0">
      <w:pPr>
        <w:spacing w:line="256" w:lineRule="auto"/>
        <w:rPr>
          <w:sz w:val="24"/>
          <w:szCs w:val="24"/>
        </w:rPr>
      </w:pPr>
      <w:r>
        <w:rPr>
          <w:b/>
          <w:sz w:val="24"/>
          <w:szCs w:val="24"/>
        </w:rPr>
        <w:t>Supplementary Fig 1:</w:t>
      </w:r>
      <w:r>
        <w:rPr>
          <w:sz w:val="24"/>
          <w:szCs w:val="24"/>
        </w:rPr>
        <w:t xml:space="preserve"> </w:t>
      </w:r>
      <w:r>
        <w:rPr>
          <w:b/>
          <w:sz w:val="24"/>
          <w:szCs w:val="24"/>
        </w:rPr>
        <w:t xml:space="preserve">ST18362 single colony phylogeny and global placement of ST18362 in a global serotype 3 phylogeny. </w:t>
      </w:r>
      <w:r>
        <w:rPr>
          <w:sz w:val="24"/>
          <w:szCs w:val="24"/>
        </w:rPr>
        <w:t>A)</w:t>
      </w:r>
      <w:r>
        <w:rPr>
          <w:b/>
          <w:sz w:val="24"/>
          <w:szCs w:val="24"/>
        </w:rPr>
        <w:t xml:space="preserve"> </w:t>
      </w:r>
      <w:r>
        <w:rPr>
          <w:sz w:val="24"/>
          <w:szCs w:val="24"/>
        </w:rPr>
        <w:t xml:space="preserve">Phylogeny of ST18362 overlaid by sampling day and phenotypic antimicrobial resistant profile. B) Phylogeny of circulating serotype 3 lineages from Global Pneumococcal Sequence database overlaid by pneumococcal lineage (GPSC) and </w:t>
      </w:r>
      <w:r>
        <w:rPr>
          <w:i/>
          <w:sz w:val="24"/>
          <w:szCs w:val="24"/>
        </w:rPr>
        <w:t>in silico</w:t>
      </w:r>
      <w:r>
        <w:rPr>
          <w:sz w:val="24"/>
          <w:szCs w:val="24"/>
        </w:rPr>
        <w:t xml:space="preserve"> antimicrobial resistant profile. Highlighting strains defined by multilocus sequence typing scheme (MLST), namely novel ST18362 (persistently carried isolates) and other STs.</w:t>
      </w:r>
    </w:p>
    <w:p w14:paraId="67433368" w14:textId="77777777" w:rsidR="00154DA0" w:rsidRDefault="00154DA0" w:rsidP="00154DA0">
      <w:pPr>
        <w:rPr>
          <w:sz w:val="24"/>
          <w:szCs w:val="24"/>
        </w:rPr>
      </w:pPr>
      <w:r>
        <w:br w:type="page"/>
      </w:r>
    </w:p>
    <w:p w14:paraId="181817AB" w14:textId="77777777" w:rsidR="00154DA0" w:rsidRDefault="00154DA0" w:rsidP="00154DA0">
      <w:pPr>
        <w:widowControl w:val="0"/>
        <w:spacing w:line="240" w:lineRule="auto"/>
        <w:rPr>
          <w:sz w:val="24"/>
          <w:szCs w:val="24"/>
        </w:rPr>
      </w:pPr>
      <w:r>
        <w:rPr>
          <w:noProof/>
          <w:sz w:val="24"/>
          <w:szCs w:val="24"/>
        </w:rPr>
        <w:lastRenderedPageBreak/>
        <w:drawing>
          <wp:inline distT="114300" distB="114300" distL="114300" distR="114300" wp14:anchorId="533B8FE1" wp14:editId="68FD27E4">
            <wp:extent cx="5943600" cy="3962400"/>
            <wp:effectExtent l="0" t="0" r="0" b="0"/>
            <wp:docPr id="4" name="image9.png" descr="A blue and red graph&#10;&#10;AI-generated content may be incorrect."/>
            <wp:cNvGraphicFramePr/>
            <a:graphic xmlns:a="http://schemas.openxmlformats.org/drawingml/2006/main">
              <a:graphicData uri="http://schemas.openxmlformats.org/drawingml/2006/picture">
                <pic:pic xmlns:pic="http://schemas.openxmlformats.org/drawingml/2006/picture">
                  <pic:nvPicPr>
                    <pic:cNvPr id="4" name="image9.png" descr="A blue and red graph&#10;&#10;AI-generated content may be incorrect."/>
                    <pic:cNvPicPr preferRelativeResize="0"/>
                  </pic:nvPicPr>
                  <pic:blipFill>
                    <a:blip r:embed="rId5"/>
                    <a:srcRect/>
                    <a:stretch>
                      <a:fillRect/>
                    </a:stretch>
                  </pic:blipFill>
                  <pic:spPr>
                    <a:xfrm>
                      <a:off x="0" y="0"/>
                      <a:ext cx="5943600" cy="3962400"/>
                    </a:xfrm>
                    <a:prstGeom prst="rect">
                      <a:avLst/>
                    </a:prstGeom>
                    <a:ln/>
                  </pic:spPr>
                </pic:pic>
              </a:graphicData>
            </a:graphic>
          </wp:inline>
        </w:drawing>
      </w:r>
    </w:p>
    <w:p w14:paraId="6F50AA66" w14:textId="77777777" w:rsidR="00154DA0" w:rsidRDefault="00154DA0" w:rsidP="00154DA0">
      <w:pPr>
        <w:widowControl w:val="0"/>
        <w:spacing w:line="240" w:lineRule="auto"/>
        <w:rPr>
          <w:sz w:val="24"/>
          <w:szCs w:val="24"/>
        </w:rPr>
      </w:pPr>
    </w:p>
    <w:p w14:paraId="04A5FC80" w14:textId="77777777" w:rsidR="00154DA0" w:rsidRDefault="00154DA0" w:rsidP="00154DA0">
      <w:pPr>
        <w:spacing w:line="256" w:lineRule="auto"/>
        <w:rPr>
          <w:sz w:val="24"/>
          <w:szCs w:val="24"/>
        </w:rPr>
      </w:pPr>
      <w:r>
        <w:rPr>
          <w:b/>
          <w:sz w:val="24"/>
          <w:szCs w:val="24"/>
        </w:rPr>
        <w:t xml:space="preserve">Supplementary Fig 2: </w:t>
      </w:r>
      <w:r>
        <w:rPr>
          <w:sz w:val="24"/>
          <w:szCs w:val="24"/>
        </w:rPr>
        <w:t>A heatmap of virulence genes of the persistently carried pneumococcal serotype 3 (ST18362) stratified by the day of sample collection.</w:t>
      </w:r>
    </w:p>
    <w:p w14:paraId="6ED46E46" w14:textId="77777777" w:rsidR="00154DA0" w:rsidRDefault="00154DA0" w:rsidP="00154DA0">
      <w:pPr>
        <w:widowControl w:val="0"/>
        <w:spacing w:line="240" w:lineRule="auto"/>
        <w:rPr>
          <w:sz w:val="24"/>
          <w:szCs w:val="24"/>
        </w:rPr>
      </w:pPr>
      <w:r>
        <w:rPr>
          <w:b/>
          <w:i/>
          <w:sz w:val="24"/>
          <w:szCs w:val="24"/>
        </w:rPr>
        <w:t>cbpD</w:t>
      </w:r>
      <w:r>
        <w:rPr>
          <w:sz w:val="24"/>
          <w:szCs w:val="24"/>
        </w:rPr>
        <w:t xml:space="preserve">, choline binding protein D; </w:t>
      </w:r>
      <w:r>
        <w:rPr>
          <w:b/>
          <w:i/>
          <w:sz w:val="24"/>
          <w:szCs w:val="24"/>
        </w:rPr>
        <w:t>cbpG</w:t>
      </w:r>
      <w:r>
        <w:rPr>
          <w:sz w:val="24"/>
          <w:szCs w:val="24"/>
        </w:rPr>
        <w:t xml:space="preserve">, choline binding protein G; </w:t>
      </w:r>
      <w:r>
        <w:rPr>
          <w:b/>
          <w:i/>
          <w:sz w:val="24"/>
          <w:szCs w:val="24"/>
        </w:rPr>
        <w:t>cps4A</w:t>
      </w:r>
      <w:r>
        <w:rPr>
          <w:sz w:val="24"/>
          <w:szCs w:val="24"/>
        </w:rPr>
        <w:t xml:space="preserve">, capsular polysaccharide biosynthesis protein; </w:t>
      </w:r>
      <w:r>
        <w:rPr>
          <w:b/>
          <w:i/>
          <w:sz w:val="24"/>
          <w:szCs w:val="24"/>
        </w:rPr>
        <w:t>cps4B</w:t>
      </w:r>
      <w:r>
        <w:rPr>
          <w:sz w:val="24"/>
          <w:szCs w:val="24"/>
        </w:rPr>
        <w:t xml:space="preserve">, capsular polysaccharide biosynthesis protein; </w:t>
      </w:r>
      <w:r>
        <w:rPr>
          <w:b/>
          <w:i/>
          <w:sz w:val="24"/>
          <w:szCs w:val="24"/>
        </w:rPr>
        <w:t>cps4C</w:t>
      </w:r>
      <w:r>
        <w:rPr>
          <w:i/>
          <w:sz w:val="24"/>
          <w:szCs w:val="24"/>
        </w:rPr>
        <w:t xml:space="preserve">, </w:t>
      </w:r>
      <w:r>
        <w:rPr>
          <w:sz w:val="24"/>
          <w:szCs w:val="24"/>
        </w:rPr>
        <w:t xml:space="preserve">capsular polysaccharide biosynthesis protein; </w:t>
      </w:r>
      <w:r>
        <w:rPr>
          <w:b/>
          <w:i/>
          <w:sz w:val="24"/>
          <w:szCs w:val="24"/>
        </w:rPr>
        <w:t>hysA</w:t>
      </w:r>
      <w:r>
        <w:rPr>
          <w:sz w:val="24"/>
          <w:szCs w:val="24"/>
        </w:rPr>
        <w:t xml:space="preserve">, hyaluronate lyase; </w:t>
      </w:r>
      <w:r>
        <w:rPr>
          <w:b/>
          <w:i/>
          <w:sz w:val="24"/>
          <w:szCs w:val="24"/>
        </w:rPr>
        <w:t>lytA</w:t>
      </w:r>
      <w:r>
        <w:rPr>
          <w:sz w:val="24"/>
          <w:szCs w:val="24"/>
        </w:rPr>
        <w:t xml:space="preserve">, autolysin; </w:t>
      </w:r>
      <w:r>
        <w:rPr>
          <w:b/>
          <w:i/>
          <w:sz w:val="24"/>
          <w:szCs w:val="24"/>
        </w:rPr>
        <w:t>lytB</w:t>
      </w:r>
      <w:r>
        <w:rPr>
          <w:i/>
          <w:sz w:val="24"/>
          <w:szCs w:val="24"/>
        </w:rPr>
        <w:t xml:space="preserve">, </w:t>
      </w:r>
      <w:r>
        <w:rPr>
          <w:sz w:val="24"/>
          <w:szCs w:val="24"/>
        </w:rPr>
        <w:t xml:space="preserve">endo-beta-N-acetylglucosaminidase; </w:t>
      </w:r>
      <w:r>
        <w:rPr>
          <w:b/>
          <w:i/>
          <w:sz w:val="24"/>
          <w:szCs w:val="24"/>
        </w:rPr>
        <w:t>lytC</w:t>
      </w:r>
      <w:r>
        <w:rPr>
          <w:sz w:val="24"/>
          <w:szCs w:val="24"/>
        </w:rPr>
        <w:t xml:space="preserve">, 14-beta-N-acetylmuramidase; </w:t>
      </w:r>
      <w:r>
        <w:rPr>
          <w:b/>
          <w:i/>
          <w:sz w:val="24"/>
          <w:szCs w:val="24"/>
        </w:rPr>
        <w:t>nanA</w:t>
      </w:r>
      <w:r>
        <w:rPr>
          <w:sz w:val="24"/>
          <w:szCs w:val="24"/>
        </w:rPr>
        <w:t xml:space="preserve">, neuraminidase A; </w:t>
      </w:r>
      <w:r>
        <w:rPr>
          <w:b/>
          <w:i/>
          <w:sz w:val="24"/>
          <w:szCs w:val="24"/>
        </w:rPr>
        <w:t>nanB</w:t>
      </w:r>
      <w:r>
        <w:rPr>
          <w:sz w:val="24"/>
          <w:szCs w:val="24"/>
        </w:rPr>
        <w:t xml:space="preserve"> neuraminidase B; </w:t>
      </w:r>
      <w:r>
        <w:rPr>
          <w:b/>
          <w:i/>
          <w:sz w:val="24"/>
          <w:szCs w:val="24"/>
        </w:rPr>
        <w:t>pavA</w:t>
      </w:r>
      <w:r>
        <w:rPr>
          <w:sz w:val="24"/>
          <w:szCs w:val="24"/>
        </w:rPr>
        <w:t xml:space="preserve">, Fibronectin-binding protein-like protein A; </w:t>
      </w:r>
      <w:r>
        <w:rPr>
          <w:b/>
          <w:i/>
          <w:sz w:val="24"/>
          <w:szCs w:val="24"/>
        </w:rPr>
        <w:t>pavB/pfbB</w:t>
      </w:r>
      <w:r>
        <w:rPr>
          <w:sz w:val="24"/>
          <w:szCs w:val="24"/>
        </w:rPr>
        <w:t xml:space="preserve">, cell wall surface anchor family protein Plasminogen- and Fibronectin-binding protein B; </w:t>
      </w:r>
      <w:r>
        <w:rPr>
          <w:b/>
          <w:i/>
          <w:sz w:val="24"/>
          <w:szCs w:val="24"/>
        </w:rPr>
        <w:t>pce</w:t>
      </w:r>
      <w:r>
        <w:rPr>
          <w:sz w:val="24"/>
          <w:szCs w:val="24"/>
        </w:rPr>
        <w:t xml:space="preserve">, choline binding protein E; </w:t>
      </w:r>
      <w:r>
        <w:rPr>
          <w:b/>
          <w:i/>
          <w:sz w:val="24"/>
          <w:szCs w:val="24"/>
        </w:rPr>
        <w:t>pfbA</w:t>
      </w:r>
      <w:r>
        <w:rPr>
          <w:sz w:val="24"/>
          <w:szCs w:val="24"/>
        </w:rPr>
        <w:t xml:space="preserve">,cell wall surface anchor family protein Plasminogen- and Fibronectin-binding protein A; </w:t>
      </w:r>
      <w:r>
        <w:rPr>
          <w:b/>
          <w:i/>
          <w:sz w:val="24"/>
          <w:szCs w:val="24"/>
        </w:rPr>
        <w:t>pitA</w:t>
      </w:r>
      <w:r>
        <w:rPr>
          <w:sz w:val="24"/>
          <w:szCs w:val="24"/>
        </w:rPr>
        <w:t xml:space="preserve">, minor pilin; </w:t>
      </w:r>
      <w:r>
        <w:rPr>
          <w:b/>
          <w:i/>
          <w:sz w:val="24"/>
          <w:szCs w:val="24"/>
        </w:rPr>
        <w:t>pitB</w:t>
      </w:r>
      <w:r>
        <w:rPr>
          <w:sz w:val="24"/>
          <w:szCs w:val="24"/>
        </w:rPr>
        <w:t xml:space="preserve">, major pilin; </w:t>
      </w:r>
      <w:r>
        <w:rPr>
          <w:b/>
          <w:i/>
          <w:sz w:val="24"/>
          <w:szCs w:val="24"/>
        </w:rPr>
        <w:t>ply</w:t>
      </w:r>
      <w:r>
        <w:rPr>
          <w:sz w:val="24"/>
          <w:szCs w:val="24"/>
        </w:rPr>
        <w:t xml:space="preserve">, pneumolysin; </w:t>
      </w:r>
      <w:r>
        <w:rPr>
          <w:b/>
          <w:i/>
          <w:sz w:val="24"/>
          <w:szCs w:val="24"/>
        </w:rPr>
        <w:t>psaA</w:t>
      </w:r>
      <w:r>
        <w:rPr>
          <w:sz w:val="24"/>
          <w:szCs w:val="24"/>
        </w:rPr>
        <w:t xml:space="preserve">, manganese ABC transporter manganese-binding adhesion liprotein; </w:t>
      </w:r>
      <w:r>
        <w:rPr>
          <w:b/>
          <w:i/>
          <w:sz w:val="24"/>
          <w:szCs w:val="24"/>
        </w:rPr>
        <w:t>pspA</w:t>
      </w:r>
      <w:r>
        <w:rPr>
          <w:sz w:val="24"/>
          <w:szCs w:val="24"/>
        </w:rPr>
        <w:t xml:space="preserve">, pneumococcal surface protein A; </w:t>
      </w:r>
      <w:r>
        <w:rPr>
          <w:b/>
          <w:i/>
          <w:sz w:val="24"/>
          <w:szCs w:val="24"/>
        </w:rPr>
        <w:t>pspC/cbpA</w:t>
      </w:r>
      <w:r>
        <w:rPr>
          <w:sz w:val="24"/>
          <w:szCs w:val="24"/>
        </w:rPr>
        <w:t>, Choline binding protein A;</w:t>
      </w:r>
      <w:r>
        <w:rPr>
          <w:b/>
          <w:i/>
          <w:sz w:val="24"/>
          <w:szCs w:val="24"/>
        </w:rPr>
        <w:t xml:space="preserve"> rrgA</w:t>
      </w:r>
      <w:r>
        <w:rPr>
          <w:sz w:val="24"/>
          <w:szCs w:val="24"/>
        </w:rPr>
        <w:t xml:space="preserve">, cell wall surface anchor family protein pilus tip adhesin; </w:t>
      </w:r>
      <w:r>
        <w:rPr>
          <w:b/>
          <w:i/>
          <w:sz w:val="24"/>
          <w:szCs w:val="24"/>
        </w:rPr>
        <w:t>rrgB</w:t>
      </w:r>
      <w:r>
        <w:rPr>
          <w:sz w:val="24"/>
          <w:szCs w:val="24"/>
        </w:rPr>
        <w:t xml:space="preserve">, cell wall surface anchor family protein major pilin; </w:t>
      </w:r>
      <w:r>
        <w:rPr>
          <w:b/>
          <w:i/>
          <w:sz w:val="24"/>
          <w:szCs w:val="24"/>
        </w:rPr>
        <w:t>rrgC</w:t>
      </w:r>
      <w:r>
        <w:rPr>
          <w:sz w:val="24"/>
          <w:szCs w:val="24"/>
        </w:rPr>
        <w:t xml:space="preserve">, cell wall surface anchor family protein minor pili; </w:t>
      </w:r>
      <w:r>
        <w:rPr>
          <w:b/>
          <w:i/>
          <w:sz w:val="24"/>
          <w:szCs w:val="24"/>
        </w:rPr>
        <w:t>sipA</w:t>
      </w:r>
      <w:r>
        <w:rPr>
          <w:sz w:val="24"/>
          <w:szCs w:val="24"/>
        </w:rPr>
        <w:t xml:space="preserve">, signal peptidase I;  </w:t>
      </w:r>
      <w:r>
        <w:rPr>
          <w:b/>
          <w:i/>
          <w:sz w:val="24"/>
          <w:szCs w:val="24"/>
        </w:rPr>
        <w:t>srtC-1/srtB</w:t>
      </w:r>
      <w:r>
        <w:rPr>
          <w:sz w:val="24"/>
          <w:szCs w:val="24"/>
        </w:rPr>
        <w:t xml:space="preserve">, sortase; </w:t>
      </w:r>
      <w:r>
        <w:rPr>
          <w:b/>
          <w:i/>
          <w:sz w:val="24"/>
          <w:szCs w:val="24"/>
        </w:rPr>
        <w:t>srtC-2/srtC</w:t>
      </w:r>
      <w:r>
        <w:rPr>
          <w:sz w:val="24"/>
          <w:szCs w:val="24"/>
        </w:rPr>
        <w:t>, sortase;</w:t>
      </w:r>
      <w:r>
        <w:rPr>
          <w:b/>
          <w:i/>
          <w:sz w:val="24"/>
          <w:szCs w:val="24"/>
        </w:rPr>
        <w:t xml:space="preserve"> srtC-3/srtD</w:t>
      </w:r>
      <w:r>
        <w:rPr>
          <w:sz w:val="24"/>
          <w:szCs w:val="24"/>
        </w:rPr>
        <w:t xml:space="preserve">, sortase; </w:t>
      </w:r>
      <w:r>
        <w:rPr>
          <w:b/>
          <w:i/>
          <w:sz w:val="24"/>
          <w:szCs w:val="24"/>
        </w:rPr>
        <w:t>srtG1</w:t>
      </w:r>
      <w:r>
        <w:rPr>
          <w:sz w:val="24"/>
          <w:szCs w:val="24"/>
        </w:rPr>
        <w:t xml:space="preserve">, sortase SrtB family; </w:t>
      </w:r>
      <w:r>
        <w:rPr>
          <w:b/>
          <w:i/>
          <w:sz w:val="24"/>
          <w:szCs w:val="24"/>
        </w:rPr>
        <w:t>srtG2</w:t>
      </w:r>
      <w:r>
        <w:rPr>
          <w:sz w:val="24"/>
          <w:szCs w:val="24"/>
        </w:rPr>
        <w:t xml:space="preserve">, surface protein cell wall anchor sortase_B family; </w:t>
      </w:r>
      <w:r>
        <w:rPr>
          <w:b/>
          <w:i/>
          <w:sz w:val="24"/>
          <w:szCs w:val="24"/>
        </w:rPr>
        <w:t>zmpC</w:t>
      </w:r>
      <w:r>
        <w:rPr>
          <w:sz w:val="24"/>
          <w:szCs w:val="24"/>
        </w:rPr>
        <w:t>, immunoglobulin A1 protease.</w:t>
      </w:r>
    </w:p>
    <w:p w14:paraId="669760F9" w14:textId="77777777" w:rsidR="00154DA0" w:rsidRDefault="00154DA0" w:rsidP="00154DA0">
      <w:pPr>
        <w:spacing w:line="256" w:lineRule="auto"/>
        <w:rPr>
          <w:sz w:val="24"/>
          <w:szCs w:val="24"/>
        </w:rPr>
      </w:pPr>
      <w:r>
        <w:br w:type="page"/>
      </w:r>
    </w:p>
    <w:p w14:paraId="58701FE0" w14:textId="77777777" w:rsidR="00154DA0" w:rsidRDefault="00154DA0" w:rsidP="00154DA0">
      <w:pPr>
        <w:spacing w:line="256" w:lineRule="auto"/>
        <w:rPr>
          <w:b/>
          <w:sz w:val="24"/>
          <w:szCs w:val="24"/>
        </w:rPr>
      </w:pPr>
      <w:r>
        <w:rPr>
          <w:b/>
          <w:noProof/>
          <w:sz w:val="24"/>
          <w:szCs w:val="24"/>
        </w:rPr>
        <w:lastRenderedPageBreak/>
        <w:drawing>
          <wp:inline distT="114300" distB="114300" distL="114300" distR="114300" wp14:anchorId="67B07606" wp14:editId="77ACA343">
            <wp:extent cx="5943600" cy="2047875"/>
            <wp:effectExtent l="0" t="0" r="0" b="0"/>
            <wp:docPr id="3"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6"/>
                    <a:srcRect b="51136"/>
                    <a:stretch>
                      <a:fillRect/>
                    </a:stretch>
                  </pic:blipFill>
                  <pic:spPr>
                    <a:xfrm>
                      <a:off x="0" y="0"/>
                      <a:ext cx="5943600" cy="2047875"/>
                    </a:xfrm>
                    <a:prstGeom prst="rect">
                      <a:avLst/>
                    </a:prstGeom>
                    <a:ln/>
                  </pic:spPr>
                </pic:pic>
              </a:graphicData>
            </a:graphic>
          </wp:inline>
        </w:drawing>
      </w:r>
    </w:p>
    <w:p w14:paraId="6083B209" w14:textId="77777777" w:rsidR="00154DA0" w:rsidRDefault="00154DA0" w:rsidP="00154DA0">
      <w:pPr>
        <w:spacing w:line="256" w:lineRule="auto"/>
        <w:rPr>
          <w:sz w:val="24"/>
          <w:szCs w:val="24"/>
        </w:rPr>
      </w:pPr>
      <w:r>
        <w:rPr>
          <w:b/>
          <w:sz w:val="24"/>
          <w:szCs w:val="24"/>
        </w:rPr>
        <w:t xml:space="preserve">Supplementary Fig 3: Raw data or unnormalized data of genic and intergenic Intrahost single nucleotide variants of the novel ST18362. </w:t>
      </w:r>
      <w:r>
        <w:rPr>
          <w:sz w:val="24"/>
          <w:szCs w:val="24"/>
        </w:rPr>
        <w:t>A) Number of genic intrahost single nucleotide substitutions per gene or locus tag (each mutation counted once per gene or locus tag position during the carriage episode).  B) Number of intergenic intrahost single nucleotide substitutions per gene or locus tag (each mutation counted once per gene or locus tag position during the carriage episode).</w:t>
      </w:r>
    </w:p>
    <w:p w14:paraId="3751DF0F" w14:textId="77777777" w:rsidR="00154DA0" w:rsidRDefault="00154DA0" w:rsidP="00154DA0">
      <w:pPr>
        <w:spacing w:line="256" w:lineRule="auto"/>
        <w:rPr>
          <w:b/>
          <w:sz w:val="24"/>
          <w:szCs w:val="24"/>
        </w:rPr>
      </w:pPr>
      <w:r>
        <w:br w:type="page"/>
      </w:r>
    </w:p>
    <w:p w14:paraId="5AE7097B" w14:textId="77777777" w:rsidR="00154DA0" w:rsidRDefault="00154DA0" w:rsidP="00154DA0">
      <w:pPr>
        <w:spacing w:line="256" w:lineRule="auto"/>
        <w:rPr>
          <w:b/>
          <w:sz w:val="24"/>
          <w:szCs w:val="24"/>
        </w:rPr>
      </w:pPr>
      <w:r>
        <w:rPr>
          <w:b/>
          <w:noProof/>
          <w:sz w:val="24"/>
          <w:szCs w:val="24"/>
        </w:rPr>
        <w:lastRenderedPageBreak/>
        <w:drawing>
          <wp:inline distT="114300" distB="114300" distL="114300" distR="114300" wp14:anchorId="35002E70" wp14:editId="63024425">
            <wp:extent cx="5943600" cy="3962400"/>
            <wp:effectExtent l="0" t="0" r="0" b="0"/>
            <wp:docPr id="5" name="image10.png"/>
            <wp:cNvGraphicFramePr/>
            <a:graphic xmlns:a="http://schemas.openxmlformats.org/drawingml/2006/main">
              <a:graphicData uri="http://schemas.openxmlformats.org/drawingml/2006/picture">
                <pic:pic xmlns:pic="http://schemas.openxmlformats.org/drawingml/2006/picture">
                  <pic:nvPicPr>
                    <pic:cNvPr id="0" name="image10.png"/>
                    <pic:cNvPicPr preferRelativeResize="0"/>
                  </pic:nvPicPr>
                  <pic:blipFill>
                    <a:blip r:embed="rId7"/>
                    <a:srcRect/>
                    <a:stretch>
                      <a:fillRect/>
                    </a:stretch>
                  </pic:blipFill>
                  <pic:spPr>
                    <a:xfrm>
                      <a:off x="0" y="0"/>
                      <a:ext cx="5943600" cy="3962400"/>
                    </a:xfrm>
                    <a:prstGeom prst="rect">
                      <a:avLst/>
                    </a:prstGeom>
                    <a:ln/>
                  </pic:spPr>
                </pic:pic>
              </a:graphicData>
            </a:graphic>
          </wp:inline>
        </w:drawing>
      </w:r>
    </w:p>
    <w:p w14:paraId="6C639503" w14:textId="77777777" w:rsidR="00154DA0" w:rsidRDefault="00154DA0" w:rsidP="00154DA0">
      <w:pPr>
        <w:spacing w:line="256" w:lineRule="auto"/>
        <w:rPr>
          <w:sz w:val="24"/>
          <w:szCs w:val="24"/>
        </w:rPr>
      </w:pPr>
      <w:r>
        <w:rPr>
          <w:b/>
          <w:sz w:val="24"/>
          <w:szCs w:val="24"/>
        </w:rPr>
        <w:t xml:space="preserve">Supplementary Fig 4: </w:t>
      </w:r>
      <w:r>
        <w:rPr>
          <w:sz w:val="24"/>
          <w:szCs w:val="24"/>
        </w:rPr>
        <w:t xml:space="preserve">Proportion of reads assigned to different species by Kraken stratified by sampling day and species. The black dotted line indicates the 89% threshold of reads mapping to </w:t>
      </w:r>
      <w:r>
        <w:rPr>
          <w:i/>
          <w:sz w:val="24"/>
          <w:szCs w:val="24"/>
        </w:rPr>
        <w:t xml:space="preserve">S. pneumoniae, </w:t>
      </w:r>
      <w:r>
        <w:rPr>
          <w:sz w:val="24"/>
          <w:szCs w:val="24"/>
        </w:rPr>
        <w:t>which were included in the minority variant calls. This Kraken report includes reads reported at &gt;= 1% and excluded Homo sapiens reads.</w:t>
      </w:r>
    </w:p>
    <w:p w14:paraId="4358926B" w14:textId="77777777" w:rsidR="00154DA0" w:rsidRDefault="00154DA0" w:rsidP="00154DA0">
      <w:pPr>
        <w:spacing w:line="256" w:lineRule="auto"/>
        <w:rPr>
          <w:b/>
          <w:sz w:val="24"/>
          <w:szCs w:val="24"/>
        </w:rPr>
      </w:pPr>
      <w:r>
        <w:br w:type="page"/>
      </w:r>
    </w:p>
    <w:p w14:paraId="37F5F64D" w14:textId="77777777" w:rsidR="00154DA0" w:rsidRDefault="00154DA0" w:rsidP="00154DA0">
      <w:pPr>
        <w:spacing w:line="256" w:lineRule="auto"/>
        <w:rPr>
          <w:sz w:val="24"/>
          <w:szCs w:val="24"/>
        </w:rPr>
      </w:pPr>
      <w:r>
        <w:rPr>
          <w:b/>
          <w:sz w:val="24"/>
          <w:szCs w:val="24"/>
        </w:rPr>
        <w:lastRenderedPageBreak/>
        <w:t>Supplementary Table 1:</w:t>
      </w:r>
      <w:r>
        <w:rPr>
          <w:b/>
          <w:i/>
          <w:sz w:val="24"/>
          <w:szCs w:val="24"/>
        </w:rPr>
        <w:t xml:space="preserve"> </w:t>
      </w:r>
      <w:r>
        <w:rPr>
          <w:sz w:val="24"/>
          <w:szCs w:val="24"/>
        </w:rPr>
        <w:t xml:space="preserve">Reported persistent pneumococcal carriage durations of pneumococcal serotypes from 1985 to 2016 among adults and children. </w:t>
      </w:r>
    </w:p>
    <w:tbl>
      <w:tblPr>
        <w:tblW w:w="10260" w:type="dxa"/>
        <w:tblInd w:w="-1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600" w:firstRow="0" w:lastRow="0" w:firstColumn="0" w:lastColumn="0" w:noHBand="1" w:noVBand="1"/>
      </w:tblPr>
      <w:tblGrid>
        <w:gridCol w:w="1305"/>
        <w:gridCol w:w="1335"/>
        <w:gridCol w:w="1440"/>
        <w:gridCol w:w="1260"/>
        <w:gridCol w:w="1185"/>
        <w:gridCol w:w="1290"/>
        <w:gridCol w:w="1155"/>
        <w:gridCol w:w="1290"/>
      </w:tblGrid>
      <w:tr w:rsidR="00154DA0" w14:paraId="2AC504BB" w14:textId="77777777" w:rsidTr="000378DE">
        <w:trPr>
          <w:trHeight w:val="1536"/>
        </w:trPr>
        <w:tc>
          <w:tcPr>
            <w:tcW w:w="1305" w:type="dxa"/>
            <w:tcBorders>
              <w:top w:val="single" w:sz="4" w:space="0" w:color="000000"/>
              <w:left w:val="nil"/>
              <w:bottom w:val="single" w:sz="4" w:space="0" w:color="000000"/>
              <w:right w:val="nil"/>
            </w:tcBorders>
            <w:tcMar>
              <w:top w:w="100" w:type="dxa"/>
              <w:left w:w="100" w:type="dxa"/>
              <w:bottom w:w="100" w:type="dxa"/>
              <w:right w:w="100" w:type="dxa"/>
            </w:tcMar>
          </w:tcPr>
          <w:p w14:paraId="71F6C33C" w14:textId="77777777" w:rsidR="00154DA0" w:rsidRDefault="00154DA0" w:rsidP="000378DE">
            <w:pPr>
              <w:spacing w:line="256" w:lineRule="auto"/>
              <w:rPr>
                <w:b/>
              </w:rPr>
            </w:pPr>
            <w:r>
              <w:rPr>
                <w:b/>
              </w:rPr>
              <w:t>Study site</w:t>
            </w:r>
          </w:p>
        </w:tc>
        <w:tc>
          <w:tcPr>
            <w:tcW w:w="1335" w:type="dxa"/>
            <w:tcBorders>
              <w:top w:val="single" w:sz="4" w:space="0" w:color="000000"/>
              <w:left w:val="nil"/>
              <w:bottom w:val="single" w:sz="4" w:space="0" w:color="000000"/>
              <w:right w:val="nil"/>
            </w:tcBorders>
            <w:tcMar>
              <w:top w:w="100" w:type="dxa"/>
              <w:left w:w="100" w:type="dxa"/>
              <w:bottom w:w="100" w:type="dxa"/>
              <w:right w:w="100" w:type="dxa"/>
            </w:tcMar>
          </w:tcPr>
          <w:p w14:paraId="22ACB7C7" w14:textId="77777777" w:rsidR="00154DA0" w:rsidRDefault="00154DA0" w:rsidP="000378DE">
            <w:pPr>
              <w:spacing w:line="256" w:lineRule="auto"/>
              <w:rPr>
                <w:b/>
              </w:rPr>
            </w:pPr>
            <w:r>
              <w:rPr>
                <w:b/>
              </w:rPr>
              <w:t>Data collection year</w:t>
            </w:r>
          </w:p>
        </w:tc>
        <w:tc>
          <w:tcPr>
            <w:tcW w:w="1440" w:type="dxa"/>
            <w:tcBorders>
              <w:top w:val="single" w:sz="4" w:space="0" w:color="000000"/>
              <w:left w:val="nil"/>
              <w:bottom w:val="single" w:sz="4" w:space="0" w:color="000000"/>
              <w:right w:val="nil"/>
            </w:tcBorders>
            <w:tcMar>
              <w:top w:w="100" w:type="dxa"/>
              <w:left w:w="100" w:type="dxa"/>
              <w:bottom w:w="100" w:type="dxa"/>
              <w:right w:w="100" w:type="dxa"/>
            </w:tcMar>
          </w:tcPr>
          <w:p w14:paraId="5713252F" w14:textId="77777777" w:rsidR="00154DA0" w:rsidRDefault="00154DA0" w:rsidP="000378DE">
            <w:pPr>
              <w:spacing w:line="256" w:lineRule="auto"/>
              <w:rPr>
                <w:b/>
              </w:rPr>
            </w:pPr>
            <w:r>
              <w:rPr>
                <w:b/>
              </w:rPr>
              <w:t>Sampling interval (follow-up period)</w:t>
            </w:r>
          </w:p>
        </w:tc>
        <w:tc>
          <w:tcPr>
            <w:tcW w:w="1260" w:type="dxa"/>
            <w:tcBorders>
              <w:top w:val="single" w:sz="4" w:space="0" w:color="000000"/>
              <w:left w:val="nil"/>
              <w:bottom w:val="single" w:sz="4" w:space="0" w:color="000000"/>
              <w:right w:val="nil"/>
            </w:tcBorders>
            <w:tcMar>
              <w:top w:w="100" w:type="dxa"/>
              <w:left w:w="100" w:type="dxa"/>
              <w:bottom w:w="100" w:type="dxa"/>
              <w:right w:w="100" w:type="dxa"/>
            </w:tcMar>
          </w:tcPr>
          <w:p w14:paraId="14865864" w14:textId="77777777" w:rsidR="00154DA0" w:rsidRDefault="00154DA0" w:rsidP="000378DE">
            <w:pPr>
              <w:spacing w:line="256" w:lineRule="auto"/>
              <w:rPr>
                <w:b/>
              </w:rPr>
            </w:pPr>
            <w:r>
              <w:rPr>
                <w:b/>
              </w:rPr>
              <w:t>Serotype</w:t>
            </w:r>
          </w:p>
        </w:tc>
        <w:tc>
          <w:tcPr>
            <w:tcW w:w="1185" w:type="dxa"/>
            <w:tcBorders>
              <w:top w:val="single" w:sz="4" w:space="0" w:color="000000"/>
              <w:left w:val="nil"/>
              <w:bottom w:val="single" w:sz="4" w:space="0" w:color="000000"/>
              <w:right w:val="nil"/>
            </w:tcBorders>
            <w:tcMar>
              <w:top w:w="100" w:type="dxa"/>
              <w:left w:w="100" w:type="dxa"/>
              <w:bottom w:w="100" w:type="dxa"/>
              <w:right w:w="100" w:type="dxa"/>
            </w:tcMar>
          </w:tcPr>
          <w:p w14:paraId="00F99F6B" w14:textId="77777777" w:rsidR="00154DA0" w:rsidRDefault="00154DA0" w:rsidP="000378DE">
            <w:pPr>
              <w:spacing w:line="256" w:lineRule="auto"/>
              <w:rPr>
                <w:b/>
              </w:rPr>
            </w:pPr>
            <w:r>
              <w:rPr>
                <w:b/>
              </w:rPr>
              <w:t>Median Carriage duration (95% CI)</w:t>
            </w:r>
          </w:p>
        </w:tc>
        <w:tc>
          <w:tcPr>
            <w:tcW w:w="1290" w:type="dxa"/>
            <w:tcBorders>
              <w:top w:val="single" w:sz="4" w:space="0" w:color="000000"/>
              <w:left w:val="nil"/>
              <w:bottom w:val="single" w:sz="4" w:space="0" w:color="000000"/>
              <w:right w:val="nil"/>
            </w:tcBorders>
            <w:tcMar>
              <w:top w:w="100" w:type="dxa"/>
              <w:left w:w="100" w:type="dxa"/>
              <w:bottom w:w="100" w:type="dxa"/>
              <w:right w:w="100" w:type="dxa"/>
            </w:tcMar>
          </w:tcPr>
          <w:p w14:paraId="036569FF" w14:textId="77777777" w:rsidR="00154DA0" w:rsidRDefault="00154DA0" w:rsidP="000378DE">
            <w:pPr>
              <w:spacing w:line="256" w:lineRule="auto"/>
              <w:rPr>
                <w:b/>
              </w:rPr>
            </w:pPr>
            <w:r>
              <w:rPr>
                <w:b/>
              </w:rPr>
              <w:t xml:space="preserve">Number of episodes/carriers </w:t>
            </w:r>
          </w:p>
        </w:tc>
        <w:tc>
          <w:tcPr>
            <w:tcW w:w="1155" w:type="dxa"/>
            <w:tcBorders>
              <w:top w:val="single" w:sz="4" w:space="0" w:color="000000"/>
              <w:left w:val="nil"/>
              <w:bottom w:val="single" w:sz="4" w:space="0" w:color="000000"/>
              <w:right w:val="nil"/>
            </w:tcBorders>
            <w:tcMar>
              <w:top w:w="100" w:type="dxa"/>
              <w:left w:w="100" w:type="dxa"/>
              <w:bottom w:w="100" w:type="dxa"/>
              <w:right w:w="100" w:type="dxa"/>
            </w:tcMar>
          </w:tcPr>
          <w:p w14:paraId="64A00FDC" w14:textId="77777777" w:rsidR="00154DA0" w:rsidRDefault="00154DA0" w:rsidP="000378DE">
            <w:pPr>
              <w:spacing w:line="256" w:lineRule="auto"/>
              <w:rPr>
                <w:b/>
              </w:rPr>
            </w:pPr>
            <w:r>
              <w:rPr>
                <w:b/>
              </w:rPr>
              <w:t>Age</w:t>
            </w:r>
          </w:p>
        </w:tc>
        <w:tc>
          <w:tcPr>
            <w:tcW w:w="1290" w:type="dxa"/>
            <w:tcBorders>
              <w:top w:val="single" w:sz="4" w:space="0" w:color="000000"/>
              <w:left w:val="nil"/>
              <w:bottom w:val="single" w:sz="4" w:space="0" w:color="000000"/>
              <w:right w:val="nil"/>
            </w:tcBorders>
            <w:tcMar>
              <w:top w:w="100" w:type="dxa"/>
              <w:left w:w="100" w:type="dxa"/>
              <w:bottom w:w="100" w:type="dxa"/>
              <w:right w:w="100" w:type="dxa"/>
            </w:tcMar>
          </w:tcPr>
          <w:p w14:paraId="6B8D6769" w14:textId="77777777" w:rsidR="00154DA0" w:rsidRDefault="00154DA0" w:rsidP="000378DE">
            <w:pPr>
              <w:spacing w:line="256" w:lineRule="auto"/>
              <w:rPr>
                <w:b/>
              </w:rPr>
            </w:pPr>
            <w:r>
              <w:rPr>
                <w:b/>
              </w:rPr>
              <w:t xml:space="preserve">Reference </w:t>
            </w:r>
          </w:p>
        </w:tc>
      </w:tr>
      <w:tr w:rsidR="00154DA0" w14:paraId="0604454B" w14:textId="77777777" w:rsidTr="000378DE">
        <w:trPr>
          <w:trHeight w:val="1016"/>
        </w:trPr>
        <w:tc>
          <w:tcPr>
            <w:tcW w:w="1305" w:type="dxa"/>
            <w:tcBorders>
              <w:top w:val="single" w:sz="4" w:space="0" w:color="000000"/>
              <w:left w:val="nil"/>
              <w:bottom w:val="single" w:sz="4" w:space="0" w:color="000000"/>
              <w:right w:val="nil"/>
            </w:tcBorders>
            <w:tcMar>
              <w:top w:w="100" w:type="dxa"/>
              <w:left w:w="100" w:type="dxa"/>
              <w:bottom w:w="100" w:type="dxa"/>
              <w:right w:w="100" w:type="dxa"/>
            </w:tcMar>
          </w:tcPr>
          <w:p w14:paraId="63534ED3" w14:textId="77777777" w:rsidR="00154DA0" w:rsidRDefault="00154DA0" w:rsidP="000378DE">
            <w:pPr>
              <w:spacing w:line="256" w:lineRule="auto"/>
              <w:rPr>
                <w:vertAlign w:val="superscript"/>
              </w:rPr>
            </w:pPr>
            <w:r>
              <w:t>Papua New Guinea</w:t>
            </w:r>
          </w:p>
        </w:tc>
        <w:tc>
          <w:tcPr>
            <w:tcW w:w="1335" w:type="dxa"/>
            <w:tcBorders>
              <w:top w:val="single" w:sz="4" w:space="0" w:color="000000"/>
              <w:left w:val="nil"/>
              <w:bottom w:val="single" w:sz="4" w:space="0" w:color="000000"/>
              <w:right w:val="nil"/>
            </w:tcBorders>
            <w:tcMar>
              <w:top w:w="100" w:type="dxa"/>
              <w:left w:w="100" w:type="dxa"/>
              <w:bottom w:w="100" w:type="dxa"/>
              <w:right w:w="100" w:type="dxa"/>
            </w:tcMar>
          </w:tcPr>
          <w:p w14:paraId="0E03ED24" w14:textId="77777777" w:rsidR="00154DA0" w:rsidRDefault="00154DA0" w:rsidP="000378DE">
            <w:pPr>
              <w:spacing w:line="256" w:lineRule="auto"/>
            </w:pPr>
            <w:r>
              <w:t>1985 - 1987</w:t>
            </w:r>
          </w:p>
        </w:tc>
        <w:tc>
          <w:tcPr>
            <w:tcW w:w="1440" w:type="dxa"/>
            <w:tcBorders>
              <w:top w:val="single" w:sz="4" w:space="0" w:color="000000"/>
              <w:left w:val="nil"/>
              <w:bottom w:val="single" w:sz="4" w:space="0" w:color="000000"/>
              <w:right w:val="nil"/>
            </w:tcBorders>
            <w:tcMar>
              <w:top w:w="100" w:type="dxa"/>
              <w:left w:w="100" w:type="dxa"/>
              <w:bottom w:w="100" w:type="dxa"/>
              <w:right w:w="100" w:type="dxa"/>
            </w:tcMar>
          </w:tcPr>
          <w:p w14:paraId="47AD348D" w14:textId="77777777" w:rsidR="00154DA0" w:rsidRDefault="00154DA0" w:rsidP="000378DE">
            <w:pPr>
              <w:spacing w:line="256" w:lineRule="auto"/>
            </w:pPr>
            <w:r>
              <w:t>Monthly (~18 months)</w:t>
            </w:r>
          </w:p>
        </w:tc>
        <w:tc>
          <w:tcPr>
            <w:tcW w:w="1260" w:type="dxa"/>
            <w:tcBorders>
              <w:top w:val="single" w:sz="4" w:space="0" w:color="000000"/>
              <w:left w:val="nil"/>
              <w:bottom w:val="single" w:sz="4" w:space="0" w:color="000000"/>
              <w:right w:val="nil"/>
            </w:tcBorders>
            <w:tcMar>
              <w:top w:w="100" w:type="dxa"/>
              <w:left w:w="100" w:type="dxa"/>
              <w:bottom w:w="100" w:type="dxa"/>
              <w:right w:w="100" w:type="dxa"/>
            </w:tcMar>
          </w:tcPr>
          <w:p w14:paraId="5AC5E115" w14:textId="77777777" w:rsidR="00154DA0" w:rsidRDefault="00154DA0" w:rsidP="000378DE">
            <w:pPr>
              <w:spacing w:line="256" w:lineRule="auto"/>
              <w:jc w:val="center"/>
            </w:pPr>
            <w:r>
              <w:t>2</w:t>
            </w:r>
          </w:p>
        </w:tc>
        <w:tc>
          <w:tcPr>
            <w:tcW w:w="1185" w:type="dxa"/>
            <w:tcBorders>
              <w:top w:val="single" w:sz="4" w:space="0" w:color="000000"/>
              <w:left w:val="nil"/>
              <w:bottom w:val="single" w:sz="4" w:space="0" w:color="000000"/>
              <w:right w:val="nil"/>
            </w:tcBorders>
            <w:tcMar>
              <w:top w:w="100" w:type="dxa"/>
              <w:left w:w="100" w:type="dxa"/>
              <w:bottom w:w="100" w:type="dxa"/>
              <w:right w:w="100" w:type="dxa"/>
            </w:tcMar>
          </w:tcPr>
          <w:p w14:paraId="7458D6FD" w14:textId="77777777" w:rsidR="00154DA0" w:rsidRDefault="00154DA0" w:rsidP="000378DE">
            <w:pPr>
              <w:spacing w:line="256" w:lineRule="auto"/>
              <w:jc w:val="center"/>
            </w:pPr>
            <w:r>
              <w:rPr>
                <w:b/>
                <w:i/>
              </w:rPr>
              <w:t xml:space="preserve"> </w:t>
            </w:r>
            <w:r>
              <w:t xml:space="preserve">31.3 days* </w:t>
            </w:r>
          </w:p>
        </w:tc>
        <w:tc>
          <w:tcPr>
            <w:tcW w:w="1290" w:type="dxa"/>
            <w:tcBorders>
              <w:top w:val="single" w:sz="4" w:space="0" w:color="000000"/>
              <w:left w:val="nil"/>
              <w:bottom w:val="single" w:sz="4" w:space="0" w:color="000000"/>
              <w:right w:val="nil"/>
            </w:tcBorders>
            <w:tcMar>
              <w:top w:w="100" w:type="dxa"/>
              <w:left w:w="100" w:type="dxa"/>
              <w:bottom w:w="100" w:type="dxa"/>
              <w:right w:w="100" w:type="dxa"/>
            </w:tcMar>
          </w:tcPr>
          <w:p w14:paraId="0F3CAB7D" w14:textId="77777777" w:rsidR="00154DA0" w:rsidRDefault="00154DA0" w:rsidP="000378DE">
            <w:pPr>
              <w:spacing w:line="256" w:lineRule="auto"/>
              <w:jc w:val="center"/>
            </w:pPr>
            <w:r>
              <w:t>2</w:t>
            </w:r>
            <w:r>
              <w:rPr>
                <w:vertAlign w:val="superscript"/>
              </w:rPr>
              <w:t>a</w:t>
            </w:r>
          </w:p>
        </w:tc>
        <w:tc>
          <w:tcPr>
            <w:tcW w:w="1155" w:type="dxa"/>
            <w:tcBorders>
              <w:top w:val="single" w:sz="4" w:space="0" w:color="000000"/>
              <w:left w:val="nil"/>
              <w:bottom w:val="single" w:sz="4" w:space="0" w:color="000000"/>
              <w:right w:val="nil"/>
            </w:tcBorders>
            <w:tcMar>
              <w:top w:w="100" w:type="dxa"/>
              <w:left w:w="100" w:type="dxa"/>
              <w:bottom w:w="100" w:type="dxa"/>
              <w:right w:w="100" w:type="dxa"/>
            </w:tcMar>
          </w:tcPr>
          <w:p w14:paraId="258B8C64" w14:textId="77777777" w:rsidR="00154DA0" w:rsidRDefault="00154DA0" w:rsidP="000378DE">
            <w:pPr>
              <w:spacing w:line="256" w:lineRule="auto"/>
            </w:pPr>
            <w:r>
              <w:t>Children</w:t>
            </w:r>
          </w:p>
        </w:tc>
        <w:tc>
          <w:tcPr>
            <w:tcW w:w="1290" w:type="dxa"/>
            <w:tcBorders>
              <w:top w:val="single" w:sz="4" w:space="0" w:color="000000"/>
              <w:left w:val="nil"/>
              <w:bottom w:val="single" w:sz="4" w:space="0" w:color="000000"/>
              <w:right w:val="nil"/>
            </w:tcBorders>
            <w:tcMar>
              <w:top w:w="100" w:type="dxa"/>
              <w:left w:w="100" w:type="dxa"/>
              <w:bottom w:w="100" w:type="dxa"/>
              <w:right w:w="100" w:type="dxa"/>
            </w:tcMar>
          </w:tcPr>
          <w:p w14:paraId="759591B8" w14:textId="77777777" w:rsidR="00154DA0" w:rsidRDefault="00154DA0" w:rsidP="000378DE">
            <w:pPr>
              <w:spacing w:line="256" w:lineRule="auto"/>
            </w:pPr>
            <w:r>
              <w:t>Smith et al. 1993</w:t>
            </w:r>
            <w:hyperlink r:id="rId8">
              <w:r>
                <w:rPr>
                  <w:color w:val="000000"/>
                  <w:vertAlign w:val="superscript"/>
                </w:rPr>
                <w:t>9</w:t>
              </w:r>
            </w:hyperlink>
          </w:p>
        </w:tc>
      </w:tr>
      <w:tr w:rsidR="00154DA0" w14:paraId="182A8141" w14:textId="77777777" w:rsidTr="000378DE">
        <w:trPr>
          <w:trHeight w:val="1020"/>
        </w:trPr>
        <w:tc>
          <w:tcPr>
            <w:tcW w:w="1305" w:type="dxa"/>
            <w:tcBorders>
              <w:top w:val="single" w:sz="4" w:space="0" w:color="000000"/>
              <w:left w:val="nil"/>
              <w:bottom w:val="single" w:sz="4" w:space="0" w:color="000000"/>
              <w:right w:val="nil"/>
            </w:tcBorders>
            <w:tcMar>
              <w:top w:w="100" w:type="dxa"/>
              <w:left w:w="100" w:type="dxa"/>
              <w:bottom w:w="100" w:type="dxa"/>
              <w:right w:w="100" w:type="dxa"/>
            </w:tcMar>
          </w:tcPr>
          <w:p w14:paraId="6CE3150D" w14:textId="77777777" w:rsidR="00154DA0" w:rsidRDefault="00154DA0" w:rsidP="000378DE">
            <w:pPr>
              <w:spacing w:line="256" w:lineRule="auto"/>
              <w:rPr>
                <w:vertAlign w:val="superscript"/>
              </w:rPr>
            </w:pPr>
            <w:r>
              <w:t>Gambia</w:t>
            </w:r>
          </w:p>
        </w:tc>
        <w:tc>
          <w:tcPr>
            <w:tcW w:w="1335" w:type="dxa"/>
            <w:tcBorders>
              <w:top w:val="single" w:sz="4" w:space="0" w:color="000000"/>
              <w:left w:val="nil"/>
              <w:bottom w:val="single" w:sz="4" w:space="0" w:color="000000"/>
              <w:right w:val="nil"/>
            </w:tcBorders>
            <w:tcMar>
              <w:top w:w="100" w:type="dxa"/>
              <w:left w:w="100" w:type="dxa"/>
              <w:bottom w:w="100" w:type="dxa"/>
              <w:right w:w="100" w:type="dxa"/>
            </w:tcMar>
          </w:tcPr>
          <w:p w14:paraId="5EAB8683" w14:textId="77777777" w:rsidR="00154DA0" w:rsidRDefault="00154DA0" w:rsidP="000378DE">
            <w:pPr>
              <w:spacing w:line="256" w:lineRule="auto"/>
            </w:pPr>
            <w:r>
              <w:t>&lt;2010</w:t>
            </w:r>
          </w:p>
        </w:tc>
        <w:tc>
          <w:tcPr>
            <w:tcW w:w="1440" w:type="dxa"/>
            <w:tcBorders>
              <w:top w:val="single" w:sz="4" w:space="0" w:color="000000"/>
              <w:left w:val="nil"/>
              <w:bottom w:val="single" w:sz="4" w:space="0" w:color="000000"/>
              <w:right w:val="nil"/>
            </w:tcBorders>
            <w:tcMar>
              <w:top w:w="100" w:type="dxa"/>
              <w:left w:w="100" w:type="dxa"/>
              <w:bottom w:w="100" w:type="dxa"/>
              <w:right w:w="100" w:type="dxa"/>
            </w:tcMar>
          </w:tcPr>
          <w:p w14:paraId="755433EA" w14:textId="77777777" w:rsidR="00154DA0" w:rsidRDefault="00154DA0" w:rsidP="000378DE">
            <w:pPr>
              <w:spacing w:line="256" w:lineRule="auto"/>
            </w:pPr>
            <w:r>
              <w:t>Bi-weekly (~1 year)</w:t>
            </w:r>
          </w:p>
        </w:tc>
        <w:tc>
          <w:tcPr>
            <w:tcW w:w="1260" w:type="dxa"/>
            <w:tcBorders>
              <w:top w:val="single" w:sz="4" w:space="0" w:color="000000"/>
              <w:left w:val="nil"/>
              <w:bottom w:val="single" w:sz="4" w:space="0" w:color="000000"/>
              <w:right w:val="nil"/>
            </w:tcBorders>
            <w:tcMar>
              <w:top w:w="100" w:type="dxa"/>
              <w:left w:w="100" w:type="dxa"/>
              <w:bottom w:w="100" w:type="dxa"/>
              <w:right w:w="100" w:type="dxa"/>
            </w:tcMar>
          </w:tcPr>
          <w:p w14:paraId="3A58A087" w14:textId="77777777" w:rsidR="00154DA0" w:rsidRDefault="00154DA0" w:rsidP="000378DE">
            <w:pPr>
              <w:spacing w:line="256" w:lineRule="auto"/>
              <w:jc w:val="center"/>
            </w:pPr>
            <w:r>
              <w:t>14</w:t>
            </w:r>
          </w:p>
          <w:p w14:paraId="75133315" w14:textId="77777777" w:rsidR="00154DA0" w:rsidRDefault="00154DA0" w:rsidP="000378DE">
            <w:pPr>
              <w:spacing w:line="256" w:lineRule="auto"/>
              <w:jc w:val="center"/>
            </w:pPr>
          </w:p>
          <w:p w14:paraId="7C9B96E0" w14:textId="77777777" w:rsidR="00154DA0" w:rsidRDefault="00154DA0" w:rsidP="000378DE">
            <w:pPr>
              <w:spacing w:line="256" w:lineRule="auto"/>
              <w:jc w:val="center"/>
            </w:pPr>
          </w:p>
        </w:tc>
        <w:tc>
          <w:tcPr>
            <w:tcW w:w="1185" w:type="dxa"/>
            <w:tcBorders>
              <w:top w:val="single" w:sz="4" w:space="0" w:color="000000"/>
              <w:left w:val="nil"/>
              <w:bottom w:val="single" w:sz="4" w:space="0" w:color="000000"/>
              <w:right w:val="nil"/>
            </w:tcBorders>
            <w:tcMar>
              <w:top w:w="100" w:type="dxa"/>
              <w:left w:w="100" w:type="dxa"/>
              <w:bottom w:w="100" w:type="dxa"/>
              <w:right w:w="100" w:type="dxa"/>
            </w:tcMar>
          </w:tcPr>
          <w:p w14:paraId="77F7FF17" w14:textId="77777777" w:rsidR="00154DA0" w:rsidRDefault="00154DA0" w:rsidP="000378DE">
            <w:pPr>
              <w:spacing w:line="256" w:lineRule="auto"/>
              <w:jc w:val="center"/>
            </w:pPr>
            <w:r>
              <w:t>~258.3 days*</w:t>
            </w:r>
          </w:p>
        </w:tc>
        <w:tc>
          <w:tcPr>
            <w:tcW w:w="1290" w:type="dxa"/>
            <w:tcBorders>
              <w:top w:val="single" w:sz="4" w:space="0" w:color="000000"/>
              <w:left w:val="nil"/>
              <w:bottom w:val="single" w:sz="4" w:space="0" w:color="000000"/>
              <w:right w:val="nil"/>
            </w:tcBorders>
            <w:tcMar>
              <w:top w:w="100" w:type="dxa"/>
              <w:left w:w="100" w:type="dxa"/>
              <w:bottom w:w="100" w:type="dxa"/>
              <w:right w:w="100" w:type="dxa"/>
            </w:tcMar>
          </w:tcPr>
          <w:p w14:paraId="00020EF8" w14:textId="77777777" w:rsidR="00154DA0" w:rsidRDefault="00154DA0" w:rsidP="000378DE">
            <w:pPr>
              <w:spacing w:line="256" w:lineRule="auto"/>
              <w:jc w:val="center"/>
            </w:pPr>
            <w:r>
              <w:t>11</w:t>
            </w:r>
            <w:r>
              <w:rPr>
                <w:vertAlign w:val="superscript"/>
              </w:rPr>
              <w:t>b</w:t>
            </w:r>
          </w:p>
        </w:tc>
        <w:tc>
          <w:tcPr>
            <w:tcW w:w="1155" w:type="dxa"/>
            <w:tcBorders>
              <w:top w:val="single" w:sz="4" w:space="0" w:color="000000"/>
              <w:left w:val="nil"/>
              <w:bottom w:val="single" w:sz="4" w:space="0" w:color="000000"/>
              <w:right w:val="nil"/>
            </w:tcBorders>
            <w:tcMar>
              <w:top w:w="100" w:type="dxa"/>
              <w:left w:w="100" w:type="dxa"/>
              <w:bottom w:w="100" w:type="dxa"/>
              <w:right w:w="100" w:type="dxa"/>
            </w:tcMar>
          </w:tcPr>
          <w:p w14:paraId="6A04EC13" w14:textId="77777777" w:rsidR="00154DA0" w:rsidRDefault="00154DA0" w:rsidP="000378DE">
            <w:pPr>
              <w:spacing w:line="256" w:lineRule="auto"/>
            </w:pPr>
            <w:r>
              <w:t>&lt;1 - &gt;40 years</w:t>
            </w:r>
          </w:p>
        </w:tc>
        <w:tc>
          <w:tcPr>
            <w:tcW w:w="1290" w:type="dxa"/>
            <w:tcBorders>
              <w:top w:val="single" w:sz="4" w:space="0" w:color="000000"/>
              <w:left w:val="nil"/>
              <w:bottom w:val="single" w:sz="4" w:space="0" w:color="000000"/>
              <w:right w:val="nil"/>
            </w:tcBorders>
            <w:tcMar>
              <w:top w:w="100" w:type="dxa"/>
              <w:left w:w="100" w:type="dxa"/>
              <w:bottom w:w="100" w:type="dxa"/>
              <w:right w:w="100" w:type="dxa"/>
            </w:tcMar>
          </w:tcPr>
          <w:p w14:paraId="59E186A5" w14:textId="77777777" w:rsidR="00154DA0" w:rsidRDefault="00154DA0" w:rsidP="000378DE">
            <w:pPr>
              <w:spacing w:line="256" w:lineRule="auto"/>
            </w:pPr>
            <w:r>
              <w:t>Hill et al.</w:t>
            </w:r>
          </w:p>
          <w:p w14:paraId="3BF7454D" w14:textId="77777777" w:rsidR="00154DA0" w:rsidRDefault="00154DA0" w:rsidP="000378DE">
            <w:pPr>
              <w:spacing w:line="256" w:lineRule="auto"/>
            </w:pPr>
            <w:r>
              <w:t>2010</w:t>
            </w:r>
            <w:hyperlink r:id="rId9">
              <w:r>
                <w:rPr>
                  <w:color w:val="000000"/>
                  <w:vertAlign w:val="superscript"/>
                </w:rPr>
                <w:t>12</w:t>
              </w:r>
            </w:hyperlink>
          </w:p>
        </w:tc>
      </w:tr>
      <w:tr w:rsidR="00154DA0" w14:paraId="09BA5B2C" w14:textId="77777777" w:rsidTr="000378DE">
        <w:trPr>
          <w:trHeight w:val="1696"/>
        </w:trPr>
        <w:tc>
          <w:tcPr>
            <w:tcW w:w="1305" w:type="dxa"/>
            <w:tcBorders>
              <w:top w:val="single" w:sz="4" w:space="0" w:color="000000"/>
              <w:left w:val="nil"/>
              <w:bottom w:val="single" w:sz="4" w:space="0" w:color="000000"/>
              <w:right w:val="nil"/>
            </w:tcBorders>
            <w:tcMar>
              <w:top w:w="100" w:type="dxa"/>
              <w:left w:w="100" w:type="dxa"/>
              <w:bottom w:w="100" w:type="dxa"/>
              <w:right w:w="100" w:type="dxa"/>
            </w:tcMar>
          </w:tcPr>
          <w:p w14:paraId="31AD4BC4" w14:textId="77777777" w:rsidR="00154DA0" w:rsidRDefault="00154DA0" w:rsidP="000378DE">
            <w:pPr>
              <w:spacing w:line="256" w:lineRule="auto"/>
              <w:rPr>
                <w:vertAlign w:val="superscript"/>
              </w:rPr>
            </w:pPr>
            <w:r>
              <w:t>Kenya</w:t>
            </w:r>
          </w:p>
        </w:tc>
        <w:tc>
          <w:tcPr>
            <w:tcW w:w="1335" w:type="dxa"/>
            <w:tcBorders>
              <w:top w:val="single" w:sz="4" w:space="0" w:color="000000"/>
              <w:left w:val="nil"/>
              <w:bottom w:val="single" w:sz="4" w:space="0" w:color="000000"/>
              <w:right w:val="nil"/>
            </w:tcBorders>
            <w:tcMar>
              <w:top w:w="100" w:type="dxa"/>
              <w:left w:w="100" w:type="dxa"/>
              <w:bottom w:w="100" w:type="dxa"/>
              <w:right w:w="100" w:type="dxa"/>
            </w:tcMar>
          </w:tcPr>
          <w:p w14:paraId="60407E09" w14:textId="77777777" w:rsidR="00154DA0" w:rsidRDefault="00154DA0" w:rsidP="000378DE">
            <w:pPr>
              <w:spacing w:line="256" w:lineRule="auto"/>
            </w:pPr>
            <w:r>
              <w:t>2006 – 2008</w:t>
            </w:r>
          </w:p>
        </w:tc>
        <w:tc>
          <w:tcPr>
            <w:tcW w:w="1440" w:type="dxa"/>
            <w:tcBorders>
              <w:top w:val="single" w:sz="4" w:space="0" w:color="000000"/>
              <w:left w:val="nil"/>
              <w:bottom w:val="single" w:sz="4" w:space="0" w:color="000000"/>
              <w:right w:val="nil"/>
            </w:tcBorders>
            <w:tcMar>
              <w:top w:w="100" w:type="dxa"/>
              <w:left w:w="100" w:type="dxa"/>
              <w:bottom w:w="100" w:type="dxa"/>
              <w:right w:w="100" w:type="dxa"/>
            </w:tcMar>
          </w:tcPr>
          <w:p w14:paraId="25300553" w14:textId="77777777" w:rsidR="00154DA0" w:rsidRDefault="00154DA0" w:rsidP="000378DE">
            <w:pPr>
              <w:spacing w:line="256" w:lineRule="auto"/>
              <w:rPr>
                <w:b/>
                <w:i/>
              </w:rPr>
            </w:pPr>
            <w:r>
              <w:rPr>
                <w:rFonts w:ascii="Arial Unicode MS" w:eastAsia="Arial Unicode MS" w:hAnsi="Arial Unicode MS" w:cs="Arial Unicode MS"/>
              </w:rPr>
              <w:t>1, 2, 4, 8, 16 and 32 days, and then monthly until clearance ((~≤486 days)</w:t>
            </w:r>
          </w:p>
        </w:tc>
        <w:tc>
          <w:tcPr>
            <w:tcW w:w="1260" w:type="dxa"/>
            <w:tcBorders>
              <w:top w:val="single" w:sz="4" w:space="0" w:color="000000"/>
              <w:left w:val="nil"/>
              <w:bottom w:val="single" w:sz="4" w:space="0" w:color="000000"/>
              <w:right w:val="nil"/>
            </w:tcBorders>
            <w:tcMar>
              <w:top w:w="100" w:type="dxa"/>
              <w:left w:w="100" w:type="dxa"/>
              <w:bottom w:w="100" w:type="dxa"/>
              <w:right w:w="100" w:type="dxa"/>
            </w:tcMar>
          </w:tcPr>
          <w:p w14:paraId="3E4903C4" w14:textId="77777777" w:rsidR="00154DA0" w:rsidRDefault="00154DA0" w:rsidP="000378DE">
            <w:pPr>
              <w:spacing w:line="256" w:lineRule="auto"/>
              <w:jc w:val="center"/>
              <w:rPr>
                <w:b/>
                <w:i/>
              </w:rPr>
            </w:pPr>
            <w:r>
              <w:t>6A</w:t>
            </w:r>
          </w:p>
        </w:tc>
        <w:tc>
          <w:tcPr>
            <w:tcW w:w="1185" w:type="dxa"/>
            <w:tcBorders>
              <w:top w:val="single" w:sz="4" w:space="0" w:color="000000"/>
              <w:left w:val="nil"/>
              <w:bottom w:val="single" w:sz="4" w:space="0" w:color="000000"/>
              <w:right w:val="nil"/>
            </w:tcBorders>
            <w:tcMar>
              <w:top w:w="100" w:type="dxa"/>
              <w:left w:w="100" w:type="dxa"/>
              <w:bottom w:w="100" w:type="dxa"/>
              <w:right w:w="100" w:type="dxa"/>
            </w:tcMar>
          </w:tcPr>
          <w:p w14:paraId="12223C0A" w14:textId="77777777" w:rsidR="00154DA0" w:rsidRDefault="00154DA0" w:rsidP="000378DE">
            <w:pPr>
              <w:spacing w:line="256" w:lineRule="auto"/>
              <w:jc w:val="center"/>
              <w:rPr>
                <w:b/>
                <w:i/>
              </w:rPr>
            </w:pPr>
            <w:r>
              <w:rPr>
                <w:b/>
                <w:i/>
              </w:rPr>
              <w:t xml:space="preserve"> </w:t>
            </w:r>
            <w:r>
              <w:t>50.8 (19.7 - 131) days*</w:t>
            </w:r>
          </w:p>
        </w:tc>
        <w:tc>
          <w:tcPr>
            <w:tcW w:w="1290" w:type="dxa"/>
            <w:tcBorders>
              <w:top w:val="single" w:sz="4" w:space="0" w:color="000000"/>
              <w:left w:val="nil"/>
              <w:bottom w:val="single" w:sz="4" w:space="0" w:color="000000"/>
              <w:right w:val="nil"/>
            </w:tcBorders>
            <w:tcMar>
              <w:top w:w="100" w:type="dxa"/>
              <w:left w:w="100" w:type="dxa"/>
              <w:bottom w:w="100" w:type="dxa"/>
              <w:right w:w="100" w:type="dxa"/>
            </w:tcMar>
          </w:tcPr>
          <w:p w14:paraId="46660A33" w14:textId="77777777" w:rsidR="00154DA0" w:rsidRDefault="00154DA0" w:rsidP="000378DE">
            <w:pPr>
              <w:spacing w:line="256" w:lineRule="auto"/>
              <w:jc w:val="center"/>
            </w:pPr>
            <w:r>
              <w:t>237</w:t>
            </w:r>
            <w:r>
              <w:rPr>
                <w:vertAlign w:val="superscript"/>
              </w:rPr>
              <w:t>a</w:t>
            </w:r>
          </w:p>
        </w:tc>
        <w:tc>
          <w:tcPr>
            <w:tcW w:w="1155" w:type="dxa"/>
            <w:tcBorders>
              <w:top w:val="single" w:sz="4" w:space="0" w:color="000000"/>
              <w:left w:val="nil"/>
              <w:bottom w:val="single" w:sz="4" w:space="0" w:color="000000"/>
              <w:right w:val="nil"/>
            </w:tcBorders>
            <w:tcMar>
              <w:top w:w="100" w:type="dxa"/>
              <w:left w:w="100" w:type="dxa"/>
              <w:bottom w:w="100" w:type="dxa"/>
              <w:right w:w="100" w:type="dxa"/>
            </w:tcMar>
          </w:tcPr>
          <w:p w14:paraId="53A213B4" w14:textId="77777777" w:rsidR="00154DA0" w:rsidRDefault="00154DA0" w:rsidP="000378DE">
            <w:pPr>
              <w:spacing w:line="256" w:lineRule="auto"/>
            </w:pPr>
            <w:r>
              <w:t>3 - 59 months</w:t>
            </w:r>
          </w:p>
        </w:tc>
        <w:tc>
          <w:tcPr>
            <w:tcW w:w="1290" w:type="dxa"/>
            <w:tcBorders>
              <w:top w:val="single" w:sz="4" w:space="0" w:color="000000"/>
              <w:left w:val="nil"/>
              <w:bottom w:val="single" w:sz="4" w:space="0" w:color="000000"/>
              <w:right w:val="nil"/>
            </w:tcBorders>
            <w:tcMar>
              <w:top w:w="100" w:type="dxa"/>
              <w:left w:w="100" w:type="dxa"/>
              <w:bottom w:w="100" w:type="dxa"/>
              <w:right w:w="100" w:type="dxa"/>
            </w:tcMar>
          </w:tcPr>
          <w:p w14:paraId="0BDABDAE" w14:textId="77777777" w:rsidR="00154DA0" w:rsidRDefault="00154DA0" w:rsidP="000378DE">
            <w:pPr>
              <w:spacing w:line="256" w:lineRule="auto"/>
            </w:pPr>
            <w:r>
              <w:t>Abdullahi et al.</w:t>
            </w:r>
          </w:p>
          <w:p w14:paraId="61AB7528" w14:textId="77777777" w:rsidR="00154DA0" w:rsidRDefault="00154DA0" w:rsidP="000378DE">
            <w:pPr>
              <w:spacing w:line="256" w:lineRule="auto"/>
            </w:pPr>
            <w:r>
              <w:t>2012</w:t>
            </w:r>
            <w:hyperlink r:id="rId10">
              <w:r>
                <w:rPr>
                  <w:color w:val="000000"/>
                  <w:vertAlign w:val="superscript"/>
                </w:rPr>
                <w:t>10</w:t>
              </w:r>
            </w:hyperlink>
          </w:p>
        </w:tc>
      </w:tr>
      <w:tr w:rsidR="00154DA0" w14:paraId="5A160095" w14:textId="77777777" w:rsidTr="000378DE">
        <w:trPr>
          <w:trHeight w:val="1265"/>
        </w:trPr>
        <w:tc>
          <w:tcPr>
            <w:tcW w:w="1305" w:type="dxa"/>
            <w:tcBorders>
              <w:top w:val="single" w:sz="4" w:space="0" w:color="000000"/>
              <w:left w:val="nil"/>
              <w:bottom w:val="single" w:sz="4" w:space="0" w:color="000000"/>
              <w:right w:val="nil"/>
            </w:tcBorders>
            <w:tcMar>
              <w:top w:w="100" w:type="dxa"/>
              <w:left w:w="100" w:type="dxa"/>
              <w:bottom w:w="100" w:type="dxa"/>
              <w:right w:w="100" w:type="dxa"/>
            </w:tcMar>
          </w:tcPr>
          <w:p w14:paraId="4D486014" w14:textId="77777777" w:rsidR="00154DA0" w:rsidRDefault="00154DA0" w:rsidP="000378DE">
            <w:pPr>
              <w:spacing w:line="256" w:lineRule="auto"/>
              <w:rPr>
                <w:vertAlign w:val="superscript"/>
              </w:rPr>
            </w:pPr>
            <w:r>
              <w:t>Thailand</w:t>
            </w:r>
          </w:p>
        </w:tc>
        <w:tc>
          <w:tcPr>
            <w:tcW w:w="1335" w:type="dxa"/>
            <w:tcBorders>
              <w:top w:val="single" w:sz="4" w:space="0" w:color="000000"/>
              <w:left w:val="nil"/>
              <w:bottom w:val="single" w:sz="4" w:space="0" w:color="000000"/>
              <w:right w:val="nil"/>
            </w:tcBorders>
            <w:tcMar>
              <w:top w:w="100" w:type="dxa"/>
              <w:left w:w="100" w:type="dxa"/>
              <w:bottom w:w="100" w:type="dxa"/>
              <w:right w:w="100" w:type="dxa"/>
            </w:tcMar>
          </w:tcPr>
          <w:p w14:paraId="6C9AC8D6" w14:textId="77777777" w:rsidR="00154DA0" w:rsidRDefault="00154DA0" w:rsidP="000378DE">
            <w:pPr>
              <w:spacing w:line="256" w:lineRule="auto"/>
            </w:pPr>
            <w:r>
              <w:t>2007~2010</w:t>
            </w:r>
          </w:p>
          <w:p w14:paraId="0917B753" w14:textId="77777777" w:rsidR="00154DA0" w:rsidRDefault="00154DA0" w:rsidP="000378DE">
            <w:pPr>
              <w:spacing w:line="256" w:lineRule="auto"/>
            </w:pPr>
          </w:p>
        </w:tc>
        <w:tc>
          <w:tcPr>
            <w:tcW w:w="1440" w:type="dxa"/>
            <w:tcBorders>
              <w:top w:val="single" w:sz="4" w:space="0" w:color="000000"/>
              <w:left w:val="nil"/>
              <w:bottom w:val="single" w:sz="4" w:space="0" w:color="000000"/>
              <w:right w:val="nil"/>
            </w:tcBorders>
            <w:tcMar>
              <w:top w:w="100" w:type="dxa"/>
              <w:left w:w="100" w:type="dxa"/>
              <w:bottom w:w="100" w:type="dxa"/>
              <w:right w:w="100" w:type="dxa"/>
            </w:tcMar>
          </w:tcPr>
          <w:p w14:paraId="6DE0AF1C" w14:textId="77777777" w:rsidR="00154DA0" w:rsidRDefault="00154DA0" w:rsidP="000378DE">
            <w:pPr>
              <w:spacing w:line="256" w:lineRule="auto"/>
            </w:pPr>
            <w:r>
              <w:t>Monthly (~2 years)</w:t>
            </w:r>
          </w:p>
        </w:tc>
        <w:tc>
          <w:tcPr>
            <w:tcW w:w="1260" w:type="dxa"/>
            <w:tcBorders>
              <w:top w:val="single" w:sz="4" w:space="0" w:color="000000"/>
              <w:left w:val="nil"/>
              <w:bottom w:val="single" w:sz="4" w:space="0" w:color="000000"/>
              <w:right w:val="nil"/>
            </w:tcBorders>
            <w:tcMar>
              <w:top w:w="100" w:type="dxa"/>
              <w:left w:w="100" w:type="dxa"/>
              <w:bottom w:w="100" w:type="dxa"/>
              <w:right w:w="100" w:type="dxa"/>
            </w:tcMar>
          </w:tcPr>
          <w:p w14:paraId="5FAABBB5" w14:textId="77777777" w:rsidR="00154DA0" w:rsidRDefault="00154DA0" w:rsidP="000378DE">
            <w:pPr>
              <w:spacing w:line="256" w:lineRule="auto"/>
              <w:jc w:val="center"/>
            </w:pPr>
            <w:r>
              <w:t>19F</w:t>
            </w:r>
          </w:p>
        </w:tc>
        <w:tc>
          <w:tcPr>
            <w:tcW w:w="1185" w:type="dxa"/>
            <w:tcBorders>
              <w:top w:val="single" w:sz="4" w:space="0" w:color="000000"/>
              <w:left w:val="nil"/>
              <w:bottom w:val="single" w:sz="4" w:space="0" w:color="000000"/>
              <w:right w:val="nil"/>
            </w:tcBorders>
            <w:tcMar>
              <w:top w:w="100" w:type="dxa"/>
              <w:left w:w="100" w:type="dxa"/>
              <w:bottom w:w="100" w:type="dxa"/>
              <w:right w:w="100" w:type="dxa"/>
            </w:tcMar>
          </w:tcPr>
          <w:p w14:paraId="33EFF661" w14:textId="77777777" w:rsidR="00154DA0" w:rsidRDefault="00154DA0" w:rsidP="000378DE">
            <w:pPr>
              <w:spacing w:line="256" w:lineRule="auto"/>
              <w:jc w:val="center"/>
            </w:pPr>
            <w:r>
              <w:t>91.5 (62.0 - 120) days*</w:t>
            </w:r>
          </w:p>
        </w:tc>
        <w:tc>
          <w:tcPr>
            <w:tcW w:w="1290" w:type="dxa"/>
            <w:tcBorders>
              <w:top w:val="single" w:sz="4" w:space="0" w:color="000000"/>
              <w:left w:val="nil"/>
              <w:right w:val="nil"/>
            </w:tcBorders>
            <w:tcMar>
              <w:top w:w="100" w:type="dxa"/>
              <w:left w:w="100" w:type="dxa"/>
              <w:bottom w:w="100" w:type="dxa"/>
              <w:right w:w="100" w:type="dxa"/>
            </w:tcMar>
          </w:tcPr>
          <w:p w14:paraId="17CBC919" w14:textId="77777777" w:rsidR="00154DA0" w:rsidRDefault="00154DA0" w:rsidP="000378DE">
            <w:pPr>
              <w:spacing w:line="256" w:lineRule="auto"/>
              <w:jc w:val="center"/>
            </w:pPr>
            <w:r>
              <w:t>146</w:t>
            </w:r>
            <w:r>
              <w:rPr>
                <w:vertAlign w:val="superscript"/>
              </w:rPr>
              <w:t>b</w:t>
            </w:r>
          </w:p>
        </w:tc>
        <w:tc>
          <w:tcPr>
            <w:tcW w:w="1155" w:type="dxa"/>
            <w:tcBorders>
              <w:top w:val="single" w:sz="4" w:space="0" w:color="000000"/>
              <w:left w:val="nil"/>
              <w:bottom w:val="single" w:sz="4" w:space="0" w:color="000000"/>
              <w:right w:val="nil"/>
            </w:tcBorders>
            <w:tcMar>
              <w:top w:w="100" w:type="dxa"/>
              <w:left w:w="100" w:type="dxa"/>
              <w:bottom w:w="100" w:type="dxa"/>
              <w:right w:w="100" w:type="dxa"/>
            </w:tcMar>
          </w:tcPr>
          <w:p w14:paraId="7FEE8019" w14:textId="77777777" w:rsidR="00154DA0" w:rsidRDefault="00154DA0" w:rsidP="000378DE">
            <w:pPr>
              <w:spacing w:line="256" w:lineRule="auto"/>
            </w:pPr>
            <w:r>
              <w:t>Infants</w:t>
            </w:r>
          </w:p>
        </w:tc>
        <w:tc>
          <w:tcPr>
            <w:tcW w:w="1290" w:type="dxa"/>
            <w:tcBorders>
              <w:top w:val="single" w:sz="4" w:space="0" w:color="000000"/>
              <w:left w:val="nil"/>
              <w:bottom w:val="single" w:sz="4" w:space="0" w:color="000000"/>
              <w:right w:val="nil"/>
            </w:tcBorders>
            <w:tcMar>
              <w:top w:w="100" w:type="dxa"/>
              <w:left w:w="100" w:type="dxa"/>
              <w:bottom w:w="100" w:type="dxa"/>
              <w:right w:w="100" w:type="dxa"/>
            </w:tcMar>
          </w:tcPr>
          <w:p w14:paraId="7BB52BE0" w14:textId="77777777" w:rsidR="00154DA0" w:rsidRDefault="00154DA0" w:rsidP="000378DE">
            <w:pPr>
              <w:spacing w:line="256" w:lineRule="auto"/>
            </w:pPr>
            <w:r>
              <w:t>Turner et al.</w:t>
            </w:r>
          </w:p>
          <w:p w14:paraId="706126AF" w14:textId="77777777" w:rsidR="00154DA0" w:rsidRDefault="00154DA0" w:rsidP="000378DE">
            <w:pPr>
              <w:spacing w:line="256" w:lineRule="auto"/>
            </w:pPr>
            <w:r>
              <w:t>2012</w:t>
            </w:r>
            <w:hyperlink r:id="rId11">
              <w:r>
                <w:rPr>
                  <w:color w:val="000000"/>
                  <w:vertAlign w:val="superscript"/>
                </w:rPr>
                <w:t>11</w:t>
              </w:r>
            </w:hyperlink>
          </w:p>
        </w:tc>
      </w:tr>
      <w:tr w:rsidR="00154DA0" w14:paraId="0ADBAFFF" w14:textId="77777777" w:rsidTr="000378DE">
        <w:trPr>
          <w:trHeight w:val="1431"/>
        </w:trPr>
        <w:tc>
          <w:tcPr>
            <w:tcW w:w="1305" w:type="dxa"/>
            <w:tcBorders>
              <w:top w:val="single" w:sz="4" w:space="0" w:color="000000"/>
              <w:left w:val="nil"/>
              <w:bottom w:val="single" w:sz="4" w:space="0" w:color="000000"/>
              <w:right w:val="nil"/>
            </w:tcBorders>
            <w:tcMar>
              <w:top w:w="100" w:type="dxa"/>
              <w:left w:w="100" w:type="dxa"/>
              <w:bottom w:w="100" w:type="dxa"/>
              <w:right w:w="100" w:type="dxa"/>
            </w:tcMar>
          </w:tcPr>
          <w:p w14:paraId="19213B75" w14:textId="77777777" w:rsidR="00154DA0" w:rsidRDefault="00154DA0" w:rsidP="000378DE">
            <w:pPr>
              <w:spacing w:line="256" w:lineRule="auto"/>
              <w:rPr>
                <w:vertAlign w:val="superscript"/>
              </w:rPr>
            </w:pPr>
            <w:r>
              <w:t>South Africa</w:t>
            </w:r>
          </w:p>
        </w:tc>
        <w:tc>
          <w:tcPr>
            <w:tcW w:w="1335" w:type="dxa"/>
            <w:tcBorders>
              <w:top w:val="single" w:sz="4" w:space="0" w:color="000000"/>
              <w:left w:val="nil"/>
              <w:bottom w:val="single" w:sz="4" w:space="0" w:color="000000"/>
              <w:right w:val="nil"/>
            </w:tcBorders>
            <w:tcMar>
              <w:top w:w="100" w:type="dxa"/>
              <w:left w:w="100" w:type="dxa"/>
              <w:bottom w:w="100" w:type="dxa"/>
              <w:right w:w="100" w:type="dxa"/>
            </w:tcMar>
          </w:tcPr>
          <w:p w14:paraId="2AF2BD7D" w14:textId="77777777" w:rsidR="00154DA0" w:rsidRDefault="00154DA0" w:rsidP="000378DE">
            <w:pPr>
              <w:spacing w:line="256" w:lineRule="auto"/>
            </w:pPr>
            <w:r>
              <w:t>2012 - 2014</w:t>
            </w:r>
          </w:p>
          <w:p w14:paraId="3D5C30EA" w14:textId="77777777" w:rsidR="00154DA0" w:rsidRDefault="00154DA0" w:rsidP="000378DE">
            <w:pPr>
              <w:spacing w:line="256" w:lineRule="auto"/>
            </w:pPr>
          </w:p>
        </w:tc>
        <w:tc>
          <w:tcPr>
            <w:tcW w:w="1440" w:type="dxa"/>
            <w:tcBorders>
              <w:top w:val="single" w:sz="4" w:space="0" w:color="000000"/>
              <w:left w:val="nil"/>
              <w:bottom w:val="single" w:sz="4" w:space="0" w:color="000000"/>
              <w:right w:val="nil"/>
            </w:tcBorders>
            <w:tcMar>
              <w:top w:w="100" w:type="dxa"/>
              <w:left w:w="100" w:type="dxa"/>
              <w:bottom w:w="100" w:type="dxa"/>
              <w:right w:w="100" w:type="dxa"/>
            </w:tcMar>
          </w:tcPr>
          <w:p w14:paraId="14CD45F2" w14:textId="77777777" w:rsidR="00154DA0" w:rsidRDefault="00154DA0" w:rsidP="000378DE">
            <w:pPr>
              <w:spacing w:line="256" w:lineRule="auto"/>
            </w:pPr>
            <w:r>
              <w:t>Bi-weekly (1 year)</w:t>
            </w:r>
          </w:p>
          <w:p w14:paraId="22010C97" w14:textId="77777777" w:rsidR="00154DA0" w:rsidRDefault="00154DA0" w:rsidP="000378DE">
            <w:pPr>
              <w:spacing w:line="256" w:lineRule="auto"/>
            </w:pPr>
          </w:p>
        </w:tc>
        <w:tc>
          <w:tcPr>
            <w:tcW w:w="1260" w:type="dxa"/>
            <w:tcBorders>
              <w:top w:val="single" w:sz="4" w:space="0" w:color="000000"/>
              <w:left w:val="nil"/>
              <w:bottom w:val="single" w:sz="4" w:space="0" w:color="000000"/>
              <w:right w:val="nil"/>
            </w:tcBorders>
            <w:tcMar>
              <w:top w:w="100" w:type="dxa"/>
              <w:left w:w="100" w:type="dxa"/>
              <w:bottom w:w="100" w:type="dxa"/>
              <w:right w:w="100" w:type="dxa"/>
            </w:tcMar>
          </w:tcPr>
          <w:p w14:paraId="1D4CAEC3" w14:textId="77777777" w:rsidR="00154DA0" w:rsidRDefault="00154DA0" w:rsidP="000378DE">
            <w:pPr>
              <w:spacing w:line="256" w:lineRule="auto"/>
              <w:jc w:val="center"/>
            </w:pPr>
            <w:r>
              <w:t>6B</w:t>
            </w:r>
          </w:p>
        </w:tc>
        <w:tc>
          <w:tcPr>
            <w:tcW w:w="1185" w:type="dxa"/>
            <w:tcBorders>
              <w:top w:val="single" w:sz="4" w:space="0" w:color="000000"/>
              <w:left w:val="nil"/>
              <w:bottom w:val="single" w:sz="4" w:space="0" w:color="000000"/>
              <w:right w:val="nil"/>
            </w:tcBorders>
            <w:tcMar>
              <w:top w:w="100" w:type="dxa"/>
              <w:left w:w="100" w:type="dxa"/>
              <w:bottom w:w="100" w:type="dxa"/>
              <w:right w:w="100" w:type="dxa"/>
            </w:tcMar>
          </w:tcPr>
          <w:p w14:paraId="21D92145" w14:textId="77777777" w:rsidR="00154DA0" w:rsidRDefault="00154DA0" w:rsidP="000378DE">
            <w:pPr>
              <w:spacing w:line="256" w:lineRule="auto"/>
              <w:jc w:val="center"/>
            </w:pPr>
            <w:r>
              <w:t xml:space="preserve"> 56.37 (41.02 - 71.73) days*</w:t>
            </w:r>
          </w:p>
        </w:tc>
        <w:tc>
          <w:tcPr>
            <w:tcW w:w="1290" w:type="dxa"/>
            <w:tcBorders>
              <w:left w:val="nil"/>
              <w:bottom w:val="single" w:sz="4" w:space="0" w:color="000000"/>
              <w:right w:val="nil"/>
            </w:tcBorders>
            <w:tcMar>
              <w:top w:w="100" w:type="dxa"/>
              <w:left w:w="100" w:type="dxa"/>
              <w:bottom w:w="100" w:type="dxa"/>
              <w:right w:w="100" w:type="dxa"/>
            </w:tcMar>
          </w:tcPr>
          <w:p w14:paraId="21DE10E9" w14:textId="77777777" w:rsidR="00154DA0" w:rsidRDefault="00154DA0" w:rsidP="000378DE">
            <w:pPr>
              <w:spacing w:line="256" w:lineRule="auto"/>
              <w:jc w:val="center"/>
            </w:pPr>
            <w:r>
              <w:t>4</w:t>
            </w:r>
            <w:r>
              <w:rPr>
                <w:vertAlign w:val="superscript"/>
              </w:rPr>
              <w:t>b</w:t>
            </w:r>
          </w:p>
          <w:p w14:paraId="5F3B8100" w14:textId="77777777" w:rsidR="00154DA0" w:rsidRDefault="00154DA0" w:rsidP="000378DE">
            <w:pPr>
              <w:spacing w:line="256" w:lineRule="auto"/>
              <w:jc w:val="center"/>
            </w:pPr>
          </w:p>
        </w:tc>
        <w:tc>
          <w:tcPr>
            <w:tcW w:w="1155" w:type="dxa"/>
            <w:tcBorders>
              <w:top w:val="single" w:sz="4" w:space="0" w:color="000000"/>
              <w:left w:val="nil"/>
              <w:bottom w:val="single" w:sz="4" w:space="0" w:color="000000"/>
              <w:right w:val="nil"/>
            </w:tcBorders>
            <w:tcMar>
              <w:top w:w="100" w:type="dxa"/>
              <w:left w:w="100" w:type="dxa"/>
              <w:bottom w:w="100" w:type="dxa"/>
              <w:right w:w="100" w:type="dxa"/>
            </w:tcMar>
          </w:tcPr>
          <w:p w14:paraId="08D0CC59" w14:textId="77777777" w:rsidR="00154DA0" w:rsidRDefault="00154DA0" w:rsidP="000378DE">
            <w:pPr>
              <w:spacing w:line="256" w:lineRule="auto"/>
            </w:pPr>
            <w:r>
              <w:t>infants</w:t>
            </w:r>
          </w:p>
        </w:tc>
        <w:tc>
          <w:tcPr>
            <w:tcW w:w="1290" w:type="dxa"/>
            <w:tcBorders>
              <w:top w:val="single" w:sz="4" w:space="0" w:color="000000"/>
              <w:left w:val="nil"/>
              <w:bottom w:val="single" w:sz="4" w:space="0" w:color="000000"/>
              <w:right w:val="nil"/>
            </w:tcBorders>
            <w:tcMar>
              <w:top w:w="100" w:type="dxa"/>
              <w:left w:w="100" w:type="dxa"/>
              <w:bottom w:w="100" w:type="dxa"/>
              <w:right w:w="100" w:type="dxa"/>
            </w:tcMar>
          </w:tcPr>
          <w:p w14:paraId="4D3C22A9" w14:textId="77777777" w:rsidR="00154DA0" w:rsidRDefault="00154DA0" w:rsidP="000378DE">
            <w:pPr>
              <w:spacing w:line="256" w:lineRule="auto"/>
            </w:pPr>
            <w:r>
              <w:t>Dube et al.</w:t>
            </w:r>
          </w:p>
          <w:p w14:paraId="170A8D4E" w14:textId="77777777" w:rsidR="00154DA0" w:rsidRDefault="00154DA0" w:rsidP="000378DE">
            <w:pPr>
              <w:spacing w:line="256" w:lineRule="auto"/>
            </w:pPr>
            <w:r>
              <w:t>2018</w:t>
            </w:r>
            <w:hyperlink r:id="rId12">
              <w:r>
                <w:rPr>
                  <w:color w:val="000000"/>
                  <w:vertAlign w:val="superscript"/>
                </w:rPr>
                <w:t>17</w:t>
              </w:r>
            </w:hyperlink>
          </w:p>
        </w:tc>
      </w:tr>
      <w:tr w:rsidR="00154DA0" w14:paraId="04FFABC4" w14:textId="77777777" w:rsidTr="000378DE">
        <w:trPr>
          <w:trHeight w:val="1475"/>
        </w:trPr>
        <w:tc>
          <w:tcPr>
            <w:tcW w:w="1305" w:type="dxa"/>
            <w:tcBorders>
              <w:top w:val="single" w:sz="4" w:space="0" w:color="000000"/>
              <w:left w:val="nil"/>
              <w:bottom w:val="single" w:sz="4" w:space="0" w:color="000000"/>
              <w:right w:val="nil"/>
            </w:tcBorders>
            <w:tcMar>
              <w:top w:w="100" w:type="dxa"/>
              <w:left w:w="100" w:type="dxa"/>
              <w:bottom w:w="100" w:type="dxa"/>
              <w:right w:w="100" w:type="dxa"/>
            </w:tcMar>
          </w:tcPr>
          <w:p w14:paraId="28FB8821" w14:textId="77777777" w:rsidR="00154DA0" w:rsidRDefault="00154DA0" w:rsidP="000378DE">
            <w:pPr>
              <w:spacing w:line="256" w:lineRule="auto"/>
              <w:rPr>
                <w:vertAlign w:val="superscript"/>
              </w:rPr>
            </w:pPr>
            <w:r>
              <w:t>Gambia</w:t>
            </w:r>
          </w:p>
        </w:tc>
        <w:tc>
          <w:tcPr>
            <w:tcW w:w="1335" w:type="dxa"/>
            <w:tcBorders>
              <w:top w:val="single" w:sz="4" w:space="0" w:color="000000"/>
              <w:left w:val="nil"/>
              <w:bottom w:val="single" w:sz="4" w:space="0" w:color="000000"/>
              <w:right w:val="nil"/>
            </w:tcBorders>
            <w:tcMar>
              <w:top w:w="100" w:type="dxa"/>
              <w:left w:w="100" w:type="dxa"/>
              <w:bottom w:w="100" w:type="dxa"/>
              <w:right w:w="100" w:type="dxa"/>
            </w:tcMar>
          </w:tcPr>
          <w:p w14:paraId="54A22032" w14:textId="77777777" w:rsidR="00154DA0" w:rsidRDefault="00154DA0" w:rsidP="000378DE">
            <w:pPr>
              <w:spacing w:line="256" w:lineRule="auto"/>
            </w:pPr>
            <w:r>
              <w:t>2008 – 2009</w:t>
            </w:r>
          </w:p>
          <w:p w14:paraId="6AB9FF92" w14:textId="77777777" w:rsidR="00154DA0" w:rsidRDefault="00154DA0" w:rsidP="000378DE">
            <w:pPr>
              <w:spacing w:line="256" w:lineRule="auto"/>
            </w:pPr>
          </w:p>
        </w:tc>
        <w:tc>
          <w:tcPr>
            <w:tcW w:w="1440" w:type="dxa"/>
            <w:tcBorders>
              <w:top w:val="single" w:sz="4" w:space="0" w:color="000000"/>
              <w:left w:val="nil"/>
              <w:bottom w:val="single" w:sz="4" w:space="0" w:color="000000"/>
              <w:right w:val="nil"/>
            </w:tcBorders>
            <w:tcMar>
              <w:top w:w="100" w:type="dxa"/>
              <w:left w:w="100" w:type="dxa"/>
              <w:bottom w:w="100" w:type="dxa"/>
              <w:right w:w="100" w:type="dxa"/>
            </w:tcMar>
          </w:tcPr>
          <w:p w14:paraId="7C8E62F8" w14:textId="77777777" w:rsidR="00154DA0" w:rsidRDefault="00154DA0" w:rsidP="000378DE">
            <w:pPr>
              <w:spacing w:line="256" w:lineRule="auto"/>
            </w:pPr>
            <w:r>
              <w:t>Bi-weekly (~6 months)</w:t>
            </w:r>
          </w:p>
        </w:tc>
        <w:tc>
          <w:tcPr>
            <w:tcW w:w="1260" w:type="dxa"/>
            <w:tcBorders>
              <w:top w:val="single" w:sz="4" w:space="0" w:color="000000"/>
              <w:left w:val="nil"/>
              <w:bottom w:val="single" w:sz="4" w:space="0" w:color="000000"/>
              <w:right w:val="nil"/>
            </w:tcBorders>
            <w:tcMar>
              <w:top w:w="100" w:type="dxa"/>
              <w:left w:w="100" w:type="dxa"/>
              <w:bottom w:w="100" w:type="dxa"/>
              <w:right w:w="100" w:type="dxa"/>
            </w:tcMar>
          </w:tcPr>
          <w:p w14:paraId="7D77C99D" w14:textId="77777777" w:rsidR="00154DA0" w:rsidRDefault="00154DA0" w:rsidP="000378DE">
            <w:pPr>
              <w:spacing w:line="256" w:lineRule="auto"/>
              <w:jc w:val="center"/>
            </w:pPr>
            <w:r>
              <w:t>6B</w:t>
            </w:r>
          </w:p>
        </w:tc>
        <w:tc>
          <w:tcPr>
            <w:tcW w:w="1185" w:type="dxa"/>
            <w:tcBorders>
              <w:top w:val="single" w:sz="4" w:space="0" w:color="000000"/>
              <w:left w:val="nil"/>
              <w:bottom w:val="single" w:sz="4" w:space="0" w:color="000000"/>
              <w:right w:val="nil"/>
            </w:tcBorders>
            <w:tcMar>
              <w:top w:w="100" w:type="dxa"/>
              <w:left w:w="100" w:type="dxa"/>
              <w:bottom w:w="100" w:type="dxa"/>
              <w:right w:w="100" w:type="dxa"/>
            </w:tcMar>
          </w:tcPr>
          <w:p w14:paraId="777E803F" w14:textId="77777777" w:rsidR="00154DA0" w:rsidRDefault="00154DA0" w:rsidP="000378DE">
            <w:pPr>
              <w:spacing w:line="256" w:lineRule="auto"/>
              <w:jc w:val="center"/>
              <w:rPr>
                <w:color w:val="212121"/>
              </w:rPr>
            </w:pPr>
            <w:r>
              <w:t>85.85 (53.37 -  138.1) days</w:t>
            </w:r>
          </w:p>
        </w:tc>
        <w:tc>
          <w:tcPr>
            <w:tcW w:w="1290" w:type="dxa"/>
            <w:tcBorders>
              <w:top w:val="single" w:sz="4" w:space="0" w:color="000000"/>
              <w:left w:val="nil"/>
              <w:bottom w:val="single" w:sz="4" w:space="0" w:color="000000"/>
              <w:right w:val="nil"/>
            </w:tcBorders>
            <w:tcMar>
              <w:top w:w="100" w:type="dxa"/>
              <w:left w:w="100" w:type="dxa"/>
              <w:bottom w:w="100" w:type="dxa"/>
              <w:right w:w="100" w:type="dxa"/>
            </w:tcMar>
          </w:tcPr>
          <w:p w14:paraId="4B0AE699" w14:textId="77777777" w:rsidR="00154DA0" w:rsidRDefault="00154DA0" w:rsidP="000378DE">
            <w:pPr>
              <w:spacing w:line="256" w:lineRule="auto"/>
              <w:jc w:val="center"/>
            </w:pPr>
            <w:r>
              <w:t>17</w:t>
            </w:r>
            <w:r>
              <w:rPr>
                <w:vertAlign w:val="superscript"/>
              </w:rPr>
              <w:t>b</w:t>
            </w:r>
          </w:p>
        </w:tc>
        <w:tc>
          <w:tcPr>
            <w:tcW w:w="1155" w:type="dxa"/>
            <w:tcBorders>
              <w:top w:val="single" w:sz="4" w:space="0" w:color="000000"/>
              <w:left w:val="nil"/>
              <w:bottom w:val="single" w:sz="4" w:space="0" w:color="000000"/>
              <w:right w:val="nil"/>
            </w:tcBorders>
            <w:tcMar>
              <w:top w:w="100" w:type="dxa"/>
              <w:left w:w="100" w:type="dxa"/>
              <w:bottom w:w="100" w:type="dxa"/>
              <w:right w:w="100" w:type="dxa"/>
            </w:tcMar>
          </w:tcPr>
          <w:p w14:paraId="7C3D6334" w14:textId="77777777" w:rsidR="00154DA0" w:rsidRDefault="00154DA0" w:rsidP="000378DE">
            <w:pPr>
              <w:spacing w:line="256" w:lineRule="auto"/>
            </w:pPr>
            <w:r>
              <w:t>infants</w:t>
            </w:r>
          </w:p>
        </w:tc>
        <w:tc>
          <w:tcPr>
            <w:tcW w:w="1290" w:type="dxa"/>
            <w:tcBorders>
              <w:top w:val="single" w:sz="4" w:space="0" w:color="000000"/>
              <w:left w:val="nil"/>
              <w:bottom w:val="single" w:sz="4" w:space="0" w:color="000000"/>
              <w:right w:val="nil"/>
            </w:tcBorders>
            <w:tcMar>
              <w:top w:w="100" w:type="dxa"/>
              <w:left w:w="100" w:type="dxa"/>
              <w:bottom w:w="100" w:type="dxa"/>
              <w:right w:w="100" w:type="dxa"/>
            </w:tcMar>
          </w:tcPr>
          <w:p w14:paraId="5A13CA1C" w14:textId="77777777" w:rsidR="00154DA0" w:rsidRDefault="00154DA0" w:rsidP="000378DE">
            <w:pPr>
              <w:spacing w:line="256" w:lineRule="auto"/>
            </w:pPr>
            <w:r>
              <w:t>Chaguza et al.</w:t>
            </w:r>
          </w:p>
          <w:p w14:paraId="443D76B4" w14:textId="77777777" w:rsidR="00154DA0" w:rsidRDefault="00154DA0" w:rsidP="000378DE">
            <w:pPr>
              <w:spacing w:line="256" w:lineRule="auto"/>
            </w:pPr>
            <w:r>
              <w:t>2020</w:t>
            </w:r>
            <w:hyperlink r:id="rId13">
              <w:r>
                <w:rPr>
                  <w:color w:val="000000"/>
                  <w:vertAlign w:val="superscript"/>
                </w:rPr>
                <w:t>13</w:t>
              </w:r>
            </w:hyperlink>
          </w:p>
        </w:tc>
      </w:tr>
      <w:tr w:rsidR="00154DA0" w14:paraId="7CCA1CF0" w14:textId="77777777" w:rsidTr="000378DE">
        <w:trPr>
          <w:trHeight w:val="1440"/>
        </w:trPr>
        <w:tc>
          <w:tcPr>
            <w:tcW w:w="1305" w:type="dxa"/>
            <w:tcBorders>
              <w:top w:val="single" w:sz="4" w:space="0" w:color="000000"/>
              <w:left w:val="nil"/>
              <w:bottom w:val="single" w:sz="4" w:space="0" w:color="000000"/>
              <w:right w:val="nil"/>
            </w:tcBorders>
            <w:tcMar>
              <w:top w:w="100" w:type="dxa"/>
              <w:left w:w="100" w:type="dxa"/>
              <w:bottom w:w="100" w:type="dxa"/>
              <w:right w:w="100" w:type="dxa"/>
            </w:tcMar>
          </w:tcPr>
          <w:p w14:paraId="5F6D1F8B" w14:textId="77777777" w:rsidR="00154DA0" w:rsidRDefault="00154DA0" w:rsidP="000378DE">
            <w:pPr>
              <w:spacing w:line="256" w:lineRule="auto"/>
              <w:rPr>
                <w:vertAlign w:val="superscript"/>
              </w:rPr>
            </w:pPr>
            <w:r>
              <w:lastRenderedPageBreak/>
              <w:t>Portugal</w:t>
            </w:r>
          </w:p>
        </w:tc>
        <w:tc>
          <w:tcPr>
            <w:tcW w:w="1335" w:type="dxa"/>
            <w:tcBorders>
              <w:top w:val="single" w:sz="4" w:space="0" w:color="000000"/>
              <w:left w:val="nil"/>
              <w:bottom w:val="single" w:sz="4" w:space="0" w:color="000000"/>
              <w:right w:val="nil"/>
            </w:tcBorders>
            <w:tcMar>
              <w:top w:w="100" w:type="dxa"/>
              <w:left w:w="100" w:type="dxa"/>
              <w:bottom w:w="100" w:type="dxa"/>
              <w:right w:w="100" w:type="dxa"/>
            </w:tcMar>
          </w:tcPr>
          <w:p w14:paraId="7860112D" w14:textId="77777777" w:rsidR="00154DA0" w:rsidRDefault="00154DA0" w:rsidP="000378DE">
            <w:pPr>
              <w:spacing w:line="256" w:lineRule="auto"/>
            </w:pPr>
            <w:r>
              <w:t>2015 - 2016</w:t>
            </w:r>
          </w:p>
          <w:p w14:paraId="187FEAF4" w14:textId="77777777" w:rsidR="00154DA0" w:rsidRDefault="00154DA0" w:rsidP="000378DE">
            <w:pPr>
              <w:spacing w:line="256" w:lineRule="auto"/>
            </w:pPr>
          </w:p>
        </w:tc>
        <w:tc>
          <w:tcPr>
            <w:tcW w:w="1440" w:type="dxa"/>
            <w:tcBorders>
              <w:top w:val="single" w:sz="4" w:space="0" w:color="000000"/>
              <w:left w:val="nil"/>
              <w:bottom w:val="single" w:sz="4" w:space="0" w:color="000000"/>
              <w:right w:val="nil"/>
            </w:tcBorders>
            <w:tcMar>
              <w:top w:w="100" w:type="dxa"/>
              <w:left w:w="100" w:type="dxa"/>
              <w:bottom w:w="100" w:type="dxa"/>
              <w:right w:w="100" w:type="dxa"/>
            </w:tcMar>
          </w:tcPr>
          <w:p w14:paraId="7E655300" w14:textId="77777777" w:rsidR="00154DA0" w:rsidRDefault="00154DA0" w:rsidP="000378DE">
            <w:pPr>
              <w:spacing w:line="256" w:lineRule="auto"/>
            </w:pPr>
            <w:r>
              <w:rPr>
                <w:color w:val="212121"/>
                <w:highlight w:val="white"/>
              </w:rPr>
              <w:t xml:space="preserve">Monthly; weekly for carriers </w:t>
            </w:r>
            <w:r>
              <w:t>(6 months)</w:t>
            </w:r>
          </w:p>
        </w:tc>
        <w:tc>
          <w:tcPr>
            <w:tcW w:w="1260" w:type="dxa"/>
            <w:tcBorders>
              <w:top w:val="single" w:sz="4" w:space="0" w:color="000000"/>
              <w:left w:val="nil"/>
              <w:bottom w:val="single" w:sz="4" w:space="0" w:color="000000"/>
              <w:right w:val="nil"/>
            </w:tcBorders>
            <w:tcMar>
              <w:top w:w="100" w:type="dxa"/>
              <w:left w:w="100" w:type="dxa"/>
              <w:bottom w:w="100" w:type="dxa"/>
              <w:right w:w="100" w:type="dxa"/>
            </w:tcMar>
          </w:tcPr>
          <w:p w14:paraId="102E2854" w14:textId="77777777" w:rsidR="00154DA0" w:rsidRDefault="00154DA0" w:rsidP="000378DE">
            <w:pPr>
              <w:spacing w:line="256" w:lineRule="auto"/>
              <w:jc w:val="center"/>
            </w:pPr>
            <w:r>
              <w:t xml:space="preserve">19A </w:t>
            </w:r>
          </w:p>
        </w:tc>
        <w:tc>
          <w:tcPr>
            <w:tcW w:w="1185" w:type="dxa"/>
            <w:tcBorders>
              <w:top w:val="single" w:sz="4" w:space="0" w:color="000000"/>
              <w:left w:val="nil"/>
              <w:bottom w:val="single" w:sz="4" w:space="0" w:color="000000"/>
              <w:right w:val="nil"/>
            </w:tcBorders>
            <w:tcMar>
              <w:top w:w="100" w:type="dxa"/>
              <w:left w:w="100" w:type="dxa"/>
              <w:bottom w:w="100" w:type="dxa"/>
              <w:right w:w="100" w:type="dxa"/>
            </w:tcMar>
          </w:tcPr>
          <w:p w14:paraId="55CDE5C5" w14:textId="77777777" w:rsidR="00154DA0" w:rsidRDefault="00154DA0" w:rsidP="000378DE">
            <w:pPr>
              <w:spacing w:line="256" w:lineRule="auto"/>
              <w:jc w:val="center"/>
            </w:pPr>
            <w:r>
              <w:t>~126 days#</w:t>
            </w:r>
          </w:p>
          <w:p w14:paraId="56F4ACCD" w14:textId="77777777" w:rsidR="00154DA0" w:rsidRDefault="00154DA0" w:rsidP="000378DE">
            <w:pPr>
              <w:spacing w:line="256" w:lineRule="auto"/>
              <w:jc w:val="center"/>
            </w:pPr>
          </w:p>
        </w:tc>
        <w:tc>
          <w:tcPr>
            <w:tcW w:w="1290" w:type="dxa"/>
            <w:tcBorders>
              <w:top w:val="single" w:sz="4" w:space="0" w:color="000000"/>
              <w:left w:val="nil"/>
              <w:bottom w:val="single" w:sz="4" w:space="0" w:color="000000"/>
              <w:right w:val="nil"/>
            </w:tcBorders>
            <w:tcMar>
              <w:top w:w="100" w:type="dxa"/>
              <w:left w:w="100" w:type="dxa"/>
              <w:bottom w:w="100" w:type="dxa"/>
              <w:right w:w="100" w:type="dxa"/>
            </w:tcMar>
          </w:tcPr>
          <w:p w14:paraId="03962671" w14:textId="77777777" w:rsidR="00154DA0" w:rsidRDefault="00154DA0" w:rsidP="000378DE">
            <w:pPr>
              <w:spacing w:line="256" w:lineRule="auto"/>
              <w:jc w:val="center"/>
            </w:pPr>
            <w:r>
              <w:t>2</w:t>
            </w:r>
            <w:r>
              <w:rPr>
                <w:vertAlign w:val="superscript"/>
              </w:rPr>
              <w:t>b</w:t>
            </w:r>
          </w:p>
          <w:p w14:paraId="324D7B18" w14:textId="77777777" w:rsidR="00154DA0" w:rsidRDefault="00154DA0" w:rsidP="000378DE">
            <w:pPr>
              <w:spacing w:line="256" w:lineRule="auto"/>
              <w:jc w:val="center"/>
            </w:pPr>
          </w:p>
        </w:tc>
        <w:tc>
          <w:tcPr>
            <w:tcW w:w="1155" w:type="dxa"/>
            <w:tcBorders>
              <w:top w:val="single" w:sz="4" w:space="0" w:color="000000"/>
              <w:left w:val="nil"/>
              <w:bottom w:val="single" w:sz="4" w:space="0" w:color="000000"/>
              <w:right w:val="nil"/>
            </w:tcBorders>
            <w:tcMar>
              <w:top w:w="100" w:type="dxa"/>
              <w:left w:w="100" w:type="dxa"/>
              <w:bottom w:w="100" w:type="dxa"/>
              <w:right w:w="100" w:type="dxa"/>
            </w:tcMar>
          </w:tcPr>
          <w:p w14:paraId="61780A7A" w14:textId="77777777" w:rsidR="00154DA0" w:rsidRDefault="00154DA0" w:rsidP="000378DE">
            <w:pPr>
              <w:spacing w:line="256" w:lineRule="auto"/>
            </w:pPr>
            <w:r>
              <w:t>25 – 50 years</w:t>
            </w:r>
          </w:p>
        </w:tc>
        <w:tc>
          <w:tcPr>
            <w:tcW w:w="1290" w:type="dxa"/>
            <w:tcBorders>
              <w:top w:val="single" w:sz="4" w:space="0" w:color="000000"/>
              <w:left w:val="nil"/>
              <w:bottom w:val="single" w:sz="4" w:space="0" w:color="000000"/>
              <w:right w:val="nil"/>
            </w:tcBorders>
            <w:tcMar>
              <w:top w:w="100" w:type="dxa"/>
              <w:left w:w="100" w:type="dxa"/>
              <w:bottom w:w="100" w:type="dxa"/>
              <w:right w:w="100" w:type="dxa"/>
            </w:tcMar>
          </w:tcPr>
          <w:p w14:paraId="5536E474" w14:textId="77777777" w:rsidR="00154DA0" w:rsidRDefault="00154DA0" w:rsidP="000378DE">
            <w:pPr>
              <w:spacing w:line="256" w:lineRule="auto"/>
            </w:pPr>
            <w:r>
              <w:t>Almeida et al.</w:t>
            </w:r>
          </w:p>
          <w:p w14:paraId="35E712D4" w14:textId="77777777" w:rsidR="00154DA0" w:rsidRDefault="00154DA0" w:rsidP="000378DE">
            <w:pPr>
              <w:spacing w:line="256" w:lineRule="auto"/>
            </w:pPr>
            <w:r>
              <w:t>2021</w:t>
            </w:r>
            <w:hyperlink r:id="rId14">
              <w:r>
                <w:rPr>
                  <w:color w:val="000000"/>
                  <w:vertAlign w:val="superscript"/>
                </w:rPr>
                <w:t>18</w:t>
              </w:r>
            </w:hyperlink>
          </w:p>
        </w:tc>
      </w:tr>
    </w:tbl>
    <w:p w14:paraId="70C51FCA" w14:textId="77777777" w:rsidR="00154DA0" w:rsidRDefault="00154DA0" w:rsidP="00154DA0">
      <w:pPr>
        <w:spacing w:line="256" w:lineRule="auto"/>
        <w:rPr>
          <w:sz w:val="24"/>
          <w:szCs w:val="24"/>
        </w:rPr>
      </w:pPr>
      <w:r>
        <w:rPr>
          <w:sz w:val="24"/>
          <w:szCs w:val="24"/>
        </w:rPr>
        <w:t>#The estimates are in terms of the observed rather than median carriage duration</w:t>
      </w:r>
    </w:p>
    <w:p w14:paraId="55618B48" w14:textId="77777777" w:rsidR="00154DA0" w:rsidRDefault="00154DA0" w:rsidP="00154DA0">
      <w:pPr>
        <w:spacing w:line="256" w:lineRule="auto"/>
        <w:rPr>
          <w:sz w:val="24"/>
          <w:szCs w:val="24"/>
        </w:rPr>
      </w:pPr>
      <w:r>
        <w:rPr>
          <w:sz w:val="24"/>
          <w:szCs w:val="24"/>
        </w:rPr>
        <w:t>*Mean carriage duration (95% CI)</w:t>
      </w:r>
    </w:p>
    <w:p w14:paraId="1A292F96" w14:textId="77777777" w:rsidR="00154DA0" w:rsidRDefault="00154DA0" w:rsidP="00154DA0">
      <w:pPr>
        <w:spacing w:line="256" w:lineRule="auto"/>
        <w:rPr>
          <w:sz w:val="24"/>
          <w:szCs w:val="24"/>
        </w:rPr>
      </w:pPr>
      <w:r>
        <w:rPr>
          <w:sz w:val="24"/>
          <w:szCs w:val="24"/>
          <w:vertAlign w:val="superscript"/>
        </w:rPr>
        <w:t xml:space="preserve">a </w:t>
      </w:r>
      <w:r>
        <w:rPr>
          <w:sz w:val="24"/>
          <w:szCs w:val="24"/>
        </w:rPr>
        <w:t>Carriage episodes were defined as the date on which the last swab positive was collected and the date on which the first swab with a negative or other result was collected. Those that did not clear were right censored at the date on which the last swab positive for that serotype was collected.</w:t>
      </w:r>
    </w:p>
    <w:p w14:paraId="39134C95" w14:textId="77777777" w:rsidR="00154DA0" w:rsidRDefault="00154DA0" w:rsidP="00154DA0">
      <w:pPr>
        <w:spacing w:line="256" w:lineRule="auto"/>
        <w:rPr>
          <w:sz w:val="24"/>
          <w:szCs w:val="24"/>
        </w:rPr>
      </w:pPr>
      <w:r>
        <w:rPr>
          <w:sz w:val="24"/>
          <w:szCs w:val="24"/>
          <w:vertAlign w:val="superscript"/>
        </w:rPr>
        <w:t>b</w:t>
      </w:r>
      <w:r>
        <w:rPr>
          <w:sz w:val="24"/>
          <w:szCs w:val="24"/>
        </w:rPr>
        <w:t>Carriage episodes were defined as the midpoint between the last negative swab and the first positive swab for the serotype. Clearance of the serotype from the nasopharynx was considered to have occurred when two consecutive swabs were culture-negative for that serotype. Termination of the carriage episode was defined as the midpoint between the last positive swab and the first negative swab for serotype.</w:t>
      </w:r>
    </w:p>
    <w:p w14:paraId="346DC7B9" w14:textId="77777777" w:rsidR="00154DA0" w:rsidRDefault="00154DA0" w:rsidP="00154DA0">
      <w:pPr>
        <w:spacing w:line="256" w:lineRule="auto"/>
        <w:rPr>
          <w:sz w:val="24"/>
          <w:szCs w:val="24"/>
        </w:rPr>
      </w:pPr>
      <w:r>
        <w:br w:type="page"/>
      </w:r>
    </w:p>
    <w:p w14:paraId="7293C4A5" w14:textId="77777777" w:rsidR="00154DA0" w:rsidRDefault="00154DA0" w:rsidP="00154DA0">
      <w:pPr>
        <w:rPr>
          <w:sz w:val="24"/>
          <w:szCs w:val="24"/>
        </w:rPr>
      </w:pPr>
      <w:r>
        <w:rPr>
          <w:b/>
          <w:sz w:val="24"/>
          <w:szCs w:val="24"/>
        </w:rPr>
        <w:lastRenderedPageBreak/>
        <w:t>Supplementary Table 2:</w:t>
      </w:r>
      <w:r>
        <w:rPr>
          <w:b/>
          <w:i/>
          <w:sz w:val="24"/>
          <w:szCs w:val="24"/>
        </w:rPr>
        <w:t xml:space="preserve"> </w:t>
      </w:r>
      <w:r>
        <w:rPr>
          <w:sz w:val="24"/>
          <w:szCs w:val="24"/>
        </w:rPr>
        <w:t>Characteristics of the participants with persistent carriage.</w:t>
      </w:r>
    </w:p>
    <w:tbl>
      <w:tblPr>
        <w:tblW w:w="9360" w:type="dxa"/>
        <w:tblLayout w:type="fixed"/>
        <w:tblLook w:val="0600" w:firstRow="0" w:lastRow="0" w:firstColumn="0" w:lastColumn="0" w:noHBand="1" w:noVBand="1"/>
      </w:tblPr>
      <w:tblGrid>
        <w:gridCol w:w="5265"/>
        <w:gridCol w:w="4095"/>
      </w:tblGrid>
      <w:tr w:rsidR="00154DA0" w14:paraId="4E629CF8" w14:textId="77777777" w:rsidTr="000378DE">
        <w:trPr>
          <w:trHeight w:val="540"/>
        </w:trPr>
        <w:tc>
          <w:tcPr>
            <w:tcW w:w="5265" w:type="dxa"/>
            <w:tcBorders>
              <w:top w:val="single" w:sz="5" w:space="0" w:color="000000"/>
              <w:left w:val="nil"/>
              <w:bottom w:val="single" w:sz="5" w:space="0" w:color="000000"/>
              <w:right w:val="single" w:sz="5" w:space="0" w:color="FFFFFF"/>
            </w:tcBorders>
            <w:tcMar>
              <w:top w:w="0" w:type="dxa"/>
              <w:left w:w="100" w:type="dxa"/>
              <w:bottom w:w="0" w:type="dxa"/>
              <w:right w:w="100" w:type="dxa"/>
            </w:tcMar>
          </w:tcPr>
          <w:p w14:paraId="29EBCFE0" w14:textId="77777777" w:rsidR="00154DA0" w:rsidRDefault="00154DA0" w:rsidP="000378DE">
            <w:pPr>
              <w:spacing w:line="360" w:lineRule="auto"/>
              <w:rPr>
                <w:b/>
                <w:sz w:val="24"/>
                <w:szCs w:val="24"/>
              </w:rPr>
            </w:pPr>
            <w:r>
              <w:rPr>
                <w:b/>
                <w:sz w:val="24"/>
                <w:szCs w:val="24"/>
              </w:rPr>
              <w:t>Characteristic</w:t>
            </w:r>
          </w:p>
        </w:tc>
        <w:tc>
          <w:tcPr>
            <w:tcW w:w="4095" w:type="dxa"/>
            <w:tcBorders>
              <w:top w:val="single" w:sz="5" w:space="0" w:color="000000"/>
              <w:left w:val="single" w:sz="5" w:space="0" w:color="FFFFFF"/>
              <w:bottom w:val="single" w:sz="5" w:space="0" w:color="000000"/>
              <w:right w:val="nil"/>
            </w:tcBorders>
            <w:tcMar>
              <w:top w:w="0" w:type="dxa"/>
              <w:left w:w="100" w:type="dxa"/>
              <w:bottom w:w="0" w:type="dxa"/>
              <w:right w:w="100" w:type="dxa"/>
            </w:tcMar>
          </w:tcPr>
          <w:p w14:paraId="5692876F" w14:textId="77777777" w:rsidR="00154DA0" w:rsidRDefault="00154DA0" w:rsidP="000378DE">
            <w:pPr>
              <w:spacing w:line="360" w:lineRule="auto"/>
              <w:rPr>
                <w:b/>
                <w:sz w:val="24"/>
                <w:szCs w:val="24"/>
              </w:rPr>
            </w:pPr>
            <w:r>
              <w:rPr>
                <w:b/>
                <w:sz w:val="24"/>
                <w:szCs w:val="24"/>
              </w:rPr>
              <w:t xml:space="preserve"> </w:t>
            </w:r>
          </w:p>
        </w:tc>
      </w:tr>
      <w:tr w:rsidR="00154DA0" w14:paraId="770FDA6C" w14:textId="77777777" w:rsidTr="000378DE">
        <w:trPr>
          <w:trHeight w:val="540"/>
        </w:trPr>
        <w:tc>
          <w:tcPr>
            <w:tcW w:w="5265" w:type="dxa"/>
            <w:tcBorders>
              <w:top w:val="nil"/>
              <w:left w:val="nil"/>
              <w:bottom w:val="single" w:sz="5" w:space="0" w:color="000000"/>
              <w:right w:val="single" w:sz="5" w:space="0" w:color="FFFFFF"/>
            </w:tcBorders>
            <w:tcMar>
              <w:top w:w="0" w:type="dxa"/>
              <w:left w:w="100" w:type="dxa"/>
              <w:bottom w:w="0" w:type="dxa"/>
              <w:right w:w="100" w:type="dxa"/>
            </w:tcMar>
          </w:tcPr>
          <w:p w14:paraId="382CA24C" w14:textId="77777777" w:rsidR="00154DA0" w:rsidRDefault="00154DA0" w:rsidP="000378DE">
            <w:pPr>
              <w:spacing w:line="360" w:lineRule="auto"/>
              <w:rPr>
                <w:sz w:val="24"/>
                <w:szCs w:val="24"/>
              </w:rPr>
            </w:pPr>
            <w:r>
              <w:rPr>
                <w:sz w:val="24"/>
                <w:szCs w:val="24"/>
              </w:rPr>
              <w:t>Sex</w:t>
            </w:r>
          </w:p>
        </w:tc>
        <w:tc>
          <w:tcPr>
            <w:tcW w:w="4095" w:type="dxa"/>
            <w:tcBorders>
              <w:top w:val="nil"/>
              <w:left w:val="single" w:sz="5" w:space="0" w:color="FFFFFF"/>
              <w:bottom w:val="single" w:sz="5" w:space="0" w:color="000000"/>
              <w:right w:val="nil"/>
            </w:tcBorders>
            <w:tcMar>
              <w:top w:w="0" w:type="dxa"/>
              <w:left w:w="100" w:type="dxa"/>
              <w:bottom w:w="0" w:type="dxa"/>
              <w:right w:w="100" w:type="dxa"/>
            </w:tcMar>
          </w:tcPr>
          <w:p w14:paraId="235B0D09" w14:textId="77777777" w:rsidR="00154DA0" w:rsidRDefault="00154DA0" w:rsidP="000378DE">
            <w:pPr>
              <w:spacing w:line="360" w:lineRule="auto"/>
              <w:rPr>
                <w:sz w:val="24"/>
                <w:szCs w:val="24"/>
              </w:rPr>
            </w:pPr>
            <w:r>
              <w:rPr>
                <w:sz w:val="24"/>
                <w:szCs w:val="24"/>
              </w:rPr>
              <w:t>Female</w:t>
            </w:r>
          </w:p>
        </w:tc>
      </w:tr>
      <w:tr w:rsidR="00154DA0" w14:paraId="7AB28808" w14:textId="77777777" w:rsidTr="000378DE">
        <w:trPr>
          <w:trHeight w:val="540"/>
        </w:trPr>
        <w:tc>
          <w:tcPr>
            <w:tcW w:w="5265" w:type="dxa"/>
            <w:tcBorders>
              <w:top w:val="nil"/>
              <w:left w:val="nil"/>
              <w:bottom w:val="single" w:sz="5" w:space="0" w:color="000000"/>
              <w:right w:val="single" w:sz="5" w:space="0" w:color="FFFFFF"/>
            </w:tcBorders>
            <w:tcMar>
              <w:top w:w="0" w:type="dxa"/>
              <w:left w:w="100" w:type="dxa"/>
              <w:bottom w:w="0" w:type="dxa"/>
              <w:right w:w="100" w:type="dxa"/>
            </w:tcMar>
          </w:tcPr>
          <w:p w14:paraId="363B5E5E" w14:textId="77777777" w:rsidR="00154DA0" w:rsidRDefault="00154DA0" w:rsidP="000378DE">
            <w:pPr>
              <w:spacing w:line="360" w:lineRule="auto"/>
              <w:rPr>
                <w:sz w:val="24"/>
                <w:szCs w:val="24"/>
              </w:rPr>
            </w:pPr>
            <w:r>
              <w:rPr>
                <w:sz w:val="24"/>
                <w:szCs w:val="24"/>
              </w:rPr>
              <w:t>Age</w:t>
            </w:r>
          </w:p>
        </w:tc>
        <w:tc>
          <w:tcPr>
            <w:tcW w:w="4095" w:type="dxa"/>
            <w:tcBorders>
              <w:top w:val="nil"/>
              <w:left w:val="single" w:sz="5" w:space="0" w:color="FFFFFF"/>
              <w:bottom w:val="single" w:sz="5" w:space="0" w:color="000000"/>
              <w:right w:val="nil"/>
            </w:tcBorders>
            <w:tcMar>
              <w:top w:w="0" w:type="dxa"/>
              <w:left w:w="100" w:type="dxa"/>
              <w:bottom w:w="0" w:type="dxa"/>
              <w:right w:w="100" w:type="dxa"/>
            </w:tcMar>
          </w:tcPr>
          <w:p w14:paraId="1E9FFCD0" w14:textId="77777777" w:rsidR="00154DA0" w:rsidRDefault="00154DA0" w:rsidP="000378DE">
            <w:pPr>
              <w:spacing w:line="360" w:lineRule="auto"/>
              <w:rPr>
                <w:sz w:val="24"/>
                <w:szCs w:val="24"/>
              </w:rPr>
            </w:pPr>
            <w:r>
              <w:rPr>
                <w:sz w:val="24"/>
                <w:szCs w:val="24"/>
              </w:rPr>
              <w:t>30</w:t>
            </w:r>
          </w:p>
        </w:tc>
      </w:tr>
      <w:tr w:rsidR="00154DA0" w14:paraId="4CE74123" w14:textId="77777777" w:rsidTr="000378DE">
        <w:trPr>
          <w:trHeight w:val="540"/>
        </w:trPr>
        <w:tc>
          <w:tcPr>
            <w:tcW w:w="5265" w:type="dxa"/>
            <w:tcBorders>
              <w:top w:val="nil"/>
              <w:left w:val="nil"/>
              <w:bottom w:val="single" w:sz="5" w:space="0" w:color="000000"/>
              <w:right w:val="single" w:sz="5" w:space="0" w:color="FFFFFF"/>
            </w:tcBorders>
            <w:tcMar>
              <w:top w:w="0" w:type="dxa"/>
              <w:left w:w="100" w:type="dxa"/>
              <w:bottom w:w="0" w:type="dxa"/>
              <w:right w:w="100" w:type="dxa"/>
            </w:tcMar>
          </w:tcPr>
          <w:p w14:paraId="2E199E42" w14:textId="77777777" w:rsidR="00154DA0" w:rsidRDefault="00154DA0" w:rsidP="000378DE">
            <w:pPr>
              <w:spacing w:line="360" w:lineRule="auto"/>
              <w:rPr>
                <w:sz w:val="24"/>
                <w:szCs w:val="24"/>
              </w:rPr>
            </w:pPr>
            <w:r>
              <w:rPr>
                <w:sz w:val="24"/>
                <w:szCs w:val="24"/>
              </w:rPr>
              <w:t>HIV status</w:t>
            </w:r>
          </w:p>
        </w:tc>
        <w:tc>
          <w:tcPr>
            <w:tcW w:w="4095" w:type="dxa"/>
            <w:tcBorders>
              <w:top w:val="nil"/>
              <w:left w:val="single" w:sz="5" w:space="0" w:color="FFFFFF"/>
              <w:bottom w:val="single" w:sz="5" w:space="0" w:color="000000"/>
              <w:right w:val="nil"/>
            </w:tcBorders>
            <w:tcMar>
              <w:top w:w="0" w:type="dxa"/>
              <w:left w:w="100" w:type="dxa"/>
              <w:bottom w:w="0" w:type="dxa"/>
              <w:right w:w="100" w:type="dxa"/>
            </w:tcMar>
          </w:tcPr>
          <w:p w14:paraId="27D90D7D" w14:textId="77777777" w:rsidR="00154DA0" w:rsidRDefault="00154DA0" w:rsidP="000378DE">
            <w:pPr>
              <w:spacing w:line="360" w:lineRule="auto"/>
              <w:rPr>
                <w:sz w:val="24"/>
                <w:szCs w:val="24"/>
              </w:rPr>
            </w:pPr>
            <w:r>
              <w:rPr>
                <w:sz w:val="24"/>
                <w:szCs w:val="24"/>
              </w:rPr>
              <w:t>HIV-uninfected</w:t>
            </w:r>
          </w:p>
        </w:tc>
      </w:tr>
      <w:tr w:rsidR="00154DA0" w14:paraId="4968EF5E" w14:textId="77777777" w:rsidTr="000378DE">
        <w:trPr>
          <w:trHeight w:val="540"/>
        </w:trPr>
        <w:tc>
          <w:tcPr>
            <w:tcW w:w="5265" w:type="dxa"/>
            <w:tcBorders>
              <w:top w:val="nil"/>
              <w:left w:val="nil"/>
              <w:bottom w:val="single" w:sz="5" w:space="0" w:color="000000"/>
              <w:right w:val="single" w:sz="5" w:space="0" w:color="FFFFFF"/>
            </w:tcBorders>
            <w:tcMar>
              <w:top w:w="0" w:type="dxa"/>
              <w:left w:w="100" w:type="dxa"/>
              <w:bottom w:w="0" w:type="dxa"/>
              <w:right w:w="100" w:type="dxa"/>
            </w:tcMar>
          </w:tcPr>
          <w:p w14:paraId="5EBAB58D" w14:textId="77777777" w:rsidR="00154DA0" w:rsidRDefault="00154DA0" w:rsidP="000378DE">
            <w:pPr>
              <w:spacing w:line="360" w:lineRule="auto"/>
              <w:rPr>
                <w:sz w:val="24"/>
                <w:szCs w:val="24"/>
              </w:rPr>
            </w:pPr>
            <w:r>
              <w:rPr>
                <w:sz w:val="24"/>
                <w:szCs w:val="24"/>
              </w:rPr>
              <w:t>CD4 count (Cells/μl) median (IQR)</w:t>
            </w:r>
          </w:p>
        </w:tc>
        <w:tc>
          <w:tcPr>
            <w:tcW w:w="4095" w:type="dxa"/>
            <w:tcBorders>
              <w:top w:val="nil"/>
              <w:left w:val="single" w:sz="5" w:space="0" w:color="FFFFFF"/>
              <w:bottom w:val="single" w:sz="5" w:space="0" w:color="000000"/>
              <w:right w:val="nil"/>
            </w:tcBorders>
            <w:tcMar>
              <w:top w:w="0" w:type="dxa"/>
              <w:left w:w="100" w:type="dxa"/>
              <w:bottom w:w="0" w:type="dxa"/>
              <w:right w:w="100" w:type="dxa"/>
            </w:tcMar>
          </w:tcPr>
          <w:p w14:paraId="3BD3DA42" w14:textId="77777777" w:rsidR="00154DA0" w:rsidRDefault="00154DA0" w:rsidP="000378DE">
            <w:pPr>
              <w:spacing w:line="360" w:lineRule="auto"/>
              <w:rPr>
                <w:sz w:val="24"/>
                <w:szCs w:val="24"/>
              </w:rPr>
            </w:pPr>
            <w:r>
              <w:rPr>
                <w:sz w:val="24"/>
                <w:szCs w:val="24"/>
              </w:rPr>
              <w:t>670.5 (521.5-752)</w:t>
            </w:r>
          </w:p>
        </w:tc>
      </w:tr>
      <w:tr w:rsidR="00154DA0" w14:paraId="220E5178" w14:textId="77777777" w:rsidTr="000378DE">
        <w:trPr>
          <w:trHeight w:val="540"/>
        </w:trPr>
        <w:tc>
          <w:tcPr>
            <w:tcW w:w="5265" w:type="dxa"/>
            <w:tcBorders>
              <w:top w:val="nil"/>
              <w:left w:val="nil"/>
              <w:bottom w:val="single" w:sz="5" w:space="0" w:color="000000"/>
              <w:right w:val="single" w:sz="5" w:space="0" w:color="FFFFFF"/>
            </w:tcBorders>
            <w:tcMar>
              <w:top w:w="0" w:type="dxa"/>
              <w:left w:w="100" w:type="dxa"/>
              <w:bottom w:w="0" w:type="dxa"/>
              <w:right w:w="100" w:type="dxa"/>
            </w:tcMar>
          </w:tcPr>
          <w:p w14:paraId="59B3B75F" w14:textId="77777777" w:rsidR="00154DA0" w:rsidRDefault="00154DA0" w:rsidP="000378DE">
            <w:pPr>
              <w:spacing w:line="360" w:lineRule="auto"/>
              <w:rPr>
                <w:sz w:val="24"/>
                <w:szCs w:val="24"/>
              </w:rPr>
            </w:pPr>
            <w:r>
              <w:rPr>
                <w:sz w:val="24"/>
                <w:szCs w:val="24"/>
              </w:rPr>
              <w:t>Number of under 5 children</w:t>
            </w:r>
          </w:p>
        </w:tc>
        <w:tc>
          <w:tcPr>
            <w:tcW w:w="4095" w:type="dxa"/>
            <w:tcBorders>
              <w:top w:val="nil"/>
              <w:left w:val="single" w:sz="5" w:space="0" w:color="FFFFFF"/>
              <w:bottom w:val="single" w:sz="5" w:space="0" w:color="000000"/>
              <w:right w:val="nil"/>
            </w:tcBorders>
            <w:tcMar>
              <w:top w:w="0" w:type="dxa"/>
              <w:left w:w="100" w:type="dxa"/>
              <w:bottom w:w="0" w:type="dxa"/>
              <w:right w:w="100" w:type="dxa"/>
            </w:tcMar>
          </w:tcPr>
          <w:p w14:paraId="5E8EA9A0" w14:textId="77777777" w:rsidR="00154DA0" w:rsidRDefault="00154DA0" w:rsidP="000378DE">
            <w:pPr>
              <w:spacing w:line="360" w:lineRule="auto"/>
              <w:rPr>
                <w:sz w:val="24"/>
                <w:szCs w:val="24"/>
              </w:rPr>
            </w:pPr>
            <w:r>
              <w:rPr>
                <w:sz w:val="24"/>
                <w:szCs w:val="24"/>
              </w:rPr>
              <w:t>1</w:t>
            </w:r>
          </w:p>
        </w:tc>
      </w:tr>
      <w:tr w:rsidR="00154DA0" w14:paraId="5B04C2BA" w14:textId="77777777" w:rsidTr="000378DE">
        <w:trPr>
          <w:trHeight w:val="540"/>
        </w:trPr>
        <w:tc>
          <w:tcPr>
            <w:tcW w:w="5265" w:type="dxa"/>
            <w:tcBorders>
              <w:top w:val="nil"/>
              <w:left w:val="nil"/>
              <w:bottom w:val="single" w:sz="5" w:space="0" w:color="000000"/>
              <w:right w:val="single" w:sz="5" w:space="0" w:color="FFFFFF"/>
            </w:tcBorders>
            <w:tcMar>
              <w:top w:w="0" w:type="dxa"/>
              <w:left w:w="100" w:type="dxa"/>
              <w:bottom w:w="0" w:type="dxa"/>
              <w:right w:w="100" w:type="dxa"/>
            </w:tcMar>
          </w:tcPr>
          <w:p w14:paraId="1A58231E" w14:textId="77777777" w:rsidR="00154DA0" w:rsidRDefault="00154DA0" w:rsidP="000378DE">
            <w:pPr>
              <w:spacing w:line="360" w:lineRule="auto"/>
              <w:rPr>
                <w:sz w:val="24"/>
                <w:szCs w:val="24"/>
              </w:rPr>
            </w:pPr>
            <w:r>
              <w:rPr>
                <w:sz w:val="24"/>
                <w:szCs w:val="24"/>
              </w:rPr>
              <w:t>Socioeconomic status*</w:t>
            </w:r>
          </w:p>
        </w:tc>
        <w:tc>
          <w:tcPr>
            <w:tcW w:w="4095" w:type="dxa"/>
            <w:tcBorders>
              <w:top w:val="nil"/>
              <w:left w:val="single" w:sz="5" w:space="0" w:color="FFFFFF"/>
              <w:bottom w:val="single" w:sz="5" w:space="0" w:color="000000"/>
              <w:right w:val="nil"/>
            </w:tcBorders>
            <w:tcMar>
              <w:top w:w="0" w:type="dxa"/>
              <w:left w:w="100" w:type="dxa"/>
              <w:bottom w:w="0" w:type="dxa"/>
              <w:right w:w="100" w:type="dxa"/>
            </w:tcMar>
          </w:tcPr>
          <w:p w14:paraId="4247E40E" w14:textId="77777777" w:rsidR="00154DA0" w:rsidRDefault="00154DA0" w:rsidP="000378DE">
            <w:pPr>
              <w:spacing w:line="360" w:lineRule="auto"/>
              <w:rPr>
                <w:sz w:val="24"/>
                <w:szCs w:val="24"/>
              </w:rPr>
            </w:pPr>
            <w:r>
              <w:rPr>
                <w:sz w:val="24"/>
                <w:szCs w:val="24"/>
              </w:rPr>
              <w:t>2 (Low)</w:t>
            </w:r>
          </w:p>
        </w:tc>
      </w:tr>
      <w:tr w:rsidR="00154DA0" w14:paraId="3153BAE0" w14:textId="77777777" w:rsidTr="000378DE">
        <w:trPr>
          <w:trHeight w:val="540"/>
        </w:trPr>
        <w:tc>
          <w:tcPr>
            <w:tcW w:w="5265" w:type="dxa"/>
            <w:tcBorders>
              <w:top w:val="nil"/>
              <w:left w:val="nil"/>
              <w:bottom w:val="single" w:sz="5" w:space="0" w:color="000000"/>
              <w:right w:val="single" w:sz="5" w:space="0" w:color="FFFFFF"/>
            </w:tcBorders>
            <w:tcMar>
              <w:top w:w="0" w:type="dxa"/>
              <w:left w:w="100" w:type="dxa"/>
              <w:bottom w:w="0" w:type="dxa"/>
              <w:right w:w="100" w:type="dxa"/>
            </w:tcMar>
          </w:tcPr>
          <w:p w14:paraId="60AF4B03" w14:textId="77777777" w:rsidR="00154DA0" w:rsidRDefault="00154DA0" w:rsidP="000378DE">
            <w:pPr>
              <w:spacing w:line="360" w:lineRule="auto"/>
              <w:rPr>
                <w:sz w:val="24"/>
                <w:szCs w:val="24"/>
              </w:rPr>
            </w:pPr>
            <w:r>
              <w:rPr>
                <w:sz w:val="24"/>
                <w:szCs w:val="24"/>
              </w:rPr>
              <w:t>Antibiotic intake (second week of follow-up only)</w:t>
            </w:r>
          </w:p>
        </w:tc>
        <w:tc>
          <w:tcPr>
            <w:tcW w:w="4095" w:type="dxa"/>
            <w:tcBorders>
              <w:top w:val="nil"/>
              <w:left w:val="single" w:sz="5" w:space="0" w:color="FFFFFF"/>
              <w:bottom w:val="single" w:sz="5" w:space="0" w:color="000000"/>
              <w:right w:val="nil"/>
            </w:tcBorders>
            <w:tcMar>
              <w:top w:w="0" w:type="dxa"/>
              <w:left w:w="100" w:type="dxa"/>
              <w:bottom w:w="0" w:type="dxa"/>
              <w:right w:w="100" w:type="dxa"/>
            </w:tcMar>
          </w:tcPr>
          <w:p w14:paraId="3FDD8C14" w14:textId="77777777" w:rsidR="00154DA0" w:rsidRDefault="00154DA0" w:rsidP="000378DE">
            <w:pPr>
              <w:spacing w:line="360" w:lineRule="auto"/>
              <w:rPr>
                <w:sz w:val="24"/>
                <w:szCs w:val="24"/>
              </w:rPr>
            </w:pPr>
            <w:r>
              <w:rPr>
                <w:sz w:val="24"/>
                <w:szCs w:val="24"/>
              </w:rPr>
              <w:t>1 (amoxicillin and metronidazole)</w:t>
            </w:r>
          </w:p>
        </w:tc>
      </w:tr>
      <w:tr w:rsidR="00154DA0" w14:paraId="3981FCE4" w14:textId="77777777" w:rsidTr="000378DE">
        <w:trPr>
          <w:trHeight w:val="540"/>
        </w:trPr>
        <w:tc>
          <w:tcPr>
            <w:tcW w:w="5265" w:type="dxa"/>
            <w:tcBorders>
              <w:top w:val="nil"/>
              <w:left w:val="nil"/>
              <w:bottom w:val="single" w:sz="5" w:space="0" w:color="000000"/>
              <w:right w:val="single" w:sz="5" w:space="0" w:color="FFFFFF"/>
            </w:tcBorders>
            <w:tcMar>
              <w:top w:w="0" w:type="dxa"/>
              <w:left w:w="100" w:type="dxa"/>
              <w:bottom w:w="0" w:type="dxa"/>
              <w:right w:w="100" w:type="dxa"/>
            </w:tcMar>
          </w:tcPr>
          <w:p w14:paraId="7434F485" w14:textId="77777777" w:rsidR="00154DA0" w:rsidRDefault="00154DA0" w:rsidP="000378DE">
            <w:pPr>
              <w:spacing w:line="360" w:lineRule="auto"/>
              <w:rPr>
                <w:sz w:val="24"/>
                <w:szCs w:val="24"/>
              </w:rPr>
            </w:pPr>
            <w:r>
              <w:rPr>
                <w:sz w:val="24"/>
                <w:szCs w:val="24"/>
              </w:rPr>
              <w:t>Period (Month, Year)</w:t>
            </w:r>
          </w:p>
        </w:tc>
        <w:tc>
          <w:tcPr>
            <w:tcW w:w="4095" w:type="dxa"/>
            <w:tcBorders>
              <w:top w:val="nil"/>
              <w:left w:val="single" w:sz="5" w:space="0" w:color="FFFFFF"/>
              <w:bottom w:val="single" w:sz="5" w:space="0" w:color="000000"/>
              <w:right w:val="nil"/>
            </w:tcBorders>
            <w:tcMar>
              <w:top w:w="0" w:type="dxa"/>
              <w:left w:w="100" w:type="dxa"/>
              <w:bottom w:w="0" w:type="dxa"/>
              <w:right w:w="100" w:type="dxa"/>
            </w:tcMar>
          </w:tcPr>
          <w:p w14:paraId="2E9587A8" w14:textId="77777777" w:rsidR="00154DA0" w:rsidRDefault="00154DA0" w:rsidP="000378DE">
            <w:pPr>
              <w:spacing w:line="360" w:lineRule="auto"/>
              <w:rPr>
                <w:sz w:val="24"/>
                <w:szCs w:val="24"/>
              </w:rPr>
            </w:pPr>
            <w:r>
              <w:rPr>
                <w:sz w:val="24"/>
                <w:szCs w:val="24"/>
              </w:rPr>
              <w:t>September 2020 – August 2021</w:t>
            </w:r>
          </w:p>
        </w:tc>
      </w:tr>
    </w:tbl>
    <w:p w14:paraId="4ACF8DE5" w14:textId="77777777" w:rsidR="00154DA0" w:rsidRDefault="00154DA0" w:rsidP="00154DA0">
      <w:pPr>
        <w:rPr>
          <w:sz w:val="24"/>
          <w:szCs w:val="24"/>
        </w:rPr>
      </w:pPr>
      <w:r>
        <w:t>*</w:t>
      </w:r>
      <w:r>
        <w:rPr>
          <w:sz w:val="24"/>
          <w:szCs w:val="24"/>
        </w:rPr>
        <w:t>Possession index (socioeconomic status)</w:t>
      </w:r>
      <w:hyperlink r:id="rId15">
        <w:r>
          <w:rPr>
            <w:color w:val="000000"/>
            <w:sz w:val="24"/>
            <w:szCs w:val="24"/>
            <w:vertAlign w:val="superscript"/>
          </w:rPr>
          <w:t>19</w:t>
        </w:r>
      </w:hyperlink>
      <w:r>
        <w:rPr>
          <w:sz w:val="24"/>
          <w:szCs w:val="24"/>
        </w:rPr>
        <w:t xml:space="preserve"> was calculated as a sum of positive responses for household ownership of each of one of fifteen different functioning items: watch, radio, bank account, iron (charcoal), sewing machine(electric), mobile phone, CD player, fan (electric), bednet, mattress, bed, bicycle, motorcycle, car, and television.</w:t>
      </w:r>
    </w:p>
    <w:p w14:paraId="17836695" w14:textId="77777777" w:rsidR="00154DA0" w:rsidRDefault="00154DA0" w:rsidP="00154DA0">
      <w:pPr>
        <w:spacing w:line="256" w:lineRule="auto"/>
        <w:rPr>
          <w:b/>
          <w:sz w:val="24"/>
          <w:szCs w:val="24"/>
        </w:rPr>
      </w:pPr>
      <w:r>
        <w:br w:type="page"/>
      </w:r>
    </w:p>
    <w:p w14:paraId="2703142F" w14:textId="77777777" w:rsidR="00154DA0" w:rsidRDefault="00154DA0" w:rsidP="00154DA0">
      <w:pPr>
        <w:spacing w:line="256" w:lineRule="auto"/>
        <w:rPr>
          <w:sz w:val="24"/>
          <w:szCs w:val="24"/>
        </w:rPr>
      </w:pPr>
      <w:r>
        <w:rPr>
          <w:b/>
          <w:sz w:val="24"/>
          <w:szCs w:val="24"/>
        </w:rPr>
        <w:lastRenderedPageBreak/>
        <w:t>Supplementary Table 3:</w:t>
      </w:r>
      <w:r>
        <w:rPr>
          <w:b/>
          <w:i/>
          <w:sz w:val="24"/>
          <w:szCs w:val="24"/>
        </w:rPr>
        <w:t xml:space="preserve"> </w:t>
      </w:r>
      <w:r>
        <w:rPr>
          <w:sz w:val="24"/>
          <w:szCs w:val="24"/>
        </w:rPr>
        <w:t xml:space="preserve">Reported persistent pneumococcal carriage durations of pneumococcal serotype 3 from 1985 to 2016 among adults and children. </w:t>
      </w:r>
    </w:p>
    <w:tbl>
      <w:tblPr>
        <w:tblW w:w="10260" w:type="dxa"/>
        <w:tblInd w:w="-1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600" w:firstRow="0" w:lastRow="0" w:firstColumn="0" w:lastColumn="0" w:noHBand="1" w:noVBand="1"/>
      </w:tblPr>
      <w:tblGrid>
        <w:gridCol w:w="1305"/>
        <w:gridCol w:w="930"/>
        <w:gridCol w:w="1710"/>
        <w:gridCol w:w="1260"/>
        <w:gridCol w:w="1215"/>
        <w:gridCol w:w="1305"/>
        <w:gridCol w:w="1110"/>
        <w:gridCol w:w="1425"/>
      </w:tblGrid>
      <w:tr w:rsidR="00154DA0" w14:paraId="0B0CBC55" w14:textId="77777777" w:rsidTr="000378DE">
        <w:trPr>
          <w:trHeight w:val="1310"/>
        </w:trPr>
        <w:tc>
          <w:tcPr>
            <w:tcW w:w="1305" w:type="dxa"/>
            <w:tcBorders>
              <w:top w:val="single" w:sz="4" w:space="0" w:color="000000"/>
              <w:left w:val="nil"/>
              <w:bottom w:val="single" w:sz="4" w:space="0" w:color="000000"/>
              <w:right w:val="nil"/>
            </w:tcBorders>
            <w:tcMar>
              <w:top w:w="100" w:type="dxa"/>
              <w:left w:w="100" w:type="dxa"/>
              <w:bottom w:w="100" w:type="dxa"/>
              <w:right w:w="100" w:type="dxa"/>
            </w:tcMar>
          </w:tcPr>
          <w:p w14:paraId="3C2A0F70" w14:textId="77777777" w:rsidR="00154DA0" w:rsidRDefault="00154DA0" w:rsidP="000378DE">
            <w:pPr>
              <w:spacing w:line="256" w:lineRule="auto"/>
              <w:rPr>
                <w:b/>
                <w:sz w:val="24"/>
                <w:szCs w:val="24"/>
              </w:rPr>
            </w:pPr>
            <w:r>
              <w:rPr>
                <w:b/>
                <w:sz w:val="24"/>
                <w:szCs w:val="24"/>
              </w:rPr>
              <w:t>Study site</w:t>
            </w:r>
          </w:p>
        </w:tc>
        <w:tc>
          <w:tcPr>
            <w:tcW w:w="930" w:type="dxa"/>
            <w:tcBorders>
              <w:top w:val="single" w:sz="4" w:space="0" w:color="000000"/>
              <w:left w:val="nil"/>
              <w:bottom w:val="single" w:sz="4" w:space="0" w:color="000000"/>
              <w:right w:val="nil"/>
            </w:tcBorders>
            <w:tcMar>
              <w:top w:w="100" w:type="dxa"/>
              <w:left w:w="100" w:type="dxa"/>
              <w:bottom w:w="100" w:type="dxa"/>
              <w:right w:w="100" w:type="dxa"/>
            </w:tcMar>
          </w:tcPr>
          <w:p w14:paraId="349F16A7" w14:textId="77777777" w:rsidR="00154DA0" w:rsidRDefault="00154DA0" w:rsidP="000378DE">
            <w:pPr>
              <w:spacing w:line="256" w:lineRule="auto"/>
              <w:rPr>
                <w:b/>
                <w:sz w:val="24"/>
                <w:szCs w:val="24"/>
              </w:rPr>
            </w:pPr>
            <w:r>
              <w:rPr>
                <w:b/>
                <w:sz w:val="24"/>
                <w:szCs w:val="24"/>
              </w:rPr>
              <w:t>Year</w:t>
            </w:r>
          </w:p>
        </w:tc>
        <w:tc>
          <w:tcPr>
            <w:tcW w:w="1710" w:type="dxa"/>
            <w:tcBorders>
              <w:top w:val="single" w:sz="4" w:space="0" w:color="000000"/>
              <w:left w:val="nil"/>
              <w:bottom w:val="single" w:sz="4" w:space="0" w:color="000000"/>
              <w:right w:val="nil"/>
            </w:tcBorders>
            <w:tcMar>
              <w:top w:w="100" w:type="dxa"/>
              <w:left w:w="100" w:type="dxa"/>
              <w:bottom w:w="100" w:type="dxa"/>
              <w:right w:w="100" w:type="dxa"/>
            </w:tcMar>
          </w:tcPr>
          <w:p w14:paraId="5634CBC6" w14:textId="77777777" w:rsidR="00154DA0" w:rsidRDefault="00154DA0" w:rsidP="000378DE">
            <w:pPr>
              <w:spacing w:line="256" w:lineRule="auto"/>
              <w:rPr>
                <w:b/>
                <w:sz w:val="24"/>
                <w:szCs w:val="24"/>
              </w:rPr>
            </w:pPr>
            <w:r>
              <w:rPr>
                <w:b/>
                <w:sz w:val="24"/>
                <w:szCs w:val="24"/>
              </w:rPr>
              <w:t>Sampling interval (follow-up period)</w:t>
            </w:r>
          </w:p>
        </w:tc>
        <w:tc>
          <w:tcPr>
            <w:tcW w:w="1260" w:type="dxa"/>
            <w:tcBorders>
              <w:top w:val="single" w:sz="4" w:space="0" w:color="000000"/>
              <w:left w:val="nil"/>
              <w:bottom w:val="single" w:sz="4" w:space="0" w:color="000000"/>
              <w:right w:val="nil"/>
            </w:tcBorders>
            <w:tcMar>
              <w:top w:w="100" w:type="dxa"/>
              <w:left w:w="100" w:type="dxa"/>
              <w:bottom w:w="100" w:type="dxa"/>
              <w:right w:w="100" w:type="dxa"/>
            </w:tcMar>
          </w:tcPr>
          <w:p w14:paraId="427A533B" w14:textId="77777777" w:rsidR="00154DA0" w:rsidRDefault="00154DA0" w:rsidP="000378DE">
            <w:pPr>
              <w:spacing w:line="256" w:lineRule="auto"/>
              <w:rPr>
                <w:b/>
                <w:sz w:val="24"/>
                <w:szCs w:val="24"/>
              </w:rPr>
            </w:pPr>
            <w:r>
              <w:rPr>
                <w:b/>
                <w:sz w:val="24"/>
                <w:szCs w:val="24"/>
              </w:rPr>
              <w:t>Serotype</w:t>
            </w:r>
          </w:p>
        </w:tc>
        <w:tc>
          <w:tcPr>
            <w:tcW w:w="1215" w:type="dxa"/>
            <w:tcBorders>
              <w:top w:val="single" w:sz="4" w:space="0" w:color="000000"/>
              <w:left w:val="nil"/>
              <w:bottom w:val="single" w:sz="4" w:space="0" w:color="000000"/>
              <w:right w:val="nil"/>
            </w:tcBorders>
            <w:tcMar>
              <w:top w:w="100" w:type="dxa"/>
              <w:left w:w="100" w:type="dxa"/>
              <w:bottom w:w="100" w:type="dxa"/>
              <w:right w:w="100" w:type="dxa"/>
            </w:tcMar>
          </w:tcPr>
          <w:p w14:paraId="69D7D247" w14:textId="77777777" w:rsidR="00154DA0" w:rsidRDefault="00154DA0" w:rsidP="000378DE">
            <w:pPr>
              <w:spacing w:line="256" w:lineRule="auto"/>
              <w:rPr>
                <w:b/>
                <w:sz w:val="24"/>
                <w:szCs w:val="24"/>
              </w:rPr>
            </w:pPr>
            <w:r>
              <w:rPr>
                <w:b/>
                <w:sz w:val="24"/>
                <w:szCs w:val="24"/>
              </w:rPr>
              <w:t>Median Carriage duration (95% CI)</w:t>
            </w:r>
          </w:p>
        </w:tc>
        <w:tc>
          <w:tcPr>
            <w:tcW w:w="1305" w:type="dxa"/>
            <w:tcBorders>
              <w:top w:val="single" w:sz="4" w:space="0" w:color="000000"/>
              <w:left w:val="nil"/>
              <w:bottom w:val="single" w:sz="4" w:space="0" w:color="000000"/>
              <w:right w:val="nil"/>
            </w:tcBorders>
            <w:tcMar>
              <w:top w:w="100" w:type="dxa"/>
              <w:left w:w="100" w:type="dxa"/>
              <w:bottom w:w="100" w:type="dxa"/>
              <w:right w:w="100" w:type="dxa"/>
            </w:tcMar>
          </w:tcPr>
          <w:p w14:paraId="17AAD173" w14:textId="77777777" w:rsidR="00154DA0" w:rsidRDefault="00154DA0" w:rsidP="000378DE">
            <w:pPr>
              <w:spacing w:line="256" w:lineRule="auto"/>
              <w:rPr>
                <w:b/>
                <w:sz w:val="24"/>
                <w:szCs w:val="24"/>
              </w:rPr>
            </w:pPr>
            <w:r>
              <w:rPr>
                <w:b/>
                <w:sz w:val="24"/>
                <w:szCs w:val="24"/>
              </w:rPr>
              <w:t xml:space="preserve">Number of episodes/carriers </w:t>
            </w:r>
          </w:p>
        </w:tc>
        <w:tc>
          <w:tcPr>
            <w:tcW w:w="1110" w:type="dxa"/>
            <w:tcBorders>
              <w:top w:val="single" w:sz="4" w:space="0" w:color="000000"/>
              <w:left w:val="nil"/>
              <w:bottom w:val="single" w:sz="4" w:space="0" w:color="000000"/>
              <w:right w:val="nil"/>
            </w:tcBorders>
            <w:tcMar>
              <w:top w:w="100" w:type="dxa"/>
              <w:left w:w="100" w:type="dxa"/>
              <w:bottom w:w="100" w:type="dxa"/>
              <w:right w:w="100" w:type="dxa"/>
            </w:tcMar>
          </w:tcPr>
          <w:p w14:paraId="0F31F296" w14:textId="77777777" w:rsidR="00154DA0" w:rsidRDefault="00154DA0" w:rsidP="000378DE">
            <w:pPr>
              <w:spacing w:line="256" w:lineRule="auto"/>
              <w:rPr>
                <w:b/>
                <w:sz w:val="24"/>
                <w:szCs w:val="24"/>
              </w:rPr>
            </w:pPr>
            <w:r>
              <w:rPr>
                <w:b/>
                <w:sz w:val="24"/>
                <w:szCs w:val="24"/>
              </w:rPr>
              <w:t>Age</w:t>
            </w:r>
          </w:p>
        </w:tc>
        <w:tc>
          <w:tcPr>
            <w:tcW w:w="1425" w:type="dxa"/>
            <w:tcBorders>
              <w:top w:val="single" w:sz="4" w:space="0" w:color="000000"/>
              <w:left w:val="nil"/>
              <w:bottom w:val="single" w:sz="4" w:space="0" w:color="000000"/>
              <w:right w:val="nil"/>
            </w:tcBorders>
            <w:tcMar>
              <w:top w:w="100" w:type="dxa"/>
              <w:left w:w="100" w:type="dxa"/>
              <w:bottom w:w="100" w:type="dxa"/>
              <w:right w:w="100" w:type="dxa"/>
            </w:tcMar>
          </w:tcPr>
          <w:p w14:paraId="0A3414C0" w14:textId="77777777" w:rsidR="00154DA0" w:rsidRDefault="00154DA0" w:rsidP="000378DE">
            <w:pPr>
              <w:spacing w:line="256" w:lineRule="auto"/>
              <w:rPr>
                <w:b/>
                <w:sz w:val="24"/>
                <w:szCs w:val="24"/>
              </w:rPr>
            </w:pPr>
            <w:r>
              <w:rPr>
                <w:b/>
                <w:sz w:val="24"/>
                <w:szCs w:val="24"/>
              </w:rPr>
              <w:t xml:space="preserve">Reference </w:t>
            </w:r>
          </w:p>
        </w:tc>
      </w:tr>
      <w:tr w:rsidR="00154DA0" w14:paraId="3F03D092" w14:textId="77777777" w:rsidTr="000378DE">
        <w:trPr>
          <w:trHeight w:val="1016"/>
        </w:trPr>
        <w:tc>
          <w:tcPr>
            <w:tcW w:w="1305" w:type="dxa"/>
            <w:tcBorders>
              <w:top w:val="single" w:sz="4" w:space="0" w:color="000000"/>
              <w:left w:val="nil"/>
              <w:bottom w:val="single" w:sz="4" w:space="0" w:color="000000"/>
              <w:right w:val="nil"/>
            </w:tcBorders>
            <w:tcMar>
              <w:top w:w="100" w:type="dxa"/>
              <w:left w:w="100" w:type="dxa"/>
              <w:bottom w:w="100" w:type="dxa"/>
              <w:right w:w="100" w:type="dxa"/>
            </w:tcMar>
          </w:tcPr>
          <w:p w14:paraId="02A1AD4C" w14:textId="77777777" w:rsidR="00154DA0" w:rsidRDefault="00154DA0" w:rsidP="000378DE">
            <w:pPr>
              <w:spacing w:line="256" w:lineRule="auto"/>
              <w:rPr>
                <w:sz w:val="24"/>
                <w:szCs w:val="24"/>
                <w:vertAlign w:val="superscript"/>
              </w:rPr>
            </w:pPr>
            <w:r>
              <w:rPr>
                <w:sz w:val="24"/>
                <w:szCs w:val="24"/>
              </w:rPr>
              <w:t>Papua New Guinea</w:t>
            </w:r>
          </w:p>
        </w:tc>
        <w:tc>
          <w:tcPr>
            <w:tcW w:w="930" w:type="dxa"/>
            <w:tcBorders>
              <w:top w:val="single" w:sz="4" w:space="0" w:color="000000"/>
              <w:left w:val="nil"/>
              <w:bottom w:val="single" w:sz="4" w:space="0" w:color="000000"/>
              <w:right w:val="nil"/>
            </w:tcBorders>
            <w:tcMar>
              <w:top w:w="100" w:type="dxa"/>
              <w:left w:w="100" w:type="dxa"/>
              <w:bottom w:w="100" w:type="dxa"/>
              <w:right w:w="100" w:type="dxa"/>
            </w:tcMar>
          </w:tcPr>
          <w:p w14:paraId="0F81FABA" w14:textId="77777777" w:rsidR="00154DA0" w:rsidRDefault="00154DA0" w:rsidP="000378DE">
            <w:pPr>
              <w:spacing w:line="256" w:lineRule="auto"/>
              <w:rPr>
                <w:sz w:val="24"/>
                <w:szCs w:val="24"/>
              </w:rPr>
            </w:pPr>
            <w:r>
              <w:rPr>
                <w:sz w:val="24"/>
                <w:szCs w:val="24"/>
              </w:rPr>
              <w:t>1985–1987</w:t>
            </w:r>
          </w:p>
        </w:tc>
        <w:tc>
          <w:tcPr>
            <w:tcW w:w="1710" w:type="dxa"/>
            <w:tcBorders>
              <w:top w:val="single" w:sz="4" w:space="0" w:color="000000"/>
              <w:left w:val="nil"/>
              <w:bottom w:val="single" w:sz="4" w:space="0" w:color="000000"/>
              <w:right w:val="nil"/>
            </w:tcBorders>
            <w:tcMar>
              <w:top w:w="100" w:type="dxa"/>
              <w:left w:w="100" w:type="dxa"/>
              <w:bottom w:w="100" w:type="dxa"/>
              <w:right w:w="100" w:type="dxa"/>
            </w:tcMar>
          </w:tcPr>
          <w:p w14:paraId="087C7B4E" w14:textId="77777777" w:rsidR="00154DA0" w:rsidRDefault="00154DA0" w:rsidP="000378DE">
            <w:pPr>
              <w:spacing w:line="256" w:lineRule="auto"/>
              <w:rPr>
                <w:sz w:val="24"/>
                <w:szCs w:val="24"/>
              </w:rPr>
            </w:pPr>
            <w:r>
              <w:rPr>
                <w:sz w:val="24"/>
                <w:szCs w:val="24"/>
              </w:rPr>
              <w:t>Monthly (~18 months)</w:t>
            </w:r>
          </w:p>
        </w:tc>
        <w:tc>
          <w:tcPr>
            <w:tcW w:w="1260" w:type="dxa"/>
            <w:tcBorders>
              <w:top w:val="single" w:sz="4" w:space="0" w:color="000000"/>
              <w:left w:val="nil"/>
              <w:bottom w:val="single" w:sz="4" w:space="0" w:color="000000"/>
              <w:right w:val="nil"/>
            </w:tcBorders>
            <w:tcMar>
              <w:top w:w="100" w:type="dxa"/>
              <w:left w:w="100" w:type="dxa"/>
              <w:bottom w:w="100" w:type="dxa"/>
              <w:right w:w="100" w:type="dxa"/>
            </w:tcMar>
          </w:tcPr>
          <w:p w14:paraId="2A931FA0" w14:textId="77777777" w:rsidR="00154DA0" w:rsidRDefault="00154DA0" w:rsidP="000378DE">
            <w:pPr>
              <w:spacing w:line="256" w:lineRule="auto"/>
              <w:jc w:val="center"/>
              <w:rPr>
                <w:sz w:val="24"/>
                <w:szCs w:val="24"/>
              </w:rPr>
            </w:pPr>
            <w:r>
              <w:rPr>
                <w:sz w:val="24"/>
                <w:szCs w:val="24"/>
              </w:rPr>
              <w:t>3</w:t>
            </w:r>
          </w:p>
        </w:tc>
        <w:tc>
          <w:tcPr>
            <w:tcW w:w="1215" w:type="dxa"/>
            <w:tcBorders>
              <w:top w:val="single" w:sz="4" w:space="0" w:color="000000"/>
              <w:left w:val="nil"/>
              <w:bottom w:val="single" w:sz="4" w:space="0" w:color="000000"/>
              <w:right w:val="nil"/>
            </w:tcBorders>
            <w:tcMar>
              <w:top w:w="100" w:type="dxa"/>
              <w:left w:w="100" w:type="dxa"/>
              <w:bottom w:w="100" w:type="dxa"/>
              <w:right w:w="100" w:type="dxa"/>
            </w:tcMar>
          </w:tcPr>
          <w:p w14:paraId="6931111E" w14:textId="77777777" w:rsidR="00154DA0" w:rsidRDefault="00154DA0" w:rsidP="000378DE">
            <w:pPr>
              <w:spacing w:line="256" w:lineRule="auto"/>
              <w:jc w:val="center"/>
              <w:rPr>
                <w:sz w:val="24"/>
                <w:szCs w:val="24"/>
              </w:rPr>
            </w:pPr>
            <w:r>
              <w:rPr>
                <w:b/>
                <w:i/>
                <w:sz w:val="24"/>
                <w:szCs w:val="24"/>
              </w:rPr>
              <w:t xml:space="preserve"> </w:t>
            </w:r>
            <w:r>
              <w:rPr>
                <w:sz w:val="24"/>
                <w:szCs w:val="24"/>
              </w:rPr>
              <w:t xml:space="preserve">18.5 days* </w:t>
            </w:r>
          </w:p>
        </w:tc>
        <w:tc>
          <w:tcPr>
            <w:tcW w:w="1305" w:type="dxa"/>
            <w:tcBorders>
              <w:top w:val="single" w:sz="4" w:space="0" w:color="000000"/>
              <w:left w:val="nil"/>
              <w:bottom w:val="single" w:sz="4" w:space="0" w:color="000000"/>
              <w:right w:val="nil"/>
            </w:tcBorders>
            <w:tcMar>
              <w:top w:w="100" w:type="dxa"/>
              <w:left w:w="100" w:type="dxa"/>
              <w:bottom w:w="100" w:type="dxa"/>
              <w:right w:w="100" w:type="dxa"/>
            </w:tcMar>
          </w:tcPr>
          <w:p w14:paraId="1A6A9D7E" w14:textId="77777777" w:rsidR="00154DA0" w:rsidRDefault="00154DA0" w:rsidP="000378DE">
            <w:pPr>
              <w:spacing w:line="256" w:lineRule="auto"/>
              <w:jc w:val="center"/>
              <w:rPr>
                <w:sz w:val="24"/>
                <w:szCs w:val="24"/>
              </w:rPr>
            </w:pPr>
            <w:r>
              <w:rPr>
                <w:sz w:val="24"/>
                <w:szCs w:val="24"/>
              </w:rPr>
              <w:t>23</w:t>
            </w:r>
            <w:r>
              <w:rPr>
                <w:sz w:val="24"/>
                <w:szCs w:val="24"/>
                <w:vertAlign w:val="superscript"/>
              </w:rPr>
              <w:t>a</w:t>
            </w:r>
          </w:p>
        </w:tc>
        <w:tc>
          <w:tcPr>
            <w:tcW w:w="1110" w:type="dxa"/>
            <w:tcBorders>
              <w:top w:val="single" w:sz="4" w:space="0" w:color="000000"/>
              <w:left w:val="nil"/>
              <w:bottom w:val="single" w:sz="4" w:space="0" w:color="000000"/>
              <w:right w:val="nil"/>
            </w:tcBorders>
            <w:tcMar>
              <w:top w:w="100" w:type="dxa"/>
              <w:left w:w="100" w:type="dxa"/>
              <w:bottom w:w="100" w:type="dxa"/>
              <w:right w:w="100" w:type="dxa"/>
            </w:tcMar>
          </w:tcPr>
          <w:p w14:paraId="0728AC57" w14:textId="77777777" w:rsidR="00154DA0" w:rsidRDefault="00154DA0" w:rsidP="000378DE">
            <w:pPr>
              <w:spacing w:line="256" w:lineRule="auto"/>
              <w:rPr>
                <w:sz w:val="24"/>
                <w:szCs w:val="24"/>
              </w:rPr>
            </w:pPr>
            <w:r>
              <w:rPr>
                <w:sz w:val="24"/>
                <w:szCs w:val="24"/>
              </w:rPr>
              <w:t>Children</w:t>
            </w:r>
          </w:p>
        </w:tc>
        <w:tc>
          <w:tcPr>
            <w:tcW w:w="1425" w:type="dxa"/>
            <w:tcBorders>
              <w:top w:val="single" w:sz="4" w:space="0" w:color="000000"/>
              <w:left w:val="nil"/>
              <w:bottom w:val="single" w:sz="4" w:space="0" w:color="000000"/>
              <w:right w:val="nil"/>
            </w:tcBorders>
            <w:tcMar>
              <w:top w:w="100" w:type="dxa"/>
              <w:left w:w="100" w:type="dxa"/>
              <w:bottom w:w="100" w:type="dxa"/>
              <w:right w:w="100" w:type="dxa"/>
            </w:tcMar>
          </w:tcPr>
          <w:p w14:paraId="3E68369C" w14:textId="77777777" w:rsidR="00154DA0" w:rsidRDefault="00154DA0" w:rsidP="000378DE">
            <w:pPr>
              <w:spacing w:line="256" w:lineRule="auto"/>
              <w:rPr>
                <w:sz w:val="24"/>
                <w:szCs w:val="24"/>
              </w:rPr>
            </w:pPr>
            <w:r>
              <w:rPr>
                <w:sz w:val="24"/>
                <w:szCs w:val="24"/>
              </w:rPr>
              <w:t>Smith et al. 1993</w:t>
            </w:r>
            <w:hyperlink r:id="rId16">
              <w:r>
                <w:rPr>
                  <w:color w:val="000000"/>
                  <w:sz w:val="24"/>
                  <w:szCs w:val="24"/>
                  <w:vertAlign w:val="superscript"/>
                </w:rPr>
                <w:t>9</w:t>
              </w:r>
            </w:hyperlink>
          </w:p>
        </w:tc>
      </w:tr>
      <w:tr w:rsidR="00154DA0" w14:paraId="2194684D" w14:textId="77777777" w:rsidTr="000378DE">
        <w:trPr>
          <w:trHeight w:val="1606"/>
        </w:trPr>
        <w:tc>
          <w:tcPr>
            <w:tcW w:w="1305" w:type="dxa"/>
            <w:tcBorders>
              <w:top w:val="single" w:sz="4" w:space="0" w:color="000000"/>
              <w:left w:val="nil"/>
              <w:bottom w:val="single" w:sz="4" w:space="0" w:color="000000"/>
              <w:right w:val="nil"/>
            </w:tcBorders>
            <w:tcMar>
              <w:top w:w="100" w:type="dxa"/>
              <w:left w:w="100" w:type="dxa"/>
              <w:bottom w:w="100" w:type="dxa"/>
              <w:right w:w="100" w:type="dxa"/>
            </w:tcMar>
          </w:tcPr>
          <w:p w14:paraId="106538F9" w14:textId="77777777" w:rsidR="00154DA0" w:rsidRDefault="00154DA0" w:rsidP="000378DE">
            <w:pPr>
              <w:spacing w:line="256" w:lineRule="auto"/>
              <w:rPr>
                <w:sz w:val="24"/>
                <w:szCs w:val="24"/>
                <w:vertAlign w:val="superscript"/>
              </w:rPr>
            </w:pPr>
            <w:r>
              <w:rPr>
                <w:sz w:val="24"/>
                <w:szCs w:val="24"/>
              </w:rPr>
              <w:t>Gambia</w:t>
            </w:r>
          </w:p>
        </w:tc>
        <w:tc>
          <w:tcPr>
            <w:tcW w:w="930" w:type="dxa"/>
            <w:tcBorders>
              <w:top w:val="single" w:sz="4" w:space="0" w:color="000000"/>
              <w:left w:val="nil"/>
              <w:bottom w:val="single" w:sz="4" w:space="0" w:color="000000"/>
              <w:right w:val="nil"/>
            </w:tcBorders>
            <w:tcMar>
              <w:top w:w="100" w:type="dxa"/>
              <w:left w:w="100" w:type="dxa"/>
              <w:bottom w:w="100" w:type="dxa"/>
              <w:right w:w="100" w:type="dxa"/>
            </w:tcMar>
          </w:tcPr>
          <w:p w14:paraId="16476A52" w14:textId="77777777" w:rsidR="00154DA0" w:rsidRDefault="00154DA0" w:rsidP="000378DE">
            <w:pPr>
              <w:spacing w:line="256" w:lineRule="auto"/>
              <w:rPr>
                <w:sz w:val="24"/>
                <w:szCs w:val="24"/>
              </w:rPr>
            </w:pPr>
            <w:r>
              <w:rPr>
                <w:sz w:val="24"/>
                <w:szCs w:val="24"/>
              </w:rPr>
              <w:t>&lt;2010</w:t>
            </w:r>
          </w:p>
        </w:tc>
        <w:tc>
          <w:tcPr>
            <w:tcW w:w="1710" w:type="dxa"/>
            <w:tcBorders>
              <w:top w:val="single" w:sz="4" w:space="0" w:color="000000"/>
              <w:left w:val="nil"/>
              <w:bottom w:val="single" w:sz="4" w:space="0" w:color="000000"/>
              <w:right w:val="nil"/>
            </w:tcBorders>
            <w:tcMar>
              <w:top w:w="100" w:type="dxa"/>
              <w:left w:w="100" w:type="dxa"/>
              <w:bottom w:w="100" w:type="dxa"/>
              <w:right w:w="100" w:type="dxa"/>
            </w:tcMar>
          </w:tcPr>
          <w:p w14:paraId="4CC698AA" w14:textId="77777777" w:rsidR="00154DA0" w:rsidRDefault="00154DA0" w:rsidP="000378DE">
            <w:pPr>
              <w:spacing w:line="256" w:lineRule="auto"/>
              <w:rPr>
                <w:sz w:val="24"/>
                <w:szCs w:val="24"/>
              </w:rPr>
            </w:pPr>
            <w:r>
              <w:rPr>
                <w:sz w:val="24"/>
                <w:szCs w:val="24"/>
              </w:rPr>
              <w:t>Bi-weekly (~1 year)</w:t>
            </w:r>
          </w:p>
          <w:p w14:paraId="79DB9988" w14:textId="77777777" w:rsidR="00154DA0" w:rsidRDefault="00154DA0" w:rsidP="000378DE">
            <w:pPr>
              <w:spacing w:line="256" w:lineRule="auto"/>
              <w:rPr>
                <w:sz w:val="24"/>
                <w:szCs w:val="24"/>
              </w:rPr>
            </w:pPr>
          </w:p>
        </w:tc>
        <w:tc>
          <w:tcPr>
            <w:tcW w:w="1260" w:type="dxa"/>
            <w:tcBorders>
              <w:top w:val="single" w:sz="4" w:space="0" w:color="000000"/>
              <w:left w:val="nil"/>
              <w:bottom w:val="single" w:sz="4" w:space="0" w:color="000000"/>
              <w:right w:val="nil"/>
            </w:tcBorders>
            <w:tcMar>
              <w:top w:w="100" w:type="dxa"/>
              <w:left w:w="100" w:type="dxa"/>
              <w:bottom w:w="100" w:type="dxa"/>
              <w:right w:w="100" w:type="dxa"/>
            </w:tcMar>
          </w:tcPr>
          <w:p w14:paraId="789DE632" w14:textId="77777777" w:rsidR="00154DA0" w:rsidRDefault="00154DA0" w:rsidP="000378DE">
            <w:pPr>
              <w:spacing w:line="256" w:lineRule="auto"/>
              <w:jc w:val="center"/>
              <w:rPr>
                <w:sz w:val="24"/>
                <w:szCs w:val="24"/>
              </w:rPr>
            </w:pPr>
            <w:r>
              <w:rPr>
                <w:sz w:val="24"/>
                <w:szCs w:val="24"/>
              </w:rPr>
              <w:t>3</w:t>
            </w:r>
          </w:p>
          <w:p w14:paraId="5C950CAA" w14:textId="77777777" w:rsidR="00154DA0" w:rsidRDefault="00154DA0" w:rsidP="000378DE">
            <w:pPr>
              <w:spacing w:line="256" w:lineRule="auto"/>
              <w:jc w:val="center"/>
              <w:rPr>
                <w:sz w:val="24"/>
                <w:szCs w:val="24"/>
              </w:rPr>
            </w:pPr>
          </w:p>
          <w:p w14:paraId="5D13C360" w14:textId="77777777" w:rsidR="00154DA0" w:rsidRDefault="00154DA0" w:rsidP="000378DE">
            <w:pPr>
              <w:spacing w:line="256" w:lineRule="auto"/>
              <w:jc w:val="center"/>
              <w:rPr>
                <w:sz w:val="24"/>
                <w:szCs w:val="24"/>
              </w:rPr>
            </w:pPr>
          </w:p>
        </w:tc>
        <w:tc>
          <w:tcPr>
            <w:tcW w:w="1215" w:type="dxa"/>
            <w:tcBorders>
              <w:top w:val="single" w:sz="4" w:space="0" w:color="000000"/>
              <w:left w:val="nil"/>
              <w:bottom w:val="single" w:sz="4" w:space="0" w:color="000000"/>
              <w:right w:val="nil"/>
            </w:tcBorders>
            <w:tcMar>
              <w:top w:w="100" w:type="dxa"/>
              <w:left w:w="100" w:type="dxa"/>
              <w:bottom w:w="100" w:type="dxa"/>
              <w:right w:w="100" w:type="dxa"/>
            </w:tcMar>
          </w:tcPr>
          <w:p w14:paraId="5A3B301C" w14:textId="77777777" w:rsidR="00154DA0" w:rsidRDefault="00154DA0" w:rsidP="000378DE">
            <w:pPr>
              <w:spacing w:line="256" w:lineRule="auto"/>
              <w:jc w:val="center"/>
              <w:rPr>
                <w:sz w:val="24"/>
                <w:szCs w:val="24"/>
              </w:rPr>
            </w:pPr>
            <w:r>
              <w:rPr>
                <w:sz w:val="24"/>
                <w:szCs w:val="24"/>
              </w:rPr>
              <w:t>~70 days and</w:t>
            </w:r>
          </w:p>
          <w:p w14:paraId="2BB19424" w14:textId="77777777" w:rsidR="00154DA0" w:rsidRDefault="00154DA0" w:rsidP="000378DE">
            <w:pPr>
              <w:spacing w:line="256" w:lineRule="auto"/>
              <w:jc w:val="center"/>
              <w:rPr>
                <w:sz w:val="24"/>
                <w:szCs w:val="24"/>
              </w:rPr>
            </w:pPr>
            <w:r>
              <w:rPr>
                <w:sz w:val="24"/>
                <w:szCs w:val="24"/>
              </w:rPr>
              <w:t>~99.4 days*</w:t>
            </w:r>
          </w:p>
        </w:tc>
        <w:tc>
          <w:tcPr>
            <w:tcW w:w="1305" w:type="dxa"/>
            <w:tcBorders>
              <w:top w:val="single" w:sz="4" w:space="0" w:color="000000"/>
              <w:left w:val="nil"/>
              <w:bottom w:val="single" w:sz="4" w:space="0" w:color="000000"/>
              <w:right w:val="nil"/>
            </w:tcBorders>
            <w:tcMar>
              <w:top w:w="100" w:type="dxa"/>
              <w:left w:w="100" w:type="dxa"/>
              <w:bottom w:w="100" w:type="dxa"/>
              <w:right w:w="100" w:type="dxa"/>
            </w:tcMar>
          </w:tcPr>
          <w:p w14:paraId="568CE71E" w14:textId="77777777" w:rsidR="00154DA0" w:rsidRDefault="00154DA0" w:rsidP="000378DE">
            <w:pPr>
              <w:spacing w:line="256" w:lineRule="auto"/>
              <w:jc w:val="center"/>
              <w:rPr>
                <w:sz w:val="24"/>
                <w:szCs w:val="24"/>
              </w:rPr>
            </w:pPr>
            <w:r>
              <w:rPr>
                <w:sz w:val="24"/>
                <w:szCs w:val="24"/>
              </w:rPr>
              <w:t>24</w:t>
            </w:r>
            <w:r>
              <w:rPr>
                <w:sz w:val="24"/>
                <w:szCs w:val="24"/>
                <w:vertAlign w:val="superscript"/>
              </w:rPr>
              <w:t>b</w:t>
            </w:r>
          </w:p>
          <w:p w14:paraId="768B5305" w14:textId="77777777" w:rsidR="00154DA0" w:rsidRDefault="00154DA0" w:rsidP="000378DE">
            <w:pPr>
              <w:spacing w:line="256" w:lineRule="auto"/>
              <w:jc w:val="center"/>
              <w:rPr>
                <w:sz w:val="24"/>
                <w:szCs w:val="24"/>
              </w:rPr>
            </w:pPr>
          </w:p>
          <w:p w14:paraId="59FCE0F3" w14:textId="77777777" w:rsidR="00154DA0" w:rsidRDefault="00154DA0" w:rsidP="000378DE">
            <w:pPr>
              <w:spacing w:line="256" w:lineRule="auto"/>
              <w:jc w:val="center"/>
              <w:rPr>
                <w:sz w:val="24"/>
                <w:szCs w:val="24"/>
              </w:rPr>
            </w:pPr>
          </w:p>
        </w:tc>
        <w:tc>
          <w:tcPr>
            <w:tcW w:w="1110" w:type="dxa"/>
            <w:tcBorders>
              <w:top w:val="single" w:sz="4" w:space="0" w:color="000000"/>
              <w:left w:val="nil"/>
              <w:bottom w:val="single" w:sz="4" w:space="0" w:color="000000"/>
              <w:right w:val="nil"/>
            </w:tcBorders>
            <w:tcMar>
              <w:top w:w="100" w:type="dxa"/>
              <w:left w:w="100" w:type="dxa"/>
              <w:bottom w:w="100" w:type="dxa"/>
              <w:right w:w="100" w:type="dxa"/>
            </w:tcMar>
          </w:tcPr>
          <w:p w14:paraId="554EA71D" w14:textId="77777777" w:rsidR="00154DA0" w:rsidRDefault="00154DA0" w:rsidP="000378DE">
            <w:pPr>
              <w:spacing w:line="256" w:lineRule="auto"/>
              <w:rPr>
                <w:sz w:val="24"/>
                <w:szCs w:val="24"/>
              </w:rPr>
            </w:pPr>
            <w:r>
              <w:rPr>
                <w:sz w:val="24"/>
                <w:szCs w:val="24"/>
              </w:rPr>
              <w:t>&lt;1 - &gt;40 years</w:t>
            </w:r>
          </w:p>
        </w:tc>
        <w:tc>
          <w:tcPr>
            <w:tcW w:w="1425" w:type="dxa"/>
            <w:tcBorders>
              <w:top w:val="single" w:sz="4" w:space="0" w:color="000000"/>
              <w:left w:val="nil"/>
              <w:bottom w:val="single" w:sz="4" w:space="0" w:color="000000"/>
              <w:right w:val="nil"/>
            </w:tcBorders>
            <w:tcMar>
              <w:top w:w="100" w:type="dxa"/>
              <w:left w:w="100" w:type="dxa"/>
              <w:bottom w:w="100" w:type="dxa"/>
              <w:right w:w="100" w:type="dxa"/>
            </w:tcMar>
          </w:tcPr>
          <w:p w14:paraId="456DDF66" w14:textId="77777777" w:rsidR="00154DA0" w:rsidRDefault="00154DA0" w:rsidP="000378DE">
            <w:pPr>
              <w:spacing w:line="256" w:lineRule="auto"/>
              <w:rPr>
                <w:sz w:val="24"/>
                <w:szCs w:val="24"/>
              </w:rPr>
            </w:pPr>
            <w:r>
              <w:rPr>
                <w:sz w:val="24"/>
                <w:szCs w:val="24"/>
              </w:rPr>
              <w:t>Hill et al.</w:t>
            </w:r>
          </w:p>
          <w:p w14:paraId="23201A0F" w14:textId="77777777" w:rsidR="00154DA0" w:rsidRDefault="00154DA0" w:rsidP="000378DE">
            <w:pPr>
              <w:spacing w:line="256" w:lineRule="auto"/>
              <w:rPr>
                <w:sz w:val="24"/>
                <w:szCs w:val="24"/>
              </w:rPr>
            </w:pPr>
            <w:r>
              <w:rPr>
                <w:sz w:val="24"/>
                <w:szCs w:val="24"/>
              </w:rPr>
              <w:t>2010</w:t>
            </w:r>
            <w:hyperlink r:id="rId17">
              <w:r>
                <w:rPr>
                  <w:color w:val="000000"/>
                  <w:sz w:val="24"/>
                  <w:szCs w:val="24"/>
                  <w:vertAlign w:val="superscript"/>
                </w:rPr>
                <w:t>12</w:t>
              </w:r>
            </w:hyperlink>
          </w:p>
        </w:tc>
      </w:tr>
      <w:tr w:rsidR="00154DA0" w14:paraId="2EEB569E" w14:textId="77777777" w:rsidTr="000378DE">
        <w:trPr>
          <w:trHeight w:val="1696"/>
        </w:trPr>
        <w:tc>
          <w:tcPr>
            <w:tcW w:w="1305" w:type="dxa"/>
            <w:tcBorders>
              <w:top w:val="single" w:sz="4" w:space="0" w:color="000000"/>
              <w:left w:val="nil"/>
              <w:bottom w:val="single" w:sz="4" w:space="0" w:color="000000"/>
              <w:right w:val="nil"/>
            </w:tcBorders>
            <w:tcMar>
              <w:top w:w="100" w:type="dxa"/>
              <w:left w:w="100" w:type="dxa"/>
              <w:bottom w:w="100" w:type="dxa"/>
              <w:right w:w="100" w:type="dxa"/>
            </w:tcMar>
          </w:tcPr>
          <w:p w14:paraId="557203F3" w14:textId="77777777" w:rsidR="00154DA0" w:rsidRDefault="00154DA0" w:rsidP="000378DE">
            <w:pPr>
              <w:spacing w:line="256" w:lineRule="auto"/>
              <w:rPr>
                <w:sz w:val="24"/>
                <w:szCs w:val="24"/>
                <w:vertAlign w:val="superscript"/>
              </w:rPr>
            </w:pPr>
            <w:r>
              <w:rPr>
                <w:sz w:val="24"/>
                <w:szCs w:val="24"/>
              </w:rPr>
              <w:t>Kenya</w:t>
            </w:r>
          </w:p>
        </w:tc>
        <w:tc>
          <w:tcPr>
            <w:tcW w:w="930" w:type="dxa"/>
            <w:tcBorders>
              <w:top w:val="single" w:sz="4" w:space="0" w:color="000000"/>
              <w:left w:val="nil"/>
              <w:bottom w:val="single" w:sz="4" w:space="0" w:color="000000"/>
              <w:right w:val="nil"/>
            </w:tcBorders>
            <w:tcMar>
              <w:top w:w="100" w:type="dxa"/>
              <w:left w:w="100" w:type="dxa"/>
              <w:bottom w:w="100" w:type="dxa"/>
              <w:right w:w="100" w:type="dxa"/>
            </w:tcMar>
          </w:tcPr>
          <w:p w14:paraId="120E610A" w14:textId="77777777" w:rsidR="00154DA0" w:rsidRDefault="00154DA0" w:rsidP="000378DE">
            <w:pPr>
              <w:spacing w:line="256" w:lineRule="auto"/>
              <w:rPr>
                <w:sz w:val="24"/>
                <w:szCs w:val="24"/>
              </w:rPr>
            </w:pPr>
            <w:r>
              <w:rPr>
                <w:sz w:val="24"/>
                <w:szCs w:val="24"/>
              </w:rPr>
              <w:t>2006 –2008</w:t>
            </w:r>
          </w:p>
        </w:tc>
        <w:tc>
          <w:tcPr>
            <w:tcW w:w="1710" w:type="dxa"/>
            <w:tcBorders>
              <w:top w:val="single" w:sz="4" w:space="0" w:color="000000"/>
              <w:left w:val="nil"/>
              <w:bottom w:val="single" w:sz="4" w:space="0" w:color="000000"/>
              <w:right w:val="nil"/>
            </w:tcBorders>
            <w:tcMar>
              <w:top w:w="100" w:type="dxa"/>
              <w:left w:w="100" w:type="dxa"/>
              <w:bottom w:w="100" w:type="dxa"/>
              <w:right w:w="100" w:type="dxa"/>
            </w:tcMar>
          </w:tcPr>
          <w:p w14:paraId="4CAD755A" w14:textId="77777777" w:rsidR="00154DA0" w:rsidRDefault="00154DA0" w:rsidP="000378DE">
            <w:pPr>
              <w:spacing w:line="256" w:lineRule="auto"/>
              <w:rPr>
                <w:b/>
                <w:i/>
                <w:sz w:val="24"/>
                <w:szCs w:val="24"/>
              </w:rPr>
            </w:pPr>
            <w:r>
              <w:rPr>
                <w:rFonts w:ascii="Arial Unicode MS" w:eastAsia="Arial Unicode MS" w:hAnsi="Arial Unicode MS" w:cs="Arial Unicode MS"/>
                <w:sz w:val="24"/>
                <w:szCs w:val="24"/>
              </w:rPr>
              <w:t>1, 2, 4, 8, 16 and 32 days and then monthly until clearance ((~≤486 days)</w:t>
            </w:r>
          </w:p>
        </w:tc>
        <w:tc>
          <w:tcPr>
            <w:tcW w:w="1260" w:type="dxa"/>
            <w:tcBorders>
              <w:top w:val="single" w:sz="4" w:space="0" w:color="000000"/>
              <w:left w:val="nil"/>
              <w:bottom w:val="single" w:sz="4" w:space="0" w:color="000000"/>
              <w:right w:val="nil"/>
            </w:tcBorders>
            <w:tcMar>
              <w:top w:w="100" w:type="dxa"/>
              <w:left w:w="100" w:type="dxa"/>
              <w:bottom w:w="100" w:type="dxa"/>
              <w:right w:w="100" w:type="dxa"/>
            </w:tcMar>
          </w:tcPr>
          <w:p w14:paraId="357BEACB" w14:textId="77777777" w:rsidR="00154DA0" w:rsidRDefault="00154DA0" w:rsidP="000378DE">
            <w:pPr>
              <w:spacing w:line="256" w:lineRule="auto"/>
              <w:jc w:val="center"/>
              <w:rPr>
                <w:b/>
                <w:i/>
                <w:sz w:val="24"/>
                <w:szCs w:val="24"/>
              </w:rPr>
            </w:pPr>
            <w:r>
              <w:rPr>
                <w:sz w:val="24"/>
                <w:szCs w:val="24"/>
              </w:rPr>
              <w:t>3</w:t>
            </w:r>
          </w:p>
        </w:tc>
        <w:tc>
          <w:tcPr>
            <w:tcW w:w="1215" w:type="dxa"/>
            <w:tcBorders>
              <w:top w:val="single" w:sz="4" w:space="0" w:color="000000"/>
              <w:left w:val="nil"/>
              <w:bottom w:val="single" w:sz="4" w:space="0" w:color="000000"/>
              <w:right w:val="nil"/>
            </w:tcBorders>
            <w:tcMar>
              <w:top w:w="100" w:type="dxa"/>
              <w:left w:w="100" w:type="dxa"/>
              <w:bottom w:w="100" w:type="dxa"/>
              <w:right w:w="100" w:type="dxa"/>
            </w:tcMar>
          </w:tcPr>
          <w:p w14:paraId="6DEB3334" w14:textId="77777777" w:rsidR="00154DA0" w:rsidRDefault="00154DA0" w:rsidP="000378DE">
            <w:pPr>
              <w:spacing w:line="256" w:lineRule="auto"/>
              <w:jc w:val="center"/>
              <w:rPr>
                <w:b/>
                <w:i/>
                <w:sz w:val="24"/>
                <w:szCs w:val="24"/>
              </w:rPr>
            </w:pPr>
            <w:r>
              <w:rPr>
                <w:b/>
                <w:i/>
                <w:sz w:val="24"/>
                <w:szCs w:val="24"/>
              </w:rPr>
              <w:t xml:space="preserve"> </w:t>
            </w:r>
            <w:r>
              <w:rPr>
                <w:sz w:val="24"/>
                <w:szCs w:val="24"/>
              </w:rPr>
              <w:t>10.5 (3.8–29.1) days*</w:t>
            </w:r>
          </w:p>
        </w:tc>
        <w:tc>
          <w:tcPr>
            <w:tcW w:w="1305" w:type="dxa"/>
            <w:tcBorders>
              <w:top w:val="single" w:sz="4" w:space="0" w:color="000000"/>
              <w:left w:val="nil"/>
              <w:bottom w:val="single" w:sz="4" w:space="0" w:color="000000"/>
              <w:right w:val="nil"/>
            </w:tcBorders>
            <w:tcMar>
              <w:top w:w="100" w:type="dxa"/>
              <w:left w:w="100" w:type="dxa"/>
              <w:bottom w:w="100" w:type="dxa"/>
              <w:right w:w="100" w:type="dxa"/>
            </w:tcMar>
          </w:tcPr>
          <w:p w14:paraId="73183A56" w14:textId="77777777" w:rsidR="00154DA0" w:rsidRDefault="00154DA0" w:rsidP="000378DE">
            <w:pPr>
              <w:spacing w:line="256" w:lineRule="auto"/>
              <w:jc w:val="center"/>
              <w:rPr>
                <w:sz w:val="24"/>
                <w:szCs w:val="24"/>
              </w:rPr>
            </w:pPr>
            <w:r>
              <w:rPr>
                <w:sz w:val="24"/>
                <w:szCs w:val="24"/>
              </w:rPr>
              <w:t>34</w:t>
            </w:r>
            <w:r>
              <w:rPr>
                <w:sz w:val="24"/>
                <w:szCs w:val="24"/>
                <w:vertAlign w:val="superscript"/>
              </w:rPr>
              <w:t>a</w:t>
            </w:r>
          </w:p>
        </w:tc>
        <w:tc>
          <w:tcPr>
            <w:tcW w:w="1110" w:type="dxa"/>
            <w:tcBorders>
              <w:top w:val="single" w:sz="4" w:space="0" w:color="000000"/>
              <w:left w:val="nil"/>
              <w:bottom w:val="single" w:sz="4" w:space="0" w:color="000000"/>
              <w:right w:val="nil"/>
            </w:tcBorders>
            <w:tcMar>
              <w:top w:w="100" w:type="dxa"/>
              <w:left w:w="100" w:type="dxa"/>
              <w:bottom w:w="100" w:type="dxa"/>
              <w:right w:w="100" w:type="dxa"/>
            </w:tcMar>
          </w:tcPr>
          <w:p w14:paraId="0382FD8A" w14:textId="77777777" w:rsidR="00154DA0" w:rsidRDefault="00154DA0" w:rsidP="000378DE">
            <w:pPr>
              <w:spacing w:line="256" w:lineRule="auto"/>
              <w:rPr>
                <w:sz w:val="24"/>
                <w:szCs w:val="24"/>
              </w:rPr>
            </w:pPr>
            <w:r>
              <w:rPr>
                <w:sz w:val="24"/>
                <w:szCs w:val="24"/>
              </w:rPr>
              <w:t>3 - 59 months</w:t>
            </w:r>
          </w:p>
        </w:tc>
        <w:tc>
          <w:tcPr>
            <w:tcW w:w="1425" w:type="dxa"/>
            <w:tcBorders>
              <w:top w:val="single" w:sz="4" w:space="0" w:color="000000"/>
              <w:left w:val="nil"/>
              <w:bottom w:val="single" w:sz="4" w:space="0" w:color="000000"/>
              <w:right w:val="nil"/>
            </w:tcBorders>
            <w:tcMar>
              <w:top w:w="100" w:type="dxa"/>
              <w:left w:w="100" w:type="dxa"/>
              <w:bottom w:w="100" w:type="dxa"/>
              <w:right w:w="100" w:type="dxa"/>
            </w:tcMar>
          </w:tcPr>
          <w:p w14:paraId="53455A31" w14:textId="77777777" w:rsidR="00154DA0" w:rsidRDefault="00154DA0" w:rsidP="000378DE">
            <w:pPr>
              <w:spacing w:line="256" w:lineRule="auto"/>
              <w:rPr>
                <w:sz w:val="24"/>
                <w:szCs w:val="24"/>
              </w:rPr>
            </w:pPr>
            <w:r>
              <w:rPr>
                <w:sz w:val="24"/>
                <w:szCs w:val="24"/>
              </w:rPr>
              <w:t>Abdullahi et al.</w:t>
            </w:r>
          </w:p>
          <w:p w14:paraId="26A1F972" w14:textId="77777777" w:rsidR="00154DA0" w:rsidRDefault="00154DA0" w:rsidP="000378DE">
            <w:pPr>
              <w:spacing w:line="256" w:lineRule="auto"/>
              <w:rPr>
                <w:sz w:val="24"/>
                <w:szCs w:val="24"/>
              </w:rPr>
            </w:pPr>
            <w:r>
              <w:rPr>
                <w:sz w:val="24"/>
                <w:szCs w:val="24"/>
              </w:rPr>
              <w:t>2012</w:t>
            </w:r>
            <w:hyperlink r:id="rId18">
              <w:r>
                <w:rPr>
                  <w:color w:val="000000"/>
                  <w:sz w:val="24"/>
                  <w:szCs w:val="24"/>
                  <w:vertAlign w:val="superscript"/>
                </w:rPr>
                <w:t>10</w:t>
              </w:r>
            </w:hyperlink>
          </w:p>
        </w:tc>
      </w:tr>
      <w:tr w:rsidR="00154DA0" w14:paraId="76FE37CE" w14:textId="77777777" w:rsidTr="000378DE">
        <w:trPr>
          <w:trHeight w:val="1265"/>
        </w:trPr>
        <w:tc>
          <w:tcPr>
            <w:tcW w:w="1305" w:type="dxa"/>
            <w:tcBorders>
              <w:top w:val="single" w:sz="4" w:space="0" w:color="000000"/>
              <w:left w:val="nil"/>
              <w:bottom w:val="single" w:sz="4" w:space="0" w:color="000000"/>
              <w:right w:val="nil"/>
            </w:tcBorders>
            <w:tcMar>
              <w:top w:w="100" w:type="dxa"/>
              <w:left w:w="100" w:type="dxa"/>
              <w:bottom w:w="100" w:type="dxa"/>
              <w:right w:w="100" w:type="dxa"/>
            </w:tcMar>
          </w:tcPr>
          <w:p w14:paraId="1566BAD3" w14:textId="77777777" w:rsidR="00154DA0" w:rsidRDefault="00154DA0" w:rsidP="000378DE">
            <w:pPr>
              <w:spacing w:line="256" w:lineRule="auto"/>
              <w:rPr>
                <w:sz w:val="24"/>
                <w:szCs w:val="24"/>
                <w:vertAlign w:val="superscript"/>
              </w:rPr>
            </w:pPr>
            <w:r>
              <w:rPr>
                <w:sz w:val="24"/>
                <w:szCs w:val="24"/>
              </w:rPr>
              <w:t>Thailand</w:t>
            </w:r>
          </w:p>
        </w:tc>
        <w:tc>
          <w:tcPr>
            <w:tcW w:w="930" w:type="dxa"/>
            <w:tcBorders>
              <w:top w:val="single" w:sz="4" w:space="0" w:color="000000"/>
              <w:left w:val="nil"/>
              <w:bottom w:val="single" w:sz="4" w:space="0" w:color="000000"/>
              <w:right w:val="nil"/>
            </w:tcBorders>
            <w:tcMar>
              <w:top w:w="100" w:type="dxa"/>
              <w:left w:w="100" w:type="dxa"/>
              <w:bottom w:w="100" w:type="dxa"/>
              <w:right w:w="100" w:type="dxa"/>
            </w:tcMar>
          </w:tcPr>
          <w:p w14:paraId="2119F8CF" w14:textId="77777777" w:rsidR="00154DA0" w:rsidRDefault="00154DA0" w:rsidP="000378DE">
            <w:pPr>
              <w:spacing w:line="256" w:lineRule="auto"/>
              <w:rPr>
                <w:sz w:val="24"/>
                <w:szCs w:val="24"/>
              </w:rPr>
            </w:pPr>
            <w:r>
              <w:rPr>
                <w:sz w:val="24"/>
                <w:szCs w:val="24"/>
              </w:rPr>
              <w:t>2007~2010</w:t>
            </w:r>
          </w:p>
          <w:p w14:paraId="7C6AF3F6" w14:textId="77777777" w:rsidR="00154DA0" w:rsidRDefault="00154DA0" w:rsidP="000378DE">
            <w:pPr>
              <w:spacing w:line="256" w:lineRule="auto"/>
              <w:rPr>
                <w:sz w:val="24"/>
                <w:szCs w:val="24"/>
              </w:rPr>
            </w:pPr>
          </w:p>
        </w:tc>
        <w:tc>
          <w:tcPr>
            <w:tcW w:w="1710" w:type="dxa"/>
            <w:tcBorders>
              <w:top w:val="single" w:sz="4" w:space="0" w:color="000000"/>
              <w:left w:val="nil"/>
              <w:bottom w:val="single" w:sz="4" w:space="0" w:color="000000"/>
              <w:right w:val="nil"/>
            </w:tcBorders>
            <w:tcMar>
              <w:top w:w="100" w:type="dxa"/>
              <w:left w:w="100" w:type="dxa"/>
              <w:bottom w:w="100" w:type="dxa"/>
              <w:right w:w="100" w:type="dxa"/>
            </w:tcMar>
          </w:tcPr>
          <w:p w14:paraId="2E1E319C" w14:textId="77777777" w:rsidR="00154DA0" w:rsidRDefault="00154DA0" w:rsidP="000378DE">
            <w:pPr>
              <w:spacing w:line="256" w:lineRule="auto"/>
              <w:rPr>
                <w:sz w:val="24"/>
                <w:szCs w:val="24"/>
              </w:rPr>
            </w:pPr>
            <w:r>
              <w:rPr>
                <w:sz w:val="24"/>
                <w:szCs w:val="24"/>
              </w:rPr>
              <w:t>Monthly (~2 years)</w:t>
            </w:r>
          </w:p>
        </w:tc>
        <w:tc>
          <w:tcPr>
            <w:tcW w:w="1260" w:type="dxa"/>
            <w:tcBorders>
              <w:top w:val="single" w:sz="4" w:space="0" w:color="000000"/>
              <w:left w:val="nil"/>
              <w:bottom w:val="single" w:sz="4" w:space="0" w:color="000000"/>
              <w:right w:val="nil"/>
            </w:tcBorders>
            <w:tcMar>
              <w:top w:w="100" w:type="dxa"/>
              <w:left w:w="100" w:type="dxa"/>
              <w:bottom w:w="100" w:type="dxa"/>
              <w:right w:w="100" w:type="dxa"/>
            </w:tcMar>
          </w:tcPr>
          <w:p w14:paraId="5761F048" w14:textId="77777777" w:rsidR="00154DA0" w:rsidRDefault="00154DA0" w:rsidP="000378DE">
            <w:pPr>
              <w:spacing w:line="256" w:lineRule="auto"/>
              <w:jc w:val="center"/>
              <w:rPr>
                <w:sz w:val="24"/>
                <w:szCs w:val="24"/>
              </w:rPr>
            </w:pPr>
            <w:r>
              <w:rPr>
                <w:sz w:val="24"/>
                <w:szCs w:val="24"/>
              </w:rPr>
              <w:t>3</w:t>
            </w:r>
          </w:p>
        </w:tc>
        <w:tc>
          <w:tcPr>
            <w:tcW w:w="1215" w:type="dxa"/>
            <w:tcBorders>
              <w:top w:val="single" w:sz="4" w:space="0" w:color="000000"/>
              <w:left w:val="nil"/>
              <w:bottom w:val="single" w:sz="4" w:space="0" w:color="000000"/>
              <w:right w:val="nil"/>
            </w:tcBorders>
            <w:tcMar>
              <w:top w:w="100" w:type="dxa"/>
              <w:left w:w="100" w:type="dxa"/>
              <w:bottom w:w="100" w:type="dxa"/>
              <w:right w:w="100" w:type="dxa"/>
            </w:tcMar>
          </w:tcPr>
          <w:p w14:paraId="634BE65A" w14:textId="77777777" w:rsidR="00154DA0" w:rsidRDefault="00154DA0" w:rsidP="000378DE">
            <w:pPr>
              <w:spacing w:line="256" w:lineRule="auto"/>
              <w:jc w:val="center"/>
              <w:rPr>
                <w:sz w:val="24"/>
                <w:szCs w:val="24"/>
              </w:rPr>
            </w:pPr>
            <w:r>
              <w:rPr>
                <w:sz w:val="24"/>
                <w:szCs w:val="24"/>
              </w:rPr>
              <w:t>45.5 (30.5–90) days*</w:t>
            </w:r>
          </w:p>
        </w:tc>
        <w:tc>
          <w:tcPr>
            <w:tcW w:w="1305" w:type="dxa"/>
            <w:tcBorders>
              <w:top w:val="single" w:sz="4" w:space="0" w:color="000000"/>
              <w:left w:val="nil"/>
              <w:bottom w:val="single" w:sz="4" w:space="0" w:color="000000"/>
              <w:right w:val="nil"/>
            </w:tcBorders>
            <w:tcMar>
              <w:top w:w="100" w:type="dxa"/>
              <w:left w:w="100" w:type="dxa"/>
              <w:bottom w:w="100" w:type="dxa"/>
              <w:right w:w="100" w:type="dxa"/>
            </w:tcMar>
          </w:tcPr>
          <w:p w14:paraId="71D0EF9F" w14:textId="77777777" w:rsidR="00154DA0" w:rsidRDefault="00154DA0" w:rsidP="000378DE">
            <w:pPr>
              <w:spacing w:line="256" w:lineRule="auto"/>
              <w:jc w:val="center"/>
              <w:rPr>
                <w:sz w:val="24"/>
                <w:szCs w:val="24"/>
              </w:rPr>
            </w:pPr>
            <w:r>
              <w:rPr>
                <w:sz w:val="24"/>
                <w:szCs w:val="24"/>
              </w:rPr>
              <w:t>23</w:t>
            </w:r>
            <w:r>
              <w:rPr>
                <w:sz w:val="24"/>
                <w:szCs w:val="24"/>
                <w:vertAlign w:val="superscript"/>
              </w:rPr>
              <w:t>b</w:t>
            </w:r>
          </w:p>
        </w:tc>
        <w:tc>
          <w:tcPr>
            <w:tcW w:w="1110" w:type="dxa"/>
            <w:tcBorders>
              <w:top w:val="single" w:sz="4" w:space="0" w:color="000000"/>
              <w:left w:val="nil"/>
              <w:bottom w:val="single" w:sz="4" w:space="0" w:color="000000"/>
              <w:right w:val="nil"/>
            </w:tcBorders>
            <w:tcMar>
              <w:top w:w="100" w:type="dxa"/>
              <w:left w:w="100" w:type="dxa"/>
              <w:bottom w:w="100" w:type="dxa"/>
              <w:right w:w="100" w:type="dxa"/>
            </w:tcMar>
          </w:tcPr>
          <w:p w14:paraId="77859A4C" w14:textId="77777777" w:rsidR="00154DA0" w:rsidRDefault="00154DA0" w:rsidP="000378DE">
            <w:pPr>
              <w:spacing w:line="256" w:lineRule="auto"/>
              <w:rPr>
                <w:sz w:val="24"/>
                <w:szCs w:val="24"/>
              </w:rPr>
            </w:pPr>
            <w:r>
              <w:rPr>
                <w:sz w:val="24"/>
                <w:szCs w:val="24"/>
              </w:rPr>
              <w:t>Mothers</w:t>
            </w:r>
          </w:p>
        </w:tc>
        <w:tc>
          <w:tcPr>
            <w:tcW w:w="1425" w:type="dxa"/>
            <w:tcBorders>
              <w:top w:val="single" w:sz="4" w:space="0" w:color="000000"/>
              <w:left w:val="nil"/>
              <w:bottom w:val="single" w:sz="4" w:space="0" w:color="000000"/>
              <w:right w:val="nil"/>
            </w:tcBorders>
            <w:tcMar>
              <w:top w:w="100" w:type="dxa"/>
              <w:left w:w="100" w:type="dxa"/>
              <w:bottom w:w="100" w:type="dxa"/>
              <w:right w:w="100" w:type="dxa"/>
            </w:tcMar>
          </w:tcPr>
          <w:p w14:paraId="5B7D5968" w14:textId="77777777" w:rsidR="00154DA0" w:rsidRDefault="00154DA0" w:rsidP="000378DE">
            <w:pPr>
              <w:spacing w:line="256" w:lineRule="auto"/>
              <w:rPr>
                <w:sz w:val="24"/>
                <w:szCs w:val="24"/>
              </w:rPr>
            </w:pPr>
            <w:r>
              <w:rPr>
                <w:sz w:val="24"/>
                <w:szCs w:val="24"/>
              </w:rPr>
              <w:t>Turner et al.</w:t>
            </w:r>
          </w:p>
          <w:p w14:paraId="72DBD819" w14:textId="77777777" w:rsidR="00154DA0" w:rsidRDefault="00154DA0" w:rsidP="000378DE">
            <w:pPr>
              <w:spacing w:line="256" w:lineRule="auto"/>
              <w:rPr>
                <w:sz w:val="24"/>
                <w:szCs w:val="24"/>
              </w:rPr>
            </w:pPr>
            <w:r>
              <w:rPr>
                <w:sz w:val="24"/>
                <w:szCs w:val="24"/>
              </w:rPr>
              <w:t>2012</w:t>
            </w:r>
            <w:hyperlink r:id="rId19">
              <w:r>
                <w:rPr>
                  <w:color w:val="000000"/>
                  <w:sz w:val="24"/>
                  <w:szCs w:val="24"/>
                  <w:vertAlign w:val="superscript"/>
                </w:rPr>
                <w:t>11</w:t>
              </w:r>
            </w:hyperlink>
          </w:p>
        </w:tc>
      </w:tr>
      <w:tr w:rsidR="00154DA0" w14:paraId="5ED6F4E1" w14:textId="77777777" w:rsidTr="000378DE">
        <w:trPr>
          <w:trHeight w:val="1431"/>
        </w:trPr>
        <w:tc>
          <w:tcPr>
            <w:tcW w:w="1305" w:type="dxa"/>
            <w:tcBorders>
              <w:top w:val="single" w:sz="4" w:space="0" w:color="000000"/>
              <w:left w:val="nil"/>
              <w:bottom w:val="single" w:sz="4" w:space="0" w:color="000000"/>
              <w:right w:val="nil"/>
            </w:tcBorders>
            <w:tcMar>
              <w:top w:w="100" w:type="dxa"/>
              <w:left w:w="100" w:type="dxa"/>
              <w:bottom w:w="100" w:type="dxa"/>
              <w:right w:w="100" w:type="dxa"/>
            </w:tcMar>
          </w:tcPr>
          <w:p w14:paraId="11AFDC70" w14:textId="77777777" w:rsidR="00154DA0" w:rsidRDefault="00154DA0" w:rsidP="000378DE">
            <w:pPr>
              <w:spacing w:line="256" w:lineRule="auto"/>
              <w:rPr>
                <w:sz w:val="24"/>
                <w:szCs w:val="24"/>
                <w:vertAlign w:val="superscript"/>
              </w:rPr>
            </w:pPr>
            <w:r>
              <w:rPr>
                <w:sz w:val="24"/>
                <w:szCs w:val="24"/>
              </w:rPr>
              <w:t>South Africa</w:t>
            </w:r>
          </w:p>
        </w:tc>
        <w:tc>
          <w:tcPr>
            <w:tcW w:w="930" w:type="dxa"/>
            <w:tcBorders>
              <w:top w:val="single" w:sz="4" w:space="0" w:color="000000"/>
              <w:left w:val="nil"/>
              <w:bottom w:val="single" w:sz="4" w:space="0" w:color="000000"/>
              <w:right w:val="nil"/>
            </w:tcBorders>
            <w:tcMar>
              <w:top w:w="100" w:type="dxa"/>
              <w:left w:w="100" w:type="dxa"/>
              <w:bottom w:w="100" w:type="dxa"/>
              <w:right w:w="100" w:type="dxa"/>
            </w:tcMar>
          </w:tcPr>
          <w:p w14:paraId="22A87F3E" w14:textId="77777777" w:rsidR="00154DA0" w:rsidRDefault="00154DA0" w:rsidP="000378DE">
            <w:pPr>
              <w:spacing w:line="256" w:lineRule="auto"/>
              <w:rPr>
                <w:sz w:val="24"/>
                <w:szCs w:val="24"/>
              </w:rPr>
            </w:pPr>
            <w:r>
              <w:rPr>
                <w:sz w:val="24"/>
                <w:szCs w:val="24"/>
              </w:rPr>
              <w:t>2012 -2014</w:t>
            </w:r>
          </w:p>
          <w:p w14:paraId="35263D19" w14:textId="77777777" w:rsidR="00154DA0" w:rsidRDefault="00154DA0" w:rsidP="000378DE">
            <w:pPr>
              <w:spacing w:line="256" w:lineRule="auto"/>
              <w:rPr>
                <w:sz w:val="24"/>
                <w:szCs w:val="24"/>
              </w:rPr>
            </w:pPr>
          </w:p>
        </w:tc>
        <w:tc>
          <w:tcPr>
            <w:tcW w:w="1710" w:type="dxa"/>
            <w:tcBorders>
              <w:top w:val="single" w:sz="4" w:space="0" w:color="000000"/>
              <w:left w:val="nil"/>
              <w:bottom w:val="single" w:sz="4" w:space="0" w:color="000000"/>
              <w:right w:val="nil"/>
            </w:tcBorders>
            <w:tcMar>
              <w:top w:w="100" w:type="dxa"/>
              <w:left w:w="100" w:type="dxa"/>
              <w:bottom w:w="100" w:type="dxa"/>
              <w:right w:w="100" w:type="dxa"/>
            </w:tcMar>
          </w:tcPr>
          <w:p w14:paraId="1702BE2D" w14:textId="77777777" w:rsidR="00154DA0" w:rsidRDefault="00154DA0" w:rsidP="000378DE">
            <w:pPr>
              <w:spacing w:line="256" w:lineRule="auto"/>
              <w:rPr>
                <w:sz w:val="24"/>
                <w:szCs w:val="24"/>
              </w:rPr>
            </w:pPr>
            <w:r>
              <w:rPr>
                <w:sz w:val="24"/>
                <w:szCs w:val="24"/>
              </w:rPr>
              <w:t>Bi-weekly (1 year)</w:t>
            </w:r>
          </w:p>
          <w:p w14:paraId="5F4692DF" w14:textId="77777777" w:rsidR="00154DA0" w:rsidRDefault="00154DA0" w:rsidP="000378DE">
            <w:pPr>
              <w:spacing w:line="256" w:lineRule="auto"/>
              <w:rPr>
                <w:sz w:val="24"/>
                <w:szCs w:val="24"/>
              </w:rPr>
            </w:pPr>
          </w:p>
        </w:tc>
        <w:tc>
          <w:tcPr>
            <w:tcW w:w="1260" w:type="dxa"/>
            <w:tcBorders>
              <w:top w:val="single" w:sz="4" w:space="0" w:color="000000"/>
              <w:left w:val="nil"/>
              <w:bottom w:val="single" w:sz="4" w:space="0" w:color="000000"/>
              <w:right w:val="nil"/>
            </w:tcBorders>
            <w:tcMar>
              <w:top w:w="100" w:type="dxa"/>
              <w:left w:w="100" w:type="dxa"/>
              <w:bottom w:w="100" w:type="dxa"/>
              <w:right w:w="100" w:type="dxa"/>
            </w:tcMar>
          </w:tcPr>
          <w:p w14:paraId="317D5CA4" w14:textId="77777777" w:rsidR="00154DA0" w:rsidRDefault="00154DA0" w:rsidP="000378DE">
            <w:pPr>
              <w:spacing w:line="256" w:lineRule="auto"/>
              <w:jc w:val="center"/>
              <w:rPr>
                <w:sz w:val="24"/>
                <w:szCs w:val="24"/>
              </w:rPr>
            </w:pPr>
            <w:r>
              <w:rPr>
                <w:sz w:val="24"/>
                <w:szCs w:val="24"/>
              </w:rPr>
              <w:t>3</w:t>
            </w:r>
          </w:p>
        </w:tc>
        <w:tc>
          <w:tcPr>
            <w:tcW w:w="1215" w:type="dxa"/>
            <w:tcBorders>
              <w:top w:val="single" w:sz="4" w:space="0" w:color="000000"/>
              <w:left w:val="nil"/>
              <w:bottom w:val="single" w:sz="4" w:space="0" w:color="000000"/>
              <w:right w:val="nil"/>
            </w:tcBorders>
            <w:tcMar>
              <w:top w:w="100" w:type="dxa"/>
              <w:left w:w="100" w:type="dxa"/>
              <w:bottom w:w="100" w:type="dxa"/>
              <w:right w:w="100" w:type="dxa"/>
            </w:tcMar>
          </w:tcPr>
          <w:p w14:paraId="3157BB13" w14:textId="77777777" w:rsidR="00154DA0" w:rsidRDefault="00154DA0" w:rsidP="000378DE">
            <w:pPr>
              <w:spacing w:line="256" w:lineRule="auto"/>
              <w:jc w:val="center"/>
              <w:rPr>
                <w:sz w:val="24"/>
                <w:szCs w:val="24"/>
              </w:rPr>
            </w:pPr>
            <w:r>
              <w:rPr>
                <w:sz w:val="24"/>
                <w:szCs w:val="24"/>
              </w:rPr>
              <w:t xml:space="preserve"> 29.4 (23.31 -35.48) days*</w:t>
            </w:r>
          </w:p>
        </w:tc>
        <w:tc>
          <w:tcPr>
            <w:tcW w:w="1305" w:type="dxa"/>
            <w:tcBorders>
              <w:top w:val="single" w:sz="4" w:space="0" w:color="000000"/>
              <w:left w:val="nil"/>
              <w:bottom w:val="single" w:sz="4" w:space="0" w:color="000000"/>
              <w:right w:val="nil"/>
            </w:tcBorders>
            <w:tcMar>
              <w:top w:w="100" w:type="dxa"/>
              <w:left w:w="100" w:type="dxa"/>
              <w:bottom w:w="100" w:type="dxa"/>
              <w:right w:w="100" w:type="dxa"/>
            </w:tcMar>
          </w:tcPr>
          <w:p w14:paraId="0DB083EC" w14:textId="77777777" w:rsidR="00154DA0" w:rsidRDefault="00154DA0" w:rsidP="000378DE">
            <w:pPr>
              <w:spacing w:line="256" w:lineRule="auto"/>
              <w:jc w:val="center"/>
              <w:rPr>
                <w:sz w:val="24"/>
                <w:szCs w:val="24"/>
              </w:rPr>
            </w:pPr>
            <w:r>
              <w:rPr>
                <w:sz w:val="24"/>
                <w:szCs w:val="24"/>
              </w:rPr>
              <w:t>5</w:t>
            </w:r>
            <w:r>
              <w:rPr>
                <w:sz w:val="24"/>
                <w:szCs w:val="24"/>
                <w:vertAlign w:val="superscript"/>
              </w:rPr>
              <w:t>b</w:t>
            </w:r>
          </w:p>
          <w:p w14:paraId="47C1BB2B" w14:textId="77777777" w:rsidR="00154DA0" w:rsidRDefault="00154DA0" w:rsidP="000378DE">
            <w:pPr>
              <w:spacing w:line="256" w:lineRule="auto"/>
              <w:jc w:val="center"/>
              <w:rPr>
                <w:sz w:val="24"/>
                <w:szCs w:val="24"/>
              </w:rPr>
            </w:pPr>
          </w:p>
        </w:tc>
        <w:tc>
          <w:tcPr>
            <w:tcW w:w="1110" w:type="dxa"/>
            <w:tcBorders>
              <w:top w:val="single" w:sz="4" w:space="0" w:color="000000"/>
              <w:left w:val="nil"/>
              <w:bottom w:val="single" w:sz="4" w:space="0" w:color="000000"/>
              <w:right w:val="nil"/>
            </w:tcBorders>
            <w:tcMar>
              <w:top w:w="100" w:type="dxa"/>
              <w:left w:w="100" w:type="dxa"/>
              <w:bottom w:w="100" w:type="dxa"/>
              <w:right w:w="100" w:type="dxa"/>
            </w:tcMar>
          </w:tcPr>
          <w:p w14:paraId="6E363091" w14:textId="77777777" w:rsidR="00154DA0" w:rsidRDefault="00154DA0" w:rsidP="000378DE">
            <w:pPr>
              <w:spacing w:line="256" w:lineRule="auto"/>
              <w:rPr>
                <w:sz w:val="24"/>
                <w:szCs w:val="24"/>
              </w:rPr>
            </w:pPr>
            <w:r>
              <w:rPr>
                <w:sz w:val="24"/>
                <w:szCs w:val="24"/>
              </w:rPr>
              <w:t>infants</w:t>
            </w:r>
          </w:p>
        </w:tc>
        <w:tc>
          <w:tcPr>
            <w:tcW w:w="1425" w:type="dxa"/>
            <w:tcBorders>
              <w:top w:val="single" w:sz="4" w:space="0" w:color="000000"/>
              <w:left w:val="nil"/>
              <w:bottom w:val="single" w:sz="4" w:space="0" w:color="000000"/>
              <w:right w:val="nil"/>
            </w:tcBorders>
            <w:tcMar>
              <w:top w:w="100" w:type="dxa"/>
              <w:left w:w="100" w:type="dxa"/>
              <w:bottom w:w="100" w:type="dxa"/>
              <w:right w:w="100" w:type="dxa"/>
            </w:tcMar>
          </w:tcPr>
          <w:p w14:paraId="2FF2239D" w14:textId="77777777" w:rsidR="00154DA0" w:rsidRDefault="00154DA0" w:rsidP="000378DE">
            <w:pPr>
              <w:spacing w:line="256" w:lineRule="auto"/>
              <w:rPr>
                <w:sz w:val="24"/>
                <w:szCs w:val="24"/>
              </w:rPr>
            </w:pPr>
            <w:r>
              <w:rPr>
                <w:sz w:val="24"/>
                <w:szCs w:val="24"/>
              </w:rPr>
              <w:t>Dube et al.</w:t>
            </w:r>
          </w:p>
          <w:p w14:paraId="774CF81A" w14:textId="77777777" w:rsidR="00154DA0" w:rsidRDefault="00154DA0" w:rsidP="000378DE">
            <w:pPr>
              <w:spacing w:line="256" w:lineRule="auto"/>
              <w:rPr>
                <w:sz w:val="24"/>
                <w:szCs w:val="24"/>
              </w:rPr>
            </w:pPr>
            <w:r>
              <w:rPr>
                <w:sz w:val="24"/>
                <w:szCs w:val="24"/>
              </w:rPr>
              <w:t>2018</w:t>
            </w:r>
            <w:hyperlink r:id="rId20">
              <w:r>
                <w:rPr>
                  <w:color w:val="000000"/>
                  <w:sz w:val="24"/>
                  <w:szCs w:val="24"/>
                  <w:vertAlign w:val="superscript"/>
                </w:rPr>
                <w:t>17</w:t>
              </w:r>
            </w:hyperlink>
          </w:p>
        </w:tc>
      </w:tr>
      <w:tr w:rsidR="00154DA0" w14:paraId="07407E58" w14:textId="77777777" w:rsidTr="000378DE">
        <w:trPr>
          <w:trHeight w:val="1475"/>
        </w:trPr>
        <w:tc>
          <w:tcPr>
            <w:tcW w:w="1305" w:type="dxa"/>
            <w:tcBorders>
              <w:top w:val="single" w:sz="4" w:space="0" w:color="000000"/>
              <w:left w:val="nil"/>
              <w:bottom w:val="single" w:sz="4" w:space="0" w:color="000000"/>
              <w:right w:val="nil"/>
            </w:tcBorders>
            <w:tcMar>
              <w:top w:w="100" w:type="dxa"/>
              <w:left w:w="100" w:type="dxa"/>
              <w:bottom w:w="100" w:type="dxa"/>
              <w:right w:w="100" w:type="dxa"/>
            </w:tcMar>
          </w:tcPr>
          <w:p w14:paraId="777D4A41" w14:textId="77777777" w:rsidR="00154DA0" w:rsidRDefault="00154DA0" w:rsidP="000378DE">
            <w:pPr>
              <w:spacing w:line="256" w:lineRule="auto"/>
              <w:rPr>
                <w:sz w:val="24"/>
                <w:szCs w:val="24"/>
                <w:vertAlign w:val="superscript"/>
              </w:rPr>
            </w:pPr>
            <w:r>
              <w:rPr>
                <w:sz w:val="24"/>
                <w:szCs w:val="24"/>
              </w:rPr>
              <w:t>Gambia</w:t>
            </w:r>
          </w:p>
        </w:tc>
        <w:tc>
          <w:tcPr>
            <w:tcW w:w="930" w:type="dxa"/>
            <w:tcBorders>
              <w:top w:val="single" w:sz="4" w:space="0" w:color="000000"/>
              <w:left w:val="nil"/>
              <w:bottom w:val="single" w:sz="4" w:space="0" w:color="000000"/>
              <w:right w:val="nil"/>
            </w:tcBorders>
            <w:tcMar>
              <w:top w:w="100" w:type="dxa"/>
              <w:left w:w="100" w:type="dxa"/>
              <w:bottom w:w="100" w:type="dxa"/>
              <w:right w:w="100" w:type="dxa"/>
            </w:tcMar>
          </w:tcPr>
          <w:p w14:paraId="1C969CBF" w14:textId="77777777" w:rsidR="00154DA0" w:rsidRDefault="00154DA0" w:rsidP="000378DE">
            <w:pPr>
              <w:spacing w:line="256" w:lineRule="auto"/>
              <w:rPr>
                <w:sz w:val="24"/>
                <w:szCs w:val="24"/>
              </w:rPr>
            </w:pPr>
            <w:r>
              <w:rPr>
                <w:sz w:val="24"/>
                <w:szCs w:val="24"/>
              </w:rPr>
              <w:t>2008 – 2009</w:t>
            </w:r>
          </w:p>
          <w:p w14:paraId="59080C0C" w14:textId="77777777" w:rsidR="00154DA0" w:rsidRDefault="00154DA0" w:rsidP="000378DE">
            <w:pPr>
              <w:spacing w:line="256" w:lineRule="auto"/>
              <w:rPr>
                <w:sz w:val="24"/>
                <w:szCs w:val="24"/>
              </w:rPr>
            </w:pPr>
          </w:p>
        </w:tc>
        <w:tc>
          <w:tcPr>
            <w:tcW w:w="1710" w:type="dxa"/>
            <w:tcBorders>
              <w:top w:val="single" w:sz="4" w:space="0" w:color="000000"/>
              <w:left w:val="nil"/>
              <w:bottom w:val="single" w:sz="4" w:space="0" w:color="000000"/>
              <w:right w:val="nil"/>
            </w:tcBorders>
            <w:tcMar>
              <w:top w:w="100" w:type="dxa"/>
              <w:left w:w="100" w:type="dxa"/>
              <w:bottom w:w="100" w:type="dxa"/>
              <w:right w:w="100" w:type="dxa"/>
            </w:tcMar>
          </w:tcPr>
          <w:p w14:paraId="24C31F33" w14:textId="77777777" w:rsidR="00154DA0" w:rsidRDefault="00154DA0" w:rsidP="000378DE">
            <w:pPr>
              <w:spacing w:line="256" w:lineRule="auto"/>
              <w:rPr>
                <w:sz w:val="24"/>
                <w:szCs w:val="24"/>
              </w:rPr>
            </w:pPr>
            <w:r>
              <w:rPr>
                <w:sz w:val="24"/>
                <w:szCs w:val="24"/>
              </w:rPr>
              <w:t>Bi-weekly (~6 months)</w:t>
            </w:r>
          </w:p>
        </w:tc>
        <w:tc>
          <w:tcPr>
            <w:tcW w:w="1260" w:type="dxa"/>
            <w:tcBorders>
              <w:top w:val="single" w:sz="4" w:space="0" w:color="000000"/>
              <w:left w:val="nil"/>
              <w:bottom w:val="single" w:sz="4" w:space="0" w:color="000000"/>
              <w:right w:val="nil"/>
            </w:tcBorders>
            <w:tcMar>
              <w:top w:w="100" w:type="dxa"/>
              <w:left w:w="100" w:type="dxa"/>
              <w:bottom w:w="100" w:type="dxa"/>
              <w:right w:w="100" w:type="dxa"/>
            </w:tcMar>
          </w:tcPr>
          <w:p w14:paraId="6C909E26" w14:textId="77777777" w:rsidR="00154DA0" w:rsidRDefault="00154DA0" w:rsidP="000378DE">
            <w:pPr>
              <w:spacing w:line="256" w:lineRule="auto"/>
              <w:jc w:val="center"/>
              <w:rPr>
                <w:sz w:val="24"/>
                <w:szCs w:val="24"/>
              </w:rPr>
            </w:pPr>
            <w:r>
              <w:rPr>
                <w:sz w:val="24"/>
                <w:szCs w:val="24"/>
              </w:rPr>
              <w:t>3</w:t>
            </w:r>
          </w:p>
        </w:tc>
        <w:tc>
          <w:tcPr>
            <w:tcW w:w="1215" w:type="dxa"/>
            <w:tcBorders>
              <w:top w:val="single" w:sz="4" w:space="0" w:color="000000"/>
              <w:left w:val="nil"/>
              <w:bottom w:val="single" w:sz="4" w:space="0" w:color="000000"/>
              <w:right w:val="nil"/>
            </w:tcBorders>
            <w:tcMar>
              <w:top w:w="100" w:type="dxa"/>
              <w:left w:w="100" w:type="dxa"/>
              <w:bottom w:w="100" w:type="dxa"/>
              <w:right w:w="100" w:type="dxa"/>
            </w:tcMar>
          </w:tcPr>
          <w:p w14:paraId="0310019C" w14:textId="77777777" w:rsidR="00154DA0" w:rsidRDefault="00154DA0" w:rsidP="000378DE">
            <w:pPr>
              <w:spacing w:line="256" w:lineRule="auto"/>
              <w:jc w:val="center"/>
              <w:rPr>
                <w:color w:val="212121"/>
                <w:sz w:val="24"/>
                <w:szCs w:val="24"/>
              </w:rPr>
            </w:pPr>
            <w:r>
              <w:rPr>
                <w:sz w:val="24"/>
                <w:szCs w:val="24"/>
              </w:rPr>
              <w:t>24.94 (12.47, 49.87) days</w:t>
            </w:r>
          </w:p>
        </w:tc>
        <w:tc>
          <w:tcPr>
            <w:tcW w:w="1305" w:type="dxa"/>
            <w:tcBorders>
              <w:top w:val="single" w:sz="4" w:space="0" w:color="000000"/>
              <w:left w:val="nil"/>
              <w:bottom w:val="single" w:sz="4" w:space="0" w:color="000000"/>
              <w:right w:val="nil"/>
            </w:tcBorders>
            <w:tcMar>
              <w:top w:w="100" w:type="dxa"/>
              <w:left w:w="100" w:type="dxa"/>
              <w:bottom w:w="100" w:type="dxa"/>
              <w:right w:w="100" w:type="dxa"/>
            </w:tcMar>
          </w:tcPr>
          <w:p w14:paraId="181A5D12" w14:textId="77777777" w:rsidR="00154DA0" w:rsidRDefault="00154DA0" w:rsidP="000378DE">
            <w:pPr>
              <w:spacing w:line="256" w:lineRule="auto"/>
              <w:jc w:val="center"/>
              <w:rPr>
                <w:sz w:val="24"/>
                <w:szCs w:val="24"/>
              </w:rPr>
            </w:pPr>
            <w:r>
              <w:rPr>
                <w:sz w:val="24"/>
                <w:szCs w:val="24"/>
              </w:rPr>
              <w:t>8</w:t>
            </w:r>
            <w:r>
              <w:rPr>
                <w:sz w:val="24"/>
                <w:szCs w:val="24"/>
                <w:vertAlign w:val="superscript"/>
              </w:rPr>
              <w:t>b</w:t>
            </w:r>
          </w:p>
        </w:tc>
        <w:tc>
          <w:tcPr>
            <w:tcW w:w="1110" w:type="dxa"/>
            <w:tcBorders>
              <w:top w:val="single" w:sz="4" w:space="0" w:color="000000"/>
              <w:left w:val="nil"/>
              <w:bottom w:val="single" w:sz="4" w:space="0" w:color="000000"/>
              <w:right w:val="nil"/>
            </w:tcBorders>
            <w:tcMar>
              <w:top w:w="100" w:type="dxa"/>
              <w:left w:w="100" w:type="dxa"/>
              <w:bottom w:w="100" w:type="dxa"/>
              <w:right w:w="100" w:type="dxa"/>
            </w:tcMar>
          </w:tcPr>
          <w:p w14:paraId="46713323" w14:textId="77777777" w:rsidR="00154DA0" w:rsidRDefault="00154DA0" w:rsidP="000378DE">
            <w:pPr>
              <w:spacing w:line="256" w:lineRule="auto"/>
              <w:rPr>
                <w:sz w:val="24"/>
                <w:szCs w:val="24"/>
              </w:rPr>
            </w:pPr>
            <w:r>
              <w:rPr>
                <w:sz w:val="24"/>
                <w:szCs w:val="24"/>
              </w:rPr>
              <w:t>infants</w:t>
            </w:r>
          </w:p>
        </w:tc>
        <w:tc>
          <w:tcPr>
            <w:tcW w:w="1425" w:type="dxa"/>
            <w:tcBorders>
              <w:top w:val="single" w:sz="4" w:space="0" w:color="000000"/>
              <w:left w:val="nil"/>
              <w:bottom w:val="single" w:sz="4" w:space="0" w:color="000000"/>
              <w:right w:val="nil"/>
            </w:tcBorders>
            <w:tcMar>
              <w:top w:w="100" w:type="dxa"/>
              <w:left w:w="100" w:type="dxa"/>
              <w:bottom w:w="100" w:type="dxa"/>
              <w:right w:w="100" w:type="dxa"/>
            </w:tcMar>
          </w:tcPr>
          <w:p w14:paraId="7FC3AE03" w14:textId="77777777" w:rsidR="00154DA0" w:rsidRDefault="00154DA0" w:rsidP="000378DE">
            <w:pPr>
              <w:spacing w:line="256" w:lineRule="auto"/>
              <w:rPr>
                <w:sz w:val="24"/>
                <w:szCs w:val="24"/>
              </w:rPr>
            </w:pPr>
            <w:r>
              <w:rPr>
                <w:sz w:val="24"/>
                <w:szCs w:val="24"/>
              </w:rPr>
              <w:t>Chaguza et al.</w:t>
            </w:r>
          </w:p>
          <w:p w14:paraId="10F7A34D" w14:textId="77777777" w:rsidR="00154DA0" w:rsidRDefault="00154DA0" w:rsidP="000378DE">
            <w:pPr>
              <w:spacing w:line="256" w:lineRule="auto"/>
              <w:rPr>
                <w:sz w:val="24"/>
                <w:szCs w:val="24"/>
              </w:rPr>
            </w:pPr>
            <w:r>
              <w:rPr>
                <w:sz w:val="24"/>
                <w:szCs w:val="24"/>
              </w:rPr>
              <w:t>2020</w:t>
            </w:r>
            <w:hyperlink r:id="rId21">
              <w:r>
                <w:rPr>
                  <w:color w:val="000000"/>
                  <w:sz w:val="24"/>
                  <w:szCs w:val="24"/>
                  <w:vertAlign w:val="superscript"/>
                </w:rPr>
                <w:t>13</w:t>
              </w:r>
            </w:hyperlink>
          </w:p>
        </w:tc>
      </w:tr>
      <w:tr w:rsidR="00154DA0" w14:paraId="75A723E2" w14:textId="77777777" w:rsidTr="000378DE">
        <w:trPr>
          <w:trHeight w:val="1440"/>
        </w:trPr>
        <w:tc>
          <w:tcPr>
            <w:tcW w:w="1305" w:type="dxa"/>
            <w:tcBorders>
              <w:top w:val="single" w:sz="4" w:space="0" w:color="000000"/>
              <w:left w:val="nil"/>
              <w:bottom w:val="single" w:sz="4" w:space="0" w:color="000000"/>
              <w:right w:val="nil"/>
            </w:tcBorders>
            <w:tcMar>
              <w:top w:w="100" w:type="dxa"/>
              <w:left w:w="100" w:type="dxa"/>
              <w:bottom w:w="100" w:type="dxa"/>
              <w:right w:w="100" w:type="dxa"/>
            </w:tcMar>
          </w:tcPr>
          <w:p w14:paraId="503BA061" w14:textId="77777777" w:rsidR="00154DA0" w:rsidRDefault="00154DA0" w:rsidP="000378DE">
            <w:pPr>
              <w:spacing w:line="256" w:lineRule="auto"/>
              <w:rPr>
                <w:sz w:val="24"/>
                <w:szCs w:val="24"/>
                <w:vertAlign w:val="superscript"/>
              </w:rPr>
            </w:pPr>
            <w:r>
              <w:rPr>
                <w:sz w:val="24"/>
                <w:szCs w:val="24"/>
              </w:rPr>
              <w:lastRenderedPageBreak/>
              <w:t>Portugal</w:t>
            </w:r>
          </w:p>
        </w:tc>
        <w:tc>
          <w:tcPr>
            <w:tcW w:w="930" w:type="dxa"/>
            <w:tcBorders>
              <w:top w:val="single" w:sz="4" w:space="0" w:color="000000"/>
              <w:left w:val="nil"/>
              <w:bottom w:val="single" w:sz="4" w:space="0" w:color="000000"/>
              <w:right w:val="nil"/>
            </w:tcBorders>
            <w:tcMar>
              <w:top w:w="100" w:type="dxa"/>
              <w:left w:w="100" w:type="dxa"/>
              <w:bottom w:w="100" w:type="dxa"/>
              <w:right w:w="100" w:type="dxa"/>
            </w:tcMar>
          </w:tcPr>
          <w:p w14:paraId="1A847BBD" w14:textId="77777777" w:rsidR="00154DA0" w:rsidRDefault="00154DA0" w:rsidP="000378DE">
            <w:pPr>
              <w:spacing w:line="256" w:lineRule="auto"/>
              <w:rPr>
                <w:sz w:val="24"/>
                <w:szCs w:val="24"/>
              </w:rPr>
            </w:pPr>
            <w:r>
              <w:rPr>
                <w:sz w:val="24"/>
                <w:szCs w:val="24"/>
              </w:rPr>
              <w:t>2015 - 2016</w:t>
            </w:r>
          </w:p>
          <w:p w14:paraId="678BB49C" w14:textId="77777777" w:rsidR="00154DA0" w:rsidRDefault="00154DA0" w:rsidP="000378DE">
            <w:pPr>
              <w:spacing w:line="256" w:lineRule="auto"/>
              <w:rPr>
                <w:sz w:val="24"/>
                <w:szCs w:val="24"/>
              </w:rPr>
            </w:pPr>
          </w:p>
        </w:tc>
        <w:tc>
          <w:tcPr>
            <w:tcW w:w="1710" w:type="dxa"/>
            <w:tcBorders>
              <w:top w:val="single" w:sz="4" w:space="0" w:color="000000"/>
              <w:left w:val="nil"/>
              <w:bottom w:val="single" w:sz="4" w:space="0" w:color="000000"/>
              <w:right w:val="nil"/>
            </w:tcBorders>
            <w:tcMar>
              <w:top w:w="100" w:type="dxa"/>
              <w:left w:w="100" w:type="dxa"/>
              <w:bottom w:w="100" w:type="dxa"/>
              <w:right w:w="100" w:type="dxa"/>
            </w:tcMar>
          </w:tcPr>
          <w:p w14:paraId="759CB24A" w14:textId="77777777" w:rsidR="00154DA0" w:rsidRDefault="00154DA0" w:rsidP="000378DE">
            <w:pPr>
              <w:spacing w:line="256" w:lineRule="auto"/>
              <w:rPr>
                <w:sz w:val="24"/>
                <w:szCs w:val="24"/>
              </w:rPr>
            </w:pPr>
            <w:r>
              <w:rPr>
                <w:color w:val="212121"/>
                <w:sz w:val="24"/>
                <w:szCs w:val="24"/>
                <w:highlight w:val="white"/>
              </w:rPr>
              <w:t xml:space="preserve">Monthly; weekly for carriers </w:t>
            </w:r>
            <w:r>
              <w:rPr>
                <w:sz w:val="24"/>
                <w:szCs w:val="24"/>
              </w:rPr>
              <w:t>(6 months)</w:t>
            </w:r>
          </w:p>
        </w:tc>
        <w:tc>
          <w:tcPr>
            <w:tcW w:w="1260" w:type="dxa"/>
            <w:tcBorders>
              <w:top w:val="single" w:sz="4" w:space="0" w:color="000000"/>
              <w:left w:val="nil"/>
              <w:bottom w:val="single" w:sz="4" w:space="0" w:color="000000"/>
              <w:right w:val="nil"/>
            </w:tcBorders>
            <w:tcMar>
              <w:top w:w="100" w:type="dxa"/>
              <w:left w:w="100" w:type="dxa"/>
              <w:bottom w:w="100" w:type="dxa"/>
              <w:right w:w="100" w:type="dxa"/>
            </w:tcMar>
          </w:tcPr>
          <w:p w14:paraId="1770B71F" w14:textId="77777777" w:rsidR="00154DA0" w:rsidRDefault="00154DA0" w:rsidP="000378DE">
            <w:pPr>
              <w:spacing w:line="256" w:lineRule="auto"/>
              <w:jc w:val="center"/>
              <w:rPr>
                <w:sz w:val="24"/>
                <w:szCs w:val="24"/>
              </w:rPr>
            </w:pPr>
            <w:r>
              <w:rPr>
                <w:sz w:val="24"/>
                <w:szCs w:val="24"/>
              </w:rPr>
              <w:t xml:space="preserve">3 </w:t>
            </w:r>
          </w:p>
        </w:tc>
        <w:tc>
          <w:tcPr>
            <w:tcW w:w="1215" w:type="dxa"/>
            <w:tcBorders>
              <w:top w:val="single" w:sz="4" w:space="0" w:color="000000"/>
              <w:left w:val="nil"/>
              <w:bottom w:val="single" w:sz="4" w:space="0" w:color="000000"/>
              <w:right w:val="nil"/>
            </w:tcBorders>
            <w:tcMar>
              <w:top w:w="100" w:type="dxa"/>
              <w:left w:w="100" w:type="dxa"/>
              <w:bottom w:w="100" w:type="dxa"/>
              <w:right w:w="100" w:type="dxa"/>
            </w:tcMar>
          </w:tcPr>
          <w:p w14:paraId="5A2DEC03" w14:textId="77777777" w:rsidR="00154DA0" w:rsidRDefault="00154DA0" w:rsidP="000378DE">
            <w:pPr>
              <w:spacing w:line="256" w:lineRule="auto"/>
              <w:jc w:val="center"/>
              <w:rPr>
                <w:sz w:val="24"/>
                <w:szCs w:val="24"/>
              </w:rPr>
            </w:pPr>
            <w:r>
              <w:rPr>
                <w:sz w:val="24"/>
                <w:szCs w:val="24"/>
              </w:rPr>
              <w:t>~21 days#</w:t>
            </w:r>
          </w:p>
          <w:p w14:paraId="2EC4216F" w14:textId="77777777" w:rsidR="00154DA0" w:rsidRDefault="00154DA0" w:rsidP="000378DE">
            <w:pPr>
              <w:spacing w:line="256" w:lineRule="auto"/>
              <w:jc w:val="center"/>
              <w:rPr>
                <w:sz w:val="24"/>
                <w:szCs w:val="24"/>
              </w:rPr>
            </w:pPr>
          </w:p>
        </w:tc>
        <w:tc>
          <w:tcPr>
            <w:tcW w:w="1305" w:type="dxa"/>
            <w:tcBorders>
              <w:top w:val="single" w:sz="4" w:space="0" w:color="000000"/>
              <w:left w:val="nil"/>
              <w:bottom w:val="single" w:sz="4" w:space="0" w:color="000000"/>
              <w:right w:val="nil"/>
            </w:tcBorders>
            <w:tcMar>
              <w:top w:w="100" w:type="dxa"/>
              <w:left w:w="100" w:type="dxa"/>
              <w:bottom w:w="100" w:type="dxa"/>
              <w:right w:w="100" w:type="dxa"/>
            </w:tcMar>
          </w:tcPr>
          <w:p w14:paraId="354359D8" w14:textId="77777777" w:rsidR="00154DA0" w:rsidRDefault="00154DA0" w:rsidP="000378DE">
            <w:pPr>
              <w:spacing w:line="256" w:lineRule="auto"/>
              <w:jc w:val="center"/>
              <w:rPr>
                <w:sz w:val="24"/>
                <w:szCs w:val="24"/>
              </w:rPr>
            </w:pPr>
            <w:r>
              <w:rPr>
                <w:sz w:val="24"/>
                <w:szCs w:val="24"/>
              </w:rPr>
              <w:t>1</w:t>
            </w:r>
            <w:r>
              <w:rPr>
                <w:sz w:val="24"/>
                <w:szCs w:val="24"/>
                <w:vertAlign w:val="superscript"/>
              </w:rPr>
              <w:t>b</w:t>
            </w:r>
          </w:p>
          <w:p w14:paraId="73DA87FC" w14:textId="77777777" w:rsidR="00154DA0" w:rsidRDefault="00154DA0" w:rsidP="000378DE">
            <w:pPr>
              <w:spacing w:line="256" w:lineRule="auto"/>
              <w:jc w:val="center"/>
              <w:rPr>
                <w:sz w:val="24"/>
                <w:szCs w:val="24"/>
              </w:rPr>
            </w:pPr>
          </w:p>
        </w:tc>
        <w:tc>
          <w:tcPr>
            <w:tcW w:w="1110" w:type="dxa"/>
            <w:tcBorders>
              <w:top w:val="single" w:sz="4" w:space="0" w:color="000000"/>
              <w:left w:val="nil"/>
              <w:bottom w:val="single" w:sz="4" w:space="0" w:color="000000"/>
              <w:right w:val="nil"/>
            </w:tcBorders>
            <w:tcMar>
              <w:top w:w="100" w:type="dxa"/>
              <w:left w:w="100" w:type="dxa"/>
              <w:bottom w:w="100" w:type="dxa"/>
              <w:right w:w="100" w:type="dxa"/>
            </w:tcMar>
          </w:tcPr>
          <w:p w14:paraId="219FCA8E" w14:textId="77777777" w:rsidR="00154DA0" w:rsidRDefault="00154DA0" w:rsidP="000378DE">
            <w:pPr>
              <w:spacing w:line="256" w:lineRule="auto"/>
              <w:rPr>
                <w:sz w:val="24"/>
                <w:szCs w:val="24"/>
              </w:rPr>
            </w:pPr>
            <w:r>
              <w:rPr>
                <w:sz w:val="24"/>
                <w:szCs w:val="24"/>
              </w:rPr>
              <w:t>25 – 50 years</w:t>
            </w:r>
          </w:p>
        </w:tc>
        <w:tc>
          <w:tcPr>
            <w:tcW w:w="1425" w:type="dxa"/>
            <w:tcBorders>
              <w:top w:val="single" w:sz="4" w:space="0" w:color="000000"/>
              <w:left w:val="nil"/>
              <w:bottom w:val="single" w:sz="4" w:space="0" w:color="000000"/>
              <w:right w:val="nil"/>
            </w:tcBorders>
            <w:tcMar>
              <w:top w:w="100" w:type="dxa"/>
              <w:left w:w="100" w:type="dxa"/>
              <w:bottom w:w="100" w:type="dxa"/>
              <w:right w:w="100" w:type="dxa"/>
            </w:tcMar>
          </w:tcPr>
          <w:p w14:paraId="0A2A74BE" w14:textId="77777777" w:rsidR="00154DA0" w:rsidRDefault="00154DA0" w:rsidP="000378DE">
            <w:pPr>
              <w:spacing w:line="256" w:lineRule="auto"/>
              <w:rPr>
                <w:sz w:val="24"/>
                <w:szCs w:val="24"/>
              </w:rPr>
            </w:pPr>
            <w:r>
              <w:rPr>
                <w:sz w:val="24"/>
                <w:szCs w:val="24"/>
              </w:rPr>
              <w:t>Almeida et al.</w:t>
            </w:r>
          </w:p>
          <w:p w14:paraId="19CD579F" w14:textId="77777777" w:rsidR="00154DA0" w:rsidRDefault="00154DA0" w:rsidP="000378DE">
            <w:pPr>
              <w:spacing w:line="256" w:lineRule="auto"/>
              <w:rPr>
                <w:sz w:val="24"/>
                <w:szCs w:val="24"/>
              </w:rPr>
            </w:pPr>
            <w:r>
              <w:rPr>
                <w:sz w:val="24"/>
                <w:szCs w:val="24"/>
              </w:rPr>
              <w:t>2021</w:t>
            </w:r>
            <w:hyperlink r:id="rId22">
              <w:r>
                <w:rPr>
                  <w:color w:val="000000"/>
                  <w:sz w:val="24"/>
                  <w:szCs w:val="24"/>
                  <w:vertAlign w:val="superscript"/>
                </w:rPr>
                <w:t>18</w:t>
              </w:r>
            </w:hyperlink>
          </w:p>
        </w:tc>
      </w:tr>
    </w:tbl>
    <w:p w14:paraId="28188CFD" w14:textId="77777777" w:rsidR="00154DA0" w:rsidRDefault="00154DA0" w:rsidP="00154DA0">
      <w:pPr>
        <w:spacing w:line="256" w:lineRule="auto"/>
        <w:rPr>
          <w:sz w:val="24"/>
          <w:szCs w:val="24"/>
        </w:rPr>
      </w:pPr>
      <w:r>
        <w:rPr>
          <w:sz w:val="24"/>
          <w:szCs w:val="24"/>
        </w:rPr>
        <w:t>#The estimates are in terms of the observed rather than median carriage duration</w:t>
      </w:r>
    </w:p>
    <w:p w14:paraId="50E5915D" w14:textId="77777777" w:rsidR="00154DA0" w:rsidRDefault="00154DA0" w:rsidP="00154DA0">
      <w:pPr>
        <w:spacing w:line="256" w:lineRule="auto"/>
        <w:rPr>
          <w:sz w:val="24"/>
          <w:szCs w:val="24"/>
        </w:rPr>
      </w:pPr>
      <w:r>
        <w:rPr>
          <w:sz w:val="24"/>
          <w:szCs w:val="24"/>
        </w:rPr>
        <w:t>*Mean carriage duration (95% CI)</w:t>
      </w:r>
    </w:p>
    <w:p w14:paraId="12067341" w14:textId="77777777" w:rsidR="00154DA0" w:rsidRDefault="00154DA0" w:rsidP="00154DA0">
      <w:pPr>
        <w:spacing w:line="256" w:lineRule="auto"/>
        <w:rPr>
          <w:sz w:val="24"/>
          <w:szCs w:val="24"/>
        </w:rPr>
      </w:pPr>
      <w:r>
        <w:rPr>
          <w:sz w:val="24"/>
          <w:szCs w:val="24"/>
          <w:vertAlign w:val="superscript"/>
        </w:rPr>
        <w:t>a</w:t>
      </w:r>
      <w:r>
        <w:rPr>
          <w:sz w:val="24"/>
          <w:szCs w:val="24"/>
        </w:rPr>
        <w:t>Carriage episodes were defined as the date on which the last swab positive was collected and the date on which the first swab with a negative or other result was collected. Those that did not clear were right censored at the date on which the last swab positive for that serotype was collected.</w:t>
      </w:r>
    </w:p>
    <w:p w14:paraId="1C804F9E" w14:textId="77777777" w:rsidR="00154DA0" w:rsidRDefault="00154DA0" w:rsidP="00154DA0">
      <w:pPr>
        <w:spacing w:line="256" w:lineRule="auto"/>
        <w:rPr>
          <w:sz w:val="24"/>
          <w:szCs w:val="24"/>
        </w:rPr>
      </w:pPr>
      <w:r>
        <w:rPr>
          <w:sz w:val="24"/>
          <w:szCs w:val="24"/>
          <w:vertAlign w:val="superscript"/>
        </w:rPr>
        <w:t>b</w:t>
      </w:r>
      <w:r>
        <w:rPr>
          <w:sz w:val="24"/>
          <w:szCs w:val="24"/>
        </w:rPr>
        <w:t>Carriage episodes were defined as the midpoint between the last negative swab and the first positive swab for the serotype. Clearance of the serotype from the nasopharynx was considered to have occurred when two consecutive swabs were culture-negative for that serotype. Termination of the carriage episode was defined as the midpoint between the last positive swab and the first negative swab for serotype.</w:t>
      </w:r>
    </w:p>
    <w:p w14:paraId="4983B882" w14:textId="5858118B" w:rsidR="0038214D" w:rsidRPr="00154DA0" w:rsidRDefault="0038214D" w:rsidP="00154DA0">
      <w:pPr>
        <w:rPr>
          <w:b/>
          <w:color w:val="1155CC"/>
          <w:sz w:val="24"/>
          <w:szCs w:val="24"/>
          <w:u w:val="single"/>
        </w:rPr>
      </w:pPr>
    </w:p>
    <w:sectPr w:rsidR="0038214D" w:rsidRPr="00154DA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rial Unicode MS">
    <w:altName w:val="Arial"/>
    <w:panose1 w:val="020B0604020202020204"/>
    <w:charset w:val="00"/>
    <w:family w:val="auto"/>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4DA0"/>
    <w:rsid w:val="00154DA0"/>
    <w:rsid w:val="00200319"/>
    <w:rsid w:val="00235F39"/>
    <w:rsid w:val="0038214D"/>
    <w:rsid w:val="00AD7A41"/>
    <w:rsid w:val="00AE732B"/>
    <w:rsid w:val="00CF3EC8"/>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2A833F"/>
  <w15:chartTrackingRefBased/>
  <w15:docId w15:val="{990504CC-D5E1-43E2-9A73-D8C3004DE9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54DA0"/>
    <w:pPr>
      <w:spacing w:after="0" w:line="276" w:lineRule="auto"/>
    </w:pPr>
    <w:rPr>
      <w:rFonts w:ascii="Arial" w:eastAsia="Arial" w:hAnsi="Arial" w:cs="Arial"/>
      <w:kern w:val="0"/>
      <w:sz w:val="22"/>
      <w:szCs w:val="22"/>
      <w:lang w:val="en-GB"/>
      <w14:ligatures w14:val="none"/>
    </w:rPr>
  </w:style>
  <w:style w:type="paragraph" w:styleId="Heading1">
    <w:name w:val="heading 1"/>
    <w:basedOn w:val="Normal"/>
    <w:next w:val="Normal"/>
    <w:link w:val="Heading1Char"/>
    <w:uiPriority w:val="9"/>
    <w:qFormat/>
    <w:rsid w:val="00154DA0"/>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val="en-US"/>
      <w14:ligatures w14:val="standardContextual"/>
    </w:rPr>
  </w:style>
  <w:style w:type="paragraph" w:styleId="Heading2">
    <w:name w:val="heading 2"/>
    <w:basedOn w:val="Normal"/>
    <w:next w:val="Normal"/>
    <w:link w:val="Heading2Char"/>
    <w:uiPriority w:val="9"/>
    <w:semiHidden/>
    <w:unhideWhenUsed/>
    <w:qFormat/>
    <w:rsid w:val="00154DA0"/>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val="en-US"/>
      <w14:ligatures w14:val="standardContextual"/>
    </w:rPr>
  </w:style>
  <w:style w:type="paragraph" w:styleId="Heading3">
    <w:name w:val="heading 3"/>
    <w:basedOn w:val="Normal"/>
    <w:next w:val="Normal"/>
    <w:link w:val="Heading3Char"/>
    <w:uiPriority w:val="9"/>
    <w:semiHidden/>
    <w:unhideWhenUsed/>
    <w:qFormat/>
    <w:rsid w:val="00154DA0"/>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lang w:val="en-US"/>
      <w14:ligatures w14:val="standardContextual"/>
    </w:rPr>
  </w:style>
  <w:style w:type="paragraph" w:styleId="Heading4">
    <w:name w:val="heading 4"/>
    <w:basedOn w:val="Normal"/>
    <w:next w:val="Normal"/>
    <w:link w:val="Heading4Char"/>
    <w:uiPriority w:val="9"/>
    <w:semiHidden/>
    <w:unhideWhenUsed/>
    <w:qFormat/>
    <w:rsid w:val="00154DA0"/>
    <w:pPr>
      <w:keepNext/>
      <w:keepLines/>
      <w:spacing w:before="80" w:after="40" w:line="278" w:lineRule="auto"/>
      <w:outlineLvl w:val="3"/>
    </w:pPr>
    <w:rPr>
      <w:rFonts w:asciiTheme="minorHAnsi" w:eastAsiaTheme="majorEastAsia" w:hAnsiTheme="minorHAnsi" w:cstheme="majorBidi"/>
      <w:i/>
      <w:iCs/>
      <w:color w:val="0F4761" w:themeColor="accent1" w:themeShade="BF"/>
      <w:kern w:val="2"/>
      <w:sz w:val="24"/>
      <w:szCs w:val="24"/>
      <w:lang w:val="en-US"/>
      <w14:ligatures w14:val="standardContextual"/>
    </w:rPr>
  </w:style>
  <w:style w:type="paragraph" w:styleId="Heading5">
    <w:name w:val="heading 5"/>
    <w:basedOn w:val="Normal"/>
    <w:next w:val="Normal"/>
    <w:link w:val="Heading5Char"/>
    <w:uiPriority w:val="9"/>
    <w:semiHidden/>
    <w:unhideWhenUsed/>
    <w:qFormat/>
    <w:rsid w:val="00154DA0"/>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14:ligatures w14:val="standardContextual"/>
    </w:rPr>
  </w:style>
  <w:style w:type="paragraph" w:styleId="Heading6">
    <w:name w:val="heading 6"/>
    <w:basedOn w:val="Normal"/>
    <w:next w:val="Normal"/>
    <w:link w:val="Heading6Char"/>
    <w:uiPriority w:val="9"/>
    <w:semiHidden/>
    <w:unhideWhenUsed/>
    <w:qFormat/>
    <w:rsid w:val="00154DA0"/>
    <w:pPr>
      <w:keepNext/>
      <w:keepLines/>
      <w:spacing w:before="40" w:line="278" w:lineRule="auto"/>
      <w:outlineLvl w:val="5"/>
    </w:pPr>
    <w:rPr>
      <w:rFonts w:asciiTheme="minorHAnsi" w:eastAsiaTheme="majorEastAsia" w:hAnsiTheme="minorHAnsi" w:cstheme="majorBidi"/>
      <w:i/>
      <w:iCs/>
      <w:color w:val="595959" w:themeColor="text1" w:themeTint="A6"/>
      <w:kern w:val="2"/>
      <w:sz w:val="24"/>
      <w:szCs w:val="24"/>
      <w:lang w:val="en-US"/>
      <w14:ligatures w14:val="standardContextual"/>
    </w:rPr>
  </w:style>
  <w:style w:type="paragraph" w:styleId="Heading7">
    <w:name w:val="heading 7"/>
    <w:basedOn w:val="Normal"/>
    <w:next w:val="Normal"/>
    <w:link w:val="Heading7Char"/>
    <w:uiPriority w:val="9"/>
    <w:semiHidden/>
    <w:unhideWhenUsed/>
    <w:qFormat/>
    <w:rsid w:val="00154DA0"/>
    <w:pPr>
      <w:keepNext/>
      <w:keepLines/>
      <w:spacing w:before="40" w:line="278" w:lineRule="auto"/>
      <w:outlineLvl w:val="6"/>
    </w:pPr>
    <w:rPr>
      <w:rFonts w:asciiTheme="minorHAnsi" w:eastAsiaTheme="majorEastAsia" w:hAnsiTheme="minorHAnsi" w:cstheme="majorBidi"/>
      <w:color w:val="595959" w:themeColor="text1" w:themeTint="A6"/>
      <w:kern w:val="2"/>
      <w:sz w:val="24"/>
      <w:szCs w:val="24"/>
      <w:lang w:val="en-US"/>
      <w14:ligatures w14:val="standardContextual"/>
    </w:rPr>
  </w:style>
  <w:style w:type="paragraph" w:styleId="Heading8">
    <w:name w:val="heading 8"/>
    <w:basedOn w:val="Normal"/>
    <w:next w:val="Normal"/>
    <w:link w:val="Heading8Char"/>
    <w:uiPriority w:val="9"/>
    <w:semiHidden/>
    <w:unhideWhenUsed/>
    <w:qFormat/>
    <w:rsid w:val="00154DA0"/>
    <w:pPr>
      <w:keepNext/>
      <w:keepLines/>
      <w:spacing w:line="278" w:lineRule="auto"/>
      <w:outlineLvl w:val="7"/>
    </w:pPr>
    <w:rPr>
      <w:rFonts w:asciiTheme="minorHAnsi" w:eastAsiaTheme="majorEastAsia" w:hAnsiTheme="minorHAnsi" w:cstheme="majorBidi"/>
      <w:i/>
      <w:iCs/>
      <w:color w:val="272727" w:themeColor="text1" w:themeTint="D8"/>
      <w:kern w:val="2"/>
      <w:sz w:val="24"/>
      <w:szCs w:val="24"/>
      <w:lang w:val="en-US"/>
      <w14:ligatures w14:val="standardContextual"/>
    </w:rPr>
  </w:style>
  <w:style w:type="paragraph" w:styleId="Heading9">
    <w:name w:val="heading 9"/>
    <w:basedOn w:val="Normal"/>
    <w:next w:val="Normal"/>
    <w:link w:val="Heading9Char"/>
    <w:uiPriority w:val="9"/>
    <w:semiHidden/>
    <w:unhideWhenUsed/>
    <w:qFormat/>
    <w:rsid w:val="00154DA0"/>
    <w:pPr>
      <w:keepNext/>
      <w:keepLines/>
      <w:spacing w:line="278" w:lineRule="auto"/>
      <w:outlineLvl w:val="8"/>
    </w:pPr>
    <w:rPr>
      <w:rFonts w:asciiTheme="minorHAnsi" w:eastAsiaTheme="majorEastAsia" w:hAnsiTheme="minorHAnsi" w:cstheme="majorBidi"/>
      <w:color w:val="272727" w:themeColor="text1" w:themeTint="D8"/>
      <w:kern w:val="2"/>
      <w:sz w:val="24"/>
      <w:szCs w:val="24"/>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54DA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54DA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54DA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54DA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54DA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54DA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54DA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54DA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54DA0"/>
    <w:rPr>
      <w:rFonts w:eastAsiaTheme="majorEastAsia" w:cstheme="majorBidi"/>
      <w:color w:val="272727" w:themeColor="text1" w:themeTint="D8"/>
    </w:rPr>
  </w:style>
  <w:style w:type="paragraph" w:styleId="Title">
    <w:name w:val="Title"/>
    <w:basedOn w:val="Normal"/>
    <w:next w:val="Normal"/>
    <w:link w:val="TitleChar"/>
    <w:uiPriority w:val="10"/>
    <w:qFormat/>
    <w:rsid w:val="00154DA0"/>
    <w:pPr>
      <w:spacing w:after="80" w:line="240" w:lineRule="auto"/>
      <w:contextualSpacing/>
    </w:pPr>
    <w:rPr>
      <w:rFonts w:asciiTheme="majorHAnsi" w:eastAsiaTheme="majorEastAsia" w:hAnsiTheme="majorHAnsi" w:cstheme="majorBidi"/>
      <w:spacing w:val="-10"/>
      <w:kern w:val="28"/>
      <w:sz w:val="56"/>
      <w:szCs w:val="56"/>
      <w:lang w:val="en-US"/>
      <w14:ligatures w14:val="standardContextual"/>
    </w:rPr>
  </w:style>
  <w:style w:type="character" w:customStyle="1" w:styleId="TitleChar">
    <w:name w:val="Title Char"/>
    <w:basedOn w:val="DefaultParagraphFont"/>
    <w:link w:val="Title"/>
    <w:uiPriority w:val="10"/>
    <w:rsid w:val="00154DA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54DA0"/>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lang w:val="en-US"/>
      <w14:ligatures w14:val="standardContextual"/>
    </w:rPr>
  </w:style>
  <w:style w:type="character" w:customStyle="1" w:styleId="SubtitleChar">
    <w:name w:val="Subtitle Char"/>
    <w:basedOn w:val="DefaultParagraphFont"/>
    <w:link w:val="Subtitle"/>
    <w:uiPriority w:val="11"/>
    <w:rsid w:val="00154DA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54DA0"/>
    <w:pPr>
      <w:spacing w:before="160" w:after="160" w:line="278" w:lineRule="auto"/>
      <w:jc w:val="center"/>
    </w:pPr>
    <w:rPr>
      <w:rFonts w:asciiTheme="minorHAnsi" w:eastAsiaTheme="minorHAnsi" w:hAnsiTheme="minorHAnsi" w:cstheme="minorBidi"/>
      <w:i/>
      <w:iCs/>
      <w:color w:val="404040" w:themeColor="text1" w:themeTint="BF"/>
      <w:kern w:val="2"/>
      <w:sz w:val="24"/>
      <w:szCs w:val="24"/>
      <w:lang w:val="en-US"/>
      <w14:ligatures w14:val="standardContextual"/>
    </w:rPr>
  </w:style>
  <w:style w:type="character" w:customStyle="1" w:styleId="QuoteChar">
    <w:name w:val="Quote Char"/>
    <w:basedOn w:val="DefaultParagraphFont"/>
    <w:link w:val="Quote"/>
    <w:uiPriority w:val="29"/>
    <w:rsid w:val="00154DA0"/>
    <w:rPr>
      <w:i/>
      <w:iCs/>
      <w:color w:val="404040" w:themeColor="text1" w:themeTint="BF"/>
    </w:rPr>
  </w:style>
  <w:style w:type="paragraph" w:styleId="ListParagraph">
    <w:name w:val="List Paragraph"/>
    <w:basedOn w:val="Normal"/>
    <w:uiPriority w:val="34"/>
    <w:qFormat/>
    <w:rsid w:val="00154DA0"/>
    <w:pPr>
      <w:spacing w:after="160" w:line="278" w:lineRule="auto"/>
      <w:ind w:left="720"/>
      <w:contextualSpacing/>
    </w:pPr>
    <w:rPr>
      <w:rFonts w:asciiTheme="minorHAnsi" w:eastAsiaTheme="minorHAnsi" w:hAnsiTheme="minorHAnsi" w:cstheme="minorBidi"/>
      <w:kern w:val="2"/>
      <w:sz w:val="24"/>
      <w:szCs w:val="24"/>
      <w:lang w:val="en-US"/>
      <w14:ligatures w14:val="standardContextual"/>
    </w:rPr>
  </w:style>
  <w:style w:type="character" w:styleId="IntenseEmphasis">
    <w:name w:val="Intense Emphasis"/>
    <w:basedOn w:val="DefaultParagraphFont"/>
    <w:uiPriority w:val="21"/>
    <w:qFormat/>
    <w:rsid w:val="00154DA0"/>
    <w:rPr>
      <w:i/>
      <w:iCs/>
      <w:color w:val="0F4761" w:themeColor="accent1" w:themeShade="BF"/>
    </w:rPr>
  </w:style>
  <w:style w:type="paragraph" w:styleId="IntenseQuote">
    <w:name w:val="Intense Quote"/>
    <w:basedOn w:val="Normal"/>
    <w:next w:val="Normal"/>
    <w:link w:val="IntenseQuoteChar"/>
    <w:uiPriority w:val="30"/>
    <w:qFormat/>
    <w:rsid w:val="00154DA0"/>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sz w:val="24"/>
      <w:szCs w:val="24"/>
      <w:lang w:val="en-US"/>
      <w14:ligatures w14:val="standardContextual"/>
    </w:rPr>
  </w:style>
  <w:style w:type="character" w:customStyle="1" w:styleId="IntenseQuoteChar">
    <w:name w:val="Intense Quote Char"/>
    <w:basedOn w:val="DefaultParagraphFont"/>
    <w:link w:val="IntenseQuote"/>
    <w:uiPriority w:val="30"/>
    <w:rsid w:val="00154DA0"/>
    <w:rPr>
      <w:i/>
      <w:iCs/>
      <w:color w:val="0F4761" w:themeColor="accent1" w:themeShade="BF"/>
    </w:rPr>
  </w:style>
  <w:style w:type="character" w:styleId="IntenseReference">
    <w:name w:val="Intense Reference"/>
    <w:basedOn w:val="DefaultParagraphFont"/>
    <w:uiPriority w:val="32"/>
    <w:qFormat/>
    <w:rsid w:val="00154DA0"/>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paperpile.com/c/6yJ44z/ZhIIR" TargetMode="External"/><Relationship Id="rId13" Type="http://schemas.openxmlformats.org/officeDocument/2006/relationships/hyperlink" Target="https://paperpile.com/c/6yJ44z/lfjwM" TargetMode="External"/><Relationship Id="rId18" Type="http://schemas.openxmlformats.org/officeDocument/2006/relationships/hyperlink" Target="https://paperpile.com/c/6yJ44z/IHYAv" TargetMode="External"/><Relationship Id="rId3" Type="http://schemas.openxmlformats.org/officeDocument/2006/relationships/webSettings" Target="webSettings.xml"/><Relationship Id="rId21" Type="http://schemas.openxmlformats.org/officeDocument/2006/relationships/hyperlink" Target="https://paperpile.com/c/6yJ44z/lfjwM" TargetMode="External"/><Relationship Id="rId7" Type="http://schemas.openxmlformats.org/officeDocument/2006/relationships/image" Target="media/image4.png"/><Relationship Id="rId12" Type="http://schemas.openxmlformats.org/officeDocument/2006/relationships/hyperlink" Target="https://paperpile.com/c/6yJ44z/tVlhB" TargetMode="External"/><Relationship Id="rId17" Type="http://schemas.openxmlformats.org/officeDocument/2006/relationships/hyperlink" Target="https://paperpile.com/c/6yJ44z/orhDy" TargetMode="External"/><Relationship Id="rId2" Type="http://schemas.openxmlformats.org/officeDocument/2006/relationships/settings" Target="settings.xml"/><Relationship Id="rId16" Type="http://schemas.openxmlformats.org/officeDocument/2006/relationships/hyperlink" Target="https://paperpile.com/c/6yJ44z/ZhIIR" TargetMode="External"/><Relationship Id="rId20" Type="http://schemas.openxmlformats.org/officeDocument/2006/relationships/hyperlink" Target="https://paperpile.com/c/6yJ44z/tVlhB" TargetMode="Externa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hyperlink" Target="https://paperpile.com/c/6yJ44z/9e4GW" TargetMode="External"/><Relationship Id="rId24" Type="http://schemas.openxmlformats.org/officeDocument/2006/relationships/theme" Target="theme/theme1.xml"/><Relationship Id="rId5" Type="http://schemas.openxmlformats.org/officeDocument/2006/relationships/image" Target="media/image2.png"/><Relationship Id="rId15" Type="http://schemas.openxmlformats.org/officeDocument/2006/relationships/hyperlink" Target="https://paperpile.com/c/6yJ44z/qY62N" TargetMode="External"/><Relationship Id="rId23" Type="http://schemas.openxmlformats.org/officeDocument/2006/relationships/fontTable" Target="fontTable.xml"/><Relationship Id="rId10" Type="http://schemas.openxmlformats.org/officeDocument/2006/relationships/hyperlink" Target="https://paperpile.com/c/6yJ44z/IHYAv" TargetMode="External"/><Relationship Id="rId19" Type="http://schemas.openxmlformats.org/officeDocument/2006/relationships/hyperlink" Target="https://paperpile.com/c/6yJ44z/9e4GW" TargetMode="External"/><Relationship Id="rId4" Type="http://schemas.openxmlformats.org/officeDocument/2006/relationships/image" Target="media/image1.png"/><Relationship Id="rId9" Type="http://schemas.openxmlformats.org/officeDocument/2006/relationships/hyperlink" Target="https://paperpile.com/c/6yJ44z/orhDy" TargetMode="External"/><Relationship Id="rId14" Type="http://schemas.openxmlformats.org/officeDocument/2006/relationships/hyperlink" Target="https://paperpile.com/c/6yJ44z/kGVXU" TargetMode="External"/><Relationship Id="rId22" Type="http://schemas.openxmlformats.org/officeDocument/2006/relationships/hyperlink" Target="https://paperpile.com/c/6yJ44z/kGVX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9</Pages>
  <Words>1223</Words>
  <Characters>6974</Characters>
  <Application>Microsoft Office Word</Application>
  <DocSecurity>0</DocSecurity>
  <Lines>58</Lines>
  <Paragraphs>16</Paragraphs>
  <ScaleCrop>false</ScaleCrop>
  <Company>Springer Nature</Company>
  <LinksUpToDate>false</LinksUpToDate>
  <CharactersWithSpaces>8181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Pawar</dc:creator>
  <cp:keywords/>
  <dc:description/>
  <cp:lastModifiedBy>Sachin Pawar</cp:lastModifiedBy>
  <cp:revision>1</cp:revision>
  <dcterms:created xsi:type="dcterms:W3CDTF">2025-04-03T06:43:00Z</dcterms:created>
  <dcterms:modified xsi:type="dcterms:W3CDTF">2025-04-03T06:43:00Z</dcterms:modified>
</cp:coreProperties>
</file>