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52EC" w14:textId="77777777" w:rsidR="00A6721B" w:rsidRPr="000C349C" w:rsidRDefault="00000000">
      <w:pPr>
        <w:jc w:val="center"/>
        <w:rPr>
          <w:rFonts w:ascii="Arial" w:hAnsi="Arial" w:cs="Arial"/>
          <w:b/>
          <w:bCs/>
          <w:sz w:val="24"/>
        </w:rPr>
      </w:pPr>
      <w:r w:rsidRPr="000C349C">
        <w:rPr>
          <w:rFonts w:ascii="Arial" w:hAnsi="Arial" w:cs="Arial"/>
          <w:b/>
          <w:bCs/>
          <w:sz w:val="24"/>
        </w:rPr>
        <w:t>Revealing Novel Protein Biomarkers for Female Infertility through an Integrated Analysis of Plasma Proteomics and Mendelian Randomization</w:t>
      </w:r>
    </w:p>
    <w:p w14:paraId="0AD4EBFF" w14:textId="77777777" w:rsidR="00A6721B" w:rsidRPr="000C349C" w:rsidRDefault="00A6721B">
      <w:pPr>
        <w:rPr>
          <w:rFonts w:ascii="Arial" w:hAnsi="Arial" w:cs="Arial"/>
          <w:b/>
          <w:bCs/>
          <w:sz w:val="24"/>
        </w:rPr>
      </w:pPr>
    </w:p>
    <w:p w14:paraId="256E5B52" w14:textId="29D282FB" w:rsidR="00A6721B" w:rsidRPr="000C349C" w:rsidRDefault="00000000">
      <w:pPr>
        <w:jc w:val="left"/>
        <w:rPr>
          <w:rFonts w:ascii="Arial" w:hAnsi="Arial" w:cs="Arial"/>
          <w:b/>
          <w:bCs/>
          <w:sz w:val="24"/>
        </w:rPr>
      </w:pPr>
      <w:r w:rsidRPr="000C349C">
        <w:rPr>
          <w:rFonts w:ascii="Arial" w:hAnsi="Arial" w:cs="Arial"/>
          <w:b/>
          <w:bCs/>
          <w:sz w:val="24"/>
        </w:rPr>
        <w:t xml:space="preserve">Supplementary </w:t>
      </w:r>
      <w:bookmarkStart w:id="0" w:name="_Hlk192939573"/>
      <w:r w:rsidRPr="000C349C">
        <w:rPr>
          <w:rFonts w:ascii="Arial" w:hAnsi="Arial" w:cs="Arial"/>
          <w:b/>
          <w:bCs/>
          <w:sz w:val="24"/>
        </w:rPr>
        <w:t>Fig</w:t>
      </w:r>
      <w:r w:rsidR="00553470" w:rsidRPr="000C349C">
        <w:rPr>
          <w:rFonts w:ascii="Arial" w:hAnsi="Arial" w:cs="Arial"/>
          <w:b/>
          <w:bCs/>
          <w:sz w:val="24"/>
        </w:rPr>
        <w:t xml:space="preserve">ure </w:t>
      </w:r>
      <w:bookmarkEnd w:id="0"/>
      <w:r w:rsidRPr="000C349C">
        <w:rPr>
          <w:rFonts w:ascii="Arial" w:hAnsi="Arial" w:cs="Arial"/>
          <w:b/>
          <w:bCs/>
          <w:sz w:val="24"/>
        </w:rPr>
        <w:t>1 Protein-Protein Interaction (PPI) Network between Identified Causal Proteins and Implicated Protein Targets.</w:t>
      </w:r>
    </w:p>
    <w:p w14:paraId="03B64E4A" w14:textId="2D31ED17" w:rsidR="00553470" w:rsidRPr="000C349C" w:rsidRDefault="00000000" w:rsidP="00553470">
      <w:pPr>
        <w:jc w:val="left"/>
        <w:rPr>
          <w:rFonts w:ascii="Arial" w:hAnsi="Arial" w:cs="Arial"/>
          <w:b/>
          <w:bCs/>
          <w:sz w:val="24"/>
        </w:rPr>
      </w:pPr>
      <w:r w:rsidRPr="000C349C">
        <w:rPr>
          <w:rFonts w:ascii="Arial" w:hAnsi="Arial" w:cs="Arial"/>
          <w:b/>
          <w:bCs/>
          <w:sz w:val="24"/>
        </w:rPr>
        <w:t>Supplementary Fig</w:t>
      </w:r>
      <w:r w:rsidR="00553470" w:rsidRPr="000C349C">
        <w:rPr>
          <w:rFonts w:ascii="Arial" w:hAnsi="Arial" w:cs="Arial"/>
          <w:b/>
          <w:bCs/>
          <w:sz w:val="24"/>
        </w:rPr>
        <w:t xml:space="preserve">ure </w:t>
      </w:r>
      <w:r w:rsidRPr="000C349C">
        <w:rPr>
          <w:rFonts w:ascii="Arial" w:hAnsi="Arial" w:cs="Arial"/>
          <w:b/>
          <w:bCs/>
          <w:sz w:val="24"/>
        </w:rPr>
        <w:t>2 Results of Drug-Gene Interaction Analysis.</w:t>
      </w:r>
    </w:p>
    <w:p w14:paraId="146D6F6B" w14:textId="51120684" w:rsidR="00A6721B" w:rsidRDefault="00553470" w:rsidP="00553470">
      <w:pPr>
        <w:widowControl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03E618B8" w14:textId="77777777" w:rsidR="00A6721B" w:rsidRDefault="0000000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114300" distR="114300" wp14:anchorId="693D95DE" wp14:editId="7AAB634D">
            <wp:extent cx="3599815" cy="3182620"/>
            <wp:effectExtent l="0" t="0" r="0" b="0"/>
            <wp:docPr id="1" name="图片 1" descr="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PI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18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F0849" w14:textId="77777777" w:rsidR="00A6721B" w:rsidRDefault="0000000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val="en-IN" w:eastAsia="en-IN"/>
        </w:rPr>
        <w:drawing>
          <wp:inline distT="0" distB="0" distL="114300" distR="114300" wp14:anchorId="1C0D7244" wp14:editId="4AE566C1">
            <wp:extent cx="5273040" cy="342265"/>
            <wp:effectExtent l="0" t="0" r="5715" b="3175"/>
            <wp:docPr id="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DB043" w14:textId="37E83346" w:rsidR="00A6721B" w:rsidRPr="000C349C" w:rsidRDefault="00000000">
      <w:pPr>
        <w:spacing w:line="360" w:lineRule="auto"/>
        <w:rPr>
          <w:rFonts w:ascii="Arial" w:hAnsi="Arial" w:cs="Arial"/>
          <w:sz w:val="24"/>
        </w:rPr>
      </w:pPr>
      <w:r w:rsidRPr="000C349C">
        <w:rPr>
          <w:rFonts w:ascii="Arial" w:hAnsi="Arial" w:cs="Arial"/>
          <w:sz w:val="24"/>
        </w:rPr>
        <w:t xml:space="preserve">Supplementary </w:t>
      </w:r>
      <w:r w:rsidR="00553470" w:rsidRPr="000C349C">
        <w:rPr>
          <w:rFonts w:ascii="Arial" w:hAnsi="Arial" w:cs="Arial"/>
          <w:sz w:val="24"/>
        </w:rPr>
        <w:t xml:space="preserve">Figure </w:t>
      </w:r>
      <w:r w:rsidRPr="000C349C">
        <w:rPr>
          <w:rFonts w:ascii="Arial" w:hAnsi="Arial" w:cs="Arial"/>
          <w:sz w:val="24"/>
        </w:rPr>
        <w:t>1 Protein-Protein Interaction (PPI) Network between Identified Causal Proteins and Implicated Protein Targets.</w:t>
      </w:r>
    </w:p>
    <w:p w14:paraId="5E5FC8B7" w14:textId="77777777" w:rsidR="00A6721B" w:rsidRDefault="00A6721B">
      <w:pPr>
        <w:spacing w:line="360" w:lineRule="auto"/>
        <w:rPr>
          <w:rFonts w:ascii="Times New Roman" w:hAnsi="Times New Roman" w:cs="Times New Roman"/>
          <w:sz w:val="22"/>
          <w:szCs w:val="22"/>
        </w:rPr>
        <w:sectPr w:rsidR="00A6721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BA3EE2C" w14:textId="77777777" w:rsidR="00A6721B" w:rsidRDefault="00000000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CTF1</w:t>
      </w:r>
      <w:r>
        <w:rPr>
          <w:rFonts w:ascii="Times New Roman" w:hAnsi="Times New Roman" w:cs="Times New Roman" w:hint="eastAsia"/>
          <w:szCs w:val="21"/>
        </w:rPr>
        <w:t xml:space="preserve">                                  </w:t>
      </w:r>
      <w:proofErr w:type="gramStart"/>
      <w:r>
        <w:rPr>
          <w:rFonts w:ascii="Times New Roman" w:hAnsi="Times New Roman" w:cs="Times New Roman" w:hint="eastAsia"/>
          <w:szCs w:val="21"/>
        </w:rPr>
        <w:t xml:space="preserve">  </w:t>
      </w:r>
      <w:r>
        <w:rPr>
          <w:rFonts w:ascii="Times New Roman" w:hAnsi="Times New Roman" w:cs="Times New Roman" w:hint="eastAsia"/>
          <w:sz w:val="22"/>
          <w:szCs w:val="22"/>
        </w:rPr>
        <w:t xml:space="preserve"> (</w:t>
      </w:r>
      <w:proofErr w:type="gramEnd"/>
      <w:r>
        <w:rPr>
          <w:rFonts w:ascii="Times New Roman" w:hAnsi="Times New Roman" w:cs="Times New Roman" w:hint="eastAsia"/>
          <w:sz w:val="22"/>
          <w:szCs w:val="22"/>
        </w:rPr>
        <w:t>b) IGFBP5</w:t>
      </w:r>
    </w:p>
    <w:p w14:paraId="7AF4D1B7" w14:textId="77777777" w:rsidR="00A6721B" w:rsidRDefault="00000000">
      <w:r>
        <w:rPr>
          <w:noProof/>
        </w:rPr>
        <w:drawing>
          <wp:inline distT="0" distB="0" distL="114300" distR="114300" wp14:anchorId="5DA3E1F6" wp14:editId="73209120">
            <wp:extent cx="2411730" cy="1736090"/>
            <wp:effectExtent l="0" t="0" r="635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114300" distR="114300" wp14:anchorId="436C7502" wp14:editId="32D19549">
            <wp:extent cx="2411730" cy="1697355"/>
            <wp:effectExtent l="0" t="0" r="6350" b="825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E617A" w14:textId="77777777" w:rsidR="00A6721B" w:rsidRDefault="00A6721B"/>
    <w:p w14:paraId="318E52DF" w14:textId="77777777" w:rsidR="00A6721B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(c)</w:t>
      </w: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CNTFR</w:t>
      </w:r>
      <w:r>
        <w:rPr>
          <w:rFonts w:ascii="Times New Roman" w:hAnsi="Times New Roman" w:cs="Times New Roman" w:hint="eastAsia"/>
          <w:sz w:val="22"/>
          <w:szCs w:val="22"/>
        </w:rPr>
        <w:t xml:space="preserve">                              </w:t>
      </w:r>
      <w:proofErr w:type="gramStart"/>
      <w:r>
        <w:rPr>
          <w:rFonts w:ascii="Times New Roman" w:hAnsi="Times New Roman" w:cs="Times New Roman" w:hint="eastAsia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End"/>
      <w:r>
        <w:rPr>
          <w:rFonts w:ascii="Times New Roman" w:hAnsi="Times New Roman" w:cs="Times New Roman" w:hint="eastAsia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 w:hint="eastAsia"/>
          <w:sz w:val="22"/>
          <w:szCs w:val="22"/>
        </w:rPr>
        <w:t xml:space="preserve"> IL11RA</w:t>
      </w:r>
    </w:p>
    <w:p w14:paraId="3C0E0EC7" w14:textId="77777777" w:rsidR="00A6721B" w:rsidRDefault="00000000">
      <w:r>
        <w:rPr>
          <w:noProof/>
        </w:rPr>
        <w:drawing>
          <wp:inline distT="0" distB="0" distL="114300" distR="114300" wp14:anchorId="2D58D6E8" wp14:editId="44393D66">
            <wp:extent cx="2411730" cy="1652905"/>
            <wp:effectExtent l="0" t="0" r="6350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114300" distR="114300" wp14:anchorId="62F557F5" wp14:editId="793C2D0A">
            <wp:extent cx="2411730" cy="1686560"/>
            <wp:effectExtent l="0" t="0" r="6350" b="825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9B300" w14:textId="77777777" w:rsidR="00A6721B" w:rsidRDefault="00A6721B"/>
    <w:p w14:paraId="4634BE26" w14:textId="77777777" w:rsidR="00A6721B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 w:hint="eastAsia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 w:hint="eastAsia"/>
          <w:sz w:val="22"/>
          <w:szCs w:val="22"/>
        </w:rPr>
        <w:t xml:space="preserve"> OSMR                               </w:t>
      </w:r>
      <w:proofErr w:type="gramStart"/>
      <w:r>
        <w:rPr>
          <w:rFonts w:ascii="Times New Roman" w:hAnsi="Times New Roman" w:cs="Times New Roman" w:hint="eastAsia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End"/>
      <w:r>
        <w:rPr>
          <w:rFonts w:ascii="Times New Roman" w:hAnsi="Times New Roman" w:cs="Times New Roman" w:hint="eastAsia"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 w:hint="eastAsia"/>
          <w:sz w:val="22"/>
          <w:szCs w:val="22"/>
        </w:rPr>
        <w:t xml:space="preserve"> IL6ST</w:t>
      </w:r>
    </w:p>
    <w:p w14:paraId="706F85A8" w14:textId="77777777" w:rsidR="00A6721B" w:rsidRDefault="00000000">
      <w:r>
        <w:rPr>
          <w:noProof/>
        </w:rPr>
        <w:drawing>
          <wp:inline distT="0" distB="0" distL="114300" distR="114300" wp14:anchorId="1498CD13" wp14:editId="45000FDE">
            <wp:extent cx="2411730" cy="1673860"/>
            <wp:effectExtent l="0" t="0" r="6350" b="1016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114300" distR="114300" wp14:anchorId="2E6D99CE" wp14:editId="3DB24BBA">
            <wp:extent cx="2411730" cy="1668780"/>
            <wp:effectExtent l="0" t="0" r="6350" b="444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76450" w14:textId="77777777" w:rsidR="00A6721B" w:rsidRDefault="00A6721B"/>
    <w:p w14:paraId="7680024A" w14:textId="77777777" w:rsidR="00A6721B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 w:hint="eastAsia"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 w:hint="eastAsia"/>
          <w:sz w:val="22"/>
          <w:szCs w:val="22"/>
        </w:rPr>
        <w:t xml:space="preserve"> LIFR                                 </w:t>
      </w:r>
      <w:proofErr w:type="gramStart"/>
      <w:r>
        <w:rPr>
          <w:rFonts w:ascii="Times New Roman" w:hAnsi="Times New Roman" w:cs="Times New Roman" w:hint="eastAsia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End"/>
      <w:r>
        <w:rPr>
          <w:rFonts w:ascii="Times New Roman" w:hAnsi="Times New Roman" w:cs="Times New Roman" w:hint="eastAsia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 w:hint="eastAsia"/>
          <w:sz w:val="22"/>
          <w:szCs w:val="22"/>
        </w:rPr>
        <w:t xml:space="preserve"> CNTF</w:t>
      </w:r>
    </w:p>
    <w:p w14:paraId="27E4B7B0" w14:textId="77777777" w:rsidR="00A6721B" w:rsidRDefault="00000000">
      <w:r>
        <w:rPr>
          <w:noProof/>
        </w:rPr>
        <w:drawing>
          <wp:inline distT="0" distB="0" distL="114300" distR="114300" wp14:anchorId="7C0FFAE1" wp14:editId="0C18818D">
            <wp:extent cx="2411730" cy="1651635"/>
            <wp:effectExtent l="0" t="0" r="6350" b="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114300" distR="114300" wp14:anchorId="232EC2C9" wp14:editId="53F35436">
            <wp:extent cx="2411730" cy="1656715"/>
            <wp:effectExtent l="0" t="0" r="6350" b="571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7A20C" w14:textId="77777777" w:rsidR="00A6721B" w:rsidRDefault="00A6721B">
      <w:pPr>
        <w:rPr>
          <w:rFonts w:ascii="Times New Roman" w:hAnsi="Times New Roman" w:cs="Times New Roman"/>
          <w:sz w:val="22"/>
          <w:szCs w:val="22"/>
        </w:rPr>
      </w:pPr>
    </w:p>
    <w:p w14:paraId="7EC0684B" w14:textId="77777777" w:rsidR="00A6721B" w:rsidRDefault="00000000">
      <w:r>
        <w:rPr>
          <w:rFonts w:ascii="Times New Roman" w:hAnsi="Times New Roman" w:cs="Times New Roman"/>
          <w:sz w:val="22"/>
          <w:szCs w:val="22"/>
        </w:rPr>
        <w:lastRenderedPageBreak/>
        <w:t>(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i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 w:hint="eastAsia"/>
          <w:sz w:val="22"/>
          <w:szCs w:val="22"/>
        </w:rPr>
        <w:t xml:space="preserve"> OSM                                   </w:t>
      </w:r>
      <w:proofErr w:type="gramStart"/>
      <w:r>
        <w:rPr>
          <w:rFonts w:ascii="Times New Roman" w:hAnsi="Times New Roman" w:cs="Times New Roman" w:hint="eastAsia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End"/>
      <w:r>
        <w:rPr>
          <w:rFonts w:ascii="Times New Roman" w:hAnsi="Times New Roman" w:cs="Times New Roman" w:hint="eastAsia"/>
          <w:sz w:val="22"/>
          <w:szCs w:val="22"/>
        </w:rPr>
        <w:t>j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 w:hint="eastAsia"/>
          <w:sz w:val="22"/>
          <w:szCs w:val="22"/>
        </w:rPr>
        <w:t xml:space="preserve"> FHL1</w:t>
      </w:r>
    </w:p>
    <w:p w14:paraId="366DFF74" w14:textId="77777777" w:rsidR="00A6721B" w:rsidRDefault="00000000">
      <w:r>
        <w:rPr>
          <w:noProof/>
        </w:rPr>
        <w:drawing>
          <wp:inline distT="0" distB="0" distL="114300" distR="114300" wp14:anchorId="38F2887D" wp14:editId="4B6AFA54">
            <wp:extent cx="2411730" cy="1675765"/>
            <wp:effectExtent l="0" t="0" r="6350" b="8255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114300" distR="114300" wp14:anchorId="621236F7" wp14:editId="6FD38263">
            <wp:extent cx="2411730" cy="1680210"/>
            <wp:effectExtent l="0" t="0" r="6350" b="3810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DE8DF" w14:textId="77777777" w:rsidR="00A6721B" w:rsidRDefault="00A6721B"/>
    <w:p w14:paraId="260B83C9" w14:textId="77777777" w:rsidR="00A6721B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 w:hint="eastAsia"/>
          <w:sz w:val="22"/>
          <w:szCs w:val="22"/>
        </w:rPr>
        <w:t>k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 w:hint="eastAsia"/>
          <w:sz w:val="22"/>
          <w:szCs w:val="22"/>
        </w:rPr>
        <w:t xml:space="preserve"> IGFBP6                                </w:t>
      </w:r>
      <w:proofErr w:type="gramStart"/>
      <w:r>
        <w:rPr>
          <w:rFonts w:ascii="Times New Roman" w:hAnsi="Times New Roman" w:cs="Times New Roman" w:hint="eastAsia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End"/>
      <w:r>
        <w:rPr>
          <w:rFonts w:ascii="Times New Roman" w:hAnsi="Times New Roman" w:cs="Times New Roman" w:hint="eastAsia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 w:hint="eastAsia"/>
          <w:sz w:val="22"/>
          <w:szCs w:val="22"/>
        </w:rPr>
        <w:t xml:space="preserve"> PAPPA</w:t>
      </w:r>
    </w:p>
    <w:p w14:paraId="22CB8885" w14:textId="77777777" w:rsidR="00A6721B" w:rsidRDefault="00000000">
      <w:r>
        <w:rPr>
          <w:noProof/>
        </w:rPr>
        <w:drawing>
          <wp:inline distT="0" distB="0" distL="114300" distR="114300" wp14:anchorId="203DF5F2" wp14:editId="041100A3">
            <wp:extent cx="2411730" cy="1711960"/>
            <wp:effectExtent l="0" t="0" r="6350" b="4445"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114300" distR="114300" wp14:anchorId="1B5217C7" wp14:editId="3766E75D">
            <wp:extent cx="2411730" cy="1705610"/>
            <wp:effectExtent l="0" t="0" r="6350" b="0"/>
            <wp:docPr id="1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10944" w14:textId="77777777" w:rsidR="00A6721B" w:rsidRDefault="00A6721B"/>
    <w:p w14:paraId="5B0D6352" w14:textId="77777777" w:rsidR="00A6721B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 w:hint="eastAsia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 w:hint="eastAsia"/>
          <w:sz w:val="22"/>
          <w:szCs w:val="22"/>
        </w:rPr>
        <w:t xml:space="preserve"> PAPPA2                                </w:t>
      </w:r>
      <w:proofErr w:type="gramStart"/>
      <w:r>
        <w:rPr>
          <w:rFonts w:ascii="Times New Roman" w:hAnsi="Times New Roman" w:cs="Times New Roman" w:hint="eastAsia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End"/>
      <w:r>
        <w:rPr>
          <w:rFonts w:ascii="Times New Roman" w:hAnsi="Times New Roman" w:cs="Times New Roman" w:hint="eastAsia"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 w:hint="eastAsia"/>
          <w:sz w:val="22"/>
          <w:szCs w:val="22"/>
        </w:rPr>
        <w:t xml:space="preserve"> GHR</w:t>
      </w:r>
    </w:p>
    <w:p w14:paraId="2BA8371A" w14:textId="77777777" w:rsidR="00A6721B" w:rsidRDefault="00000000">
      <w:r>
        <w:rPr>
          <w:noProof/>
        </w:rPr>
        <w:drawing>
          <wp:inline distT="0" distB="0" distL="114300" distR="114300" wp14:anchorId="01C6ABDD" wp14:editId="3DBBDEEE">
            <wp:extent cx="2411730" cy="1680845"/>
            <wp:effectExtent l="0" t="0" r="6350" b="3175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114300" distR="114300" wp14:anchorId="6B64194B" wp14:editId="7A2B3200">
            <wp:extent cx="2411730" cy="1720215"/>
            <wp:effectExtent l="0" t="0" r="6350" b="6985"/>
            <wp:docPr id="2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E80BC" w14:textId="29DE57D9" w:rsidR="00A6721B" w:rsidRDefault="00000000" w:rsidP="00553470">
      <w:pPr>
        <w:spacing w:line="360" w:lineRule="auto"/>
        <w:jc w:val="left"/>
      </w:pPr>
      <w:r>
        <w:rPr>
          <w:rFonts w:ascii="Times New Roman" w:hAnsi="Times New Roman" w:cs="Times New Roman" w:hint="eastAsia"/>
          <w:sz w:val="22"/>
          <w:szCs w:val="22"/>
        </w:rPr>
        <w:t xml:space="preserve">Supplementary </w:t>
      </w:r>
      <w:r w:rsidR="00553470" w:rsidRPr="00553470">
        <w:rPr>
          <w:rFonts w:ascii="Times New Roman" w:hAnsi="Times New Roman" w:cs="Times New Roman"/>
          <w:sz w:val="22"/>
          <w:szCs w:val="22"/>
        </w:rPr>
        <w:t xml:space="preserve">Figure </w:t>
      </w:r>
      <w:r>
        <w:rPr>
          <w:rFonts w:ascii="Times New Roman" w:hAnsi="Times New Roman" w:cs="Times New Roman" w:hint="eastAsia"/>
          <w:sz w:val="22"/>
          <w:szCs w:val="22"/>
        </w:rPr>
        <w:t xml:space="preserve">2 Results of Drug-Gene Interaction Analysis. Plasma proteins: </w:t>
      </w:r>
      <w:r>
        <w:rPr>
          <w:rFonts w:ascii="Times New Roman" w:hAnsi="Times New Roman" w:cs="Times New Roman"/>
          <w:sz w:val="22"/>
          <w:szCs w:val="22"/>
        </w:rPr>
        <w:t>CTF1</w:t>
      </w:r>
      <w:r>
        <w:rPr>
          <w:rFonts w:ascii="Times New Roman" w:hAnsi="Times New Roman" w:cs="Times New Roman" w:hint="eastAsia"/>
          <w:sz w:val="22"/>
          <w:szCs w:val="22"/>
        </w:rPr>
        <w:t xml:space="preserve">(a), IGFBP5(b), </w:t>
      </w:r>
      <w:r>
        <w:rPr>
          <w:rFonts w:ascii="Times New Roman" w:hAnsi="Times New Roman" w:cs="Times New Roman"/>
          <w:sz w:val="22"/>
          <w:szCs w:val="22"/>
        </w:rPr>
        <w:t>CNTFR(c)</w:t>
      </w:r>
      <w:r>
        <w:rPr>
          <w:rFonts w:ascii="Times New Roman" w:hAnsi="Times New Roman" w:cs="Times New Roman" w:hint="eastAsia"/>
          <w:sz w:val="22"/>
          <w:szCs w:val="22"/>
        </w:rPr>
        <w:t>, IL11RA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 w:hint="eastAsia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 w:hint="eastAsia"/>
          <w:sz w:val="22"/>
          <w:szCs w:val="22"/>
        </w:rPr>
        <w:t>, OSMR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 w:hint="eastAsia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 w:hint="eastAsia"/>
          <w:sz w:val="22"/>
          <w:szCs w:val="22"/>
        </w:rPr>
        <w:t>, IL6ST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 w:hint="eastAsia"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 w:hint="eastAsia"/>
          <w:sz w:val="22"/>
          <w:szCs w:val="22"/>
        </w:rPr>
        <w:t>, LIFR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 w:hint="eastAsia"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 w:hint="eastAsia"/>
          <w:sz w:val="22"/>
          <w:szCs w:val="22"/>
        </w:rPr>
        <w:t>, CNTF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 w:hint="eastAsia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 w:hint="eastAsia"/>
          <w:sz w:val="22"/>
          <w:szCs w:val="22"/>
        </w:rPr>
        <w:t>, OSM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i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 w:hint="eastAsia"/>
          <w:sz w:val="22"/>
          <w:szCs w:val="22"/>
        </w:rPr>
        <w:t>, FHL1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 w:hint="eastAsia"/>
          <w:sz w:val="22"/>
          <w:szCs w:val="22"/>
        </w:rPr>
        <w:t>j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 w:hint="eastAsia"/>
          <w:sz w:val="22"/>
          <w:szCs w:val="22"/>
        </w:rPr>
        <w:t>, IGFBP6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 w:hint="eastAsia"/>
          <w:sz w:val="22"/>
          <w:szCs w:val="22"/>
        </w:rPr>
        <w:t>k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 w:hint="eastAsia"/>
          <w:sz w:val="22"/>
          <w:szCs w:val="22"/>
        </w:rPr>
        <w:t>, PAPPA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 w:hint="eastAsia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 w:hint="eastAsia"/>
          <w:sz w:val="22"/>
          <w:szCs w:val="22"/>
        </w:rPr>
        <w:t>, PAPPA2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 w:hint="eastAsia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 w:hint="eastAsia"/>
          <w:sz w:val="22"/>
          <w:szCs w:val="22"/>
        </w:rPr>
        <w:t>, GHR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 w:hint="eastAsia"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 w:hint="eastAsia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CTF1</w:t>
      </w:r>
      <w:r>
        <w:rPr>
          <w:rFonts w:ascii="Times New Roman" w:hAnsi="Times New Roman" w:cs="Times New Roman" w:hint="eastAsia"/>
          <w:sz w:val="22"/>
          <w:szCs w:val="22"/>
        </w:rPr>
        <w:t xml:space="preserve">=Cardiotrophin-1, IGFBP5=Insulin-like growth factor-binding protein 5, </w:t>
      </w:r>
      <w:r>
        <w:rPr>
          <w:rFonts w:ascii="Times New Roman" w:hAnsi="Times New Roman" w:cs="Times New Roman"/>
          <w:sz w:val="22"/>
          <w:szCs w:val="22"/>
        </w:rPr>
        <w:t>CNTFR</w:t>
      </w:r>
      <w:r>
        <w:rPr>
          <w:rFonts w:ascii="Times New Roman" w:hAnsi="Times New Roman" w:cs="Times New Roman" w:hint="eastAsia"/>
          <w:sz w:val="22"/>
          <w:szCs w:val="22"/>
        </w:rPr>
        <w:t>=Ciliary neurotrophic factor receptor subunit alpha, IL11RA=Interleukin-11 receptor subunit alpha, OSMR=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Oncostatin</w:t>
      </w:r>
      <w:proofErr w:type="spellEnd"/>
      <w:r>
        <w:rPr>
          <w:rFonts w:ascii="Times New Roman" w:hAnsi="Times New Roman" w:cs="Times New Roman" w:hint="eastAsia"/>
          <w:sz w:val="22"/>
          <w:szCs w:val="22"/>
        </w:rPr>
        <w:t>-M-specific receptor subunit beta, IL6ST=Interleukin-6 receptor subunit beta, LIFR=Leukemia inhibitory factor receptor, CNTF=Ciliary neurotrophic factor, OSM=</w:t>
      </w:r>
      <w:proofErr w:type="spellStart"/>
      <w:r>
        <w:rPr>
          <w:rFonts w:ascii="Times New Roman" w:hAnsi="Times New Roman" w:cs="Times New Roman" w:hint="eastAsia"/>
          <w:sz w:val="22"/>
          <w:szCs w:val="22"/>
        </w:rPr>
        <w:t>Oncostatin</w:t>
      </w:r>
      <w:proofErr w:type="spellEnd"/>
      <w:r>
        <w:rPr>
          <w:rFonts w:ascii="Times New Roman" w:hAnsi="Times New Roman" w:cs="Times New Roman" w:hint="eastAsia"/>
          <w:sz w:val="22"/>
          <w:szCs w:val="22"/>
        </w:rPr>
        <w:t xml:space="preserve">-M , FHL1=Four and a half LIM domains protein 1 , IGFBP6=Insulin-like </w:t>
      </w:r>
      <w:r>
        <w:rPr>
          <w:rFonts w:ascii="Times New Roman" w:hAnsi="Times New Roman" w:cs="Times New Roman" w:hint="eastAsia"/>
          <w:sz w:val="22"/>
          <w:szCs w:val="22"/>
        </w:rPr>
        <w:lastRenderedPageBreak/>
        <w:t>growth factor-binding protein 6, PAPPA=Pappalysin-1 , PAPPA2=Pappalysin-2 , GHR=Growth hormone-binding protein.</w:t>
      </w:r>
    </w:p>
    <w:sectPr w:rsidR="00A67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F824D"/>
    <w:multiLevelType w:val="singleLevel"/>
    <w:tmpl w:val="65CF824D"/>
    <w:lvl w:ilvl="0">
      <w:start w:val="1"/>
      <w:numFmt w:val="lowerLetter"/>
      <w:suff w:val="space"/>
      <w:lvlText w:val="(%1)"/>
      <w:lvlJc w:val="left"/>
    </w:lvl>
  </w:abstractNum>
  <w:num w:numId="1" w16cid:durableId="16583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21B"/>
    <w:rsid w:val="000C349C"/>
    <w:rsid w:val="00441BE4"/>
    <w:rsid w:val="00553470"/>
    <w:rsid w:val="00831713"/>
    <w:rsid w:val="00A6721B"/>
    <w:rsid w:val="110141D9"/>
    <w:rsid w:val="48850C55"/>
    <w:rsid w:val="4C583BC9"/>
    <w:rsid w:val="576706D8"/>
    <w:rsid w:val="60176B1F"/>
    <w:rsid w:val="669C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4BBB4"/>
  <w15:docId w15:val="{8DE953D2-BE4F-48F1-9145-D3538549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17865</dc:creator>
  <cp:lastModifiedBy>小新 贺</cp:lastModifiedBy>
  <cp:revision>3</cp:revision>
  <dcterms:created xsi:type="dcterms:W3CDTF">2025-03-01T02:49:00Z</dcterms:created>
  <dcterms:modified xsi:type="dcterms:W3CDTF">2025-03-26T11:28:00Z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eyJoZGlkIjoiZGQ1NGYzMjg1MDEyNzU4YzNiMDNkMmZkY2YxY2Y0YzUiLCJ1c2VySWQiOiIzMzMwNTgwMjMifQ==</vt:lpwstr>
  </property>
  <property fmtid="{D5CDD505-2E9C-101B-9397-08002B2CF9AE}" pid="4" name="ICV">
    <vt:lpwstr>6DFF3CAC4DA84A9D93911FBF35A0B287_12</vt:lpwstr>
  </property>
</Properties>
</file>