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A08F" w14:textId="77777777" w:rsidR="000D4973" w:rsidRDefault="000D4973" w:rsidP="000D4973">
      <w:pPr>
        <w:pStyle w:val="NormalWeb"/>
        <w:spacing w:before="0" w:beforeAutospacing="0" w:after="60" w:afterAutospacing="0"/>
        <w:jc w:val="both"/>
      </w:pPr>
      <w:r>
        <w:rPr>
          <w:b/>
          <w:bCs/>
          <w:color w:val="000000"/>
          <w:sz w:val="36"/>
          <w:szCs w:val="36"/>
        </w:rPr>
        <w:t>A Long-read based Haplotype Panel Enhances Imputation and Discovery of Functional Small and Structural Variants</w:t>
      </w:r>
    </w:p>
    <w:p w14:paraId="04319920" w14:textId="74074DF4" w:rsidR="004D6019" w:rsidRPr="00E83B60" w:rsidRDefault="004D6019" w:rsidP="00E83B60">
      <w:pPr>
        <w:pStyle w:val="Title"/>
        <w:jc w:val="both"/>
        <w:rPr>
          <w:rFonts w:ascii="Times New Roman" w:hAnsi="Times New Roman" w:cs="Times New Roman"/>
          <w:sz w:val="24"/>
          <w:szCs w:val="24"/>
          <w:vertAlign w:val="superscript"/>
        </w:rPr>
      </w:pPr>
      <w:r w:rsidRPr="00E53233">
        <w:rPr>
          <w:rFonts w:ascii="Times New Roman" w:hAnsi="Times New Roman" w:cs="Times New Roman"/>
          <w:sz w:val="24"/>
          <w:szCs w:val="24"/>
        </w:rPr>
        <w:br/>
      </w:r>
      <w:r w:rsidR="00E83B60" w:rsidRPr="00E83B60">
        <w:rPr>
          <w:rFonts w:ascii="Times New Roman" w:hAnsi="Times New Roman" w:cs="Times New Roman"/>
          <w:color w:val="000000"/>
          <w:sz w:val="24"/>
          <w:szCs w:val="24"/>
        </w:rPr>
        <w:t xml:space="preserve">Tingting Gong, </w:t>
      </w:r>
      <w:proofErr w:type="spellStart"/>
      <w:r w:rsidR="00E83B60" w:rsidRPr="00E83B60">
        <w:rPr>
          <w:rFonts w:ascii="Times New Roman" w:hAnsi="Times New Roman" w:cs="Times New Roman"/>
          <w:color w:val="000000"/>
          <w:sz w:val="24"/>
          <w:szCs w:val="24"/>
        </w:rPr>
        <w:t>Yulu</w:t>
      </w:r>
      <w:proofErr w:type="spellEnd"/>
      <w:r w:rsidR="00E83B60" w:rsidRPr="00E83B60">
        <w:rPr>
          <w:rFonts w:ascii="Times New Roman" w:hAnsi="Times New Roman" w:cs="Times New Roman"/>
          <w:color w:val="000000"/>
          <w:sz w:val="24"/>
          <w:szCs w:val="24"/>
        </w:rPr>
        <w:t xml:space="preserve"> Zhou, </w:t>
      </w:r>
      <w:proofErr w:type="spellStart"/>
      <w:r w:rsidR="00E83B60" w:rsidRPr="00E83B60">
        <w:rPr>
          <w:rFonts w:ascii="Times New Roman" w:hAnsi="Times New Roman" w:cs="Times New Roman"/>
          <w:color w:val="000000"/>
          <w:sz w:val="24"/>
          <w:szCs w:val="24"/>
        </w:rPr>
        <w:t>Yechao</w:t>
      </w:r>
      <w:proofErr w:type="spellEnd"/>
      <w:r w:rsidR="00E83B60" w:rsidRPr="00E83B60">
        <w:rPr>
          <w:rFonts w:ascii="Times New Roman" w:hAnsi="Times New Roman" w:cs="Times New Roman"/>
          <w:color w:val="000000"/>
          <w:sz w:val="24"/>
          <w:szCs w:val="24"/>
        </w:rPr>
        <w:t xml:space="preserve"> Huang, </w:t>
      </w:r>
      <w:proofErr w:type="spellStart"/>
      <w:r w:rsidR="00E83B60" w:rsidRPr="00E83B60">
        <w:rPr>
          <w:rFonts w:ascii="Times New Roman" w:hAnsi="Times New Roman" w:cs="Times New Roman"/>
          <w:color w:val="000000"/>
          <w:sz w:val="24"/>
          <w:szCs w:val="24"/>
        </w:rPr>
        <w:t>Junfan</w:t>
      </w:r>
      <w:proofErr w:type="spellEnd"/>
      <w:r w:rsidR="00E83B60" w:rsidRPr="00E83B60">
        <w:rPr>
          <w:rFonts w:ascii="Times New Roman" w:hAnsi="Times New Roman" w:cs="Times New Roman"/>
          <w:color w:val="000000"/>
          <w:sz w:val="24"/>
          <w:szCs w:val="24"/>
        </w:rPr>
        <w:t xml:space="preserve"> Zhao</w:t>
      </w:r>
      <w:r w:rsidR="00E83B60">
        <w:rPr>
          <w:rFonts w:ascii="Times New Roman" w:hAnsi="Times New Roman" w:cs="Times New Roman"/>
          <w:color w:val="000000"/>
          <w:sz w:val="24"/>
          <w:szCs w:val="24"/>
        </w:rPr>
        <w:t>,</w:t>
      </w:r>
      <w:r w:rsidR="00E83B60" w:rsidRPr="00E83B60">
        <w:rPr>
          <w:rFonts w:ascii="Times New Roman" w:hAnsi="Times New Roman" w:cs="Times New Roman"/>
          <w:color w:val="000000"/>
          <w:sz w:val="24"/>
          <w:szCs w:val="24"/>
        </w:rPr>
        <w:t xml:space="preserve"> Jiao Gong, </w:t>
      </w:r>
      <w:proofErr w:type="spellStart"/>
      <w:r w:rsidR="00E83B60" w:rsidRPr="00E83B60">
        <w:rPr>
          <w:rFonts w:ascii="Times New Roman" w:hAnsi="Times New Roman" w:cs="Times New Roman"/>
          <w:color w:val="000000"/>
          <w:sz w:val="24"/>
          <w:szCs w:val="24"/>
        </w:rPr>
        <w:t>Jinxi</w:t>
      </w:r>
      <w:proofErr w:type="spellEnd"/>
      <w:r w:rsidR="00E83B60" w:rsidRPr="00E83B60">
        <w:rPr>
          <w:rFonts w:ascii="Times New Roman" w:hAnsi="Times New Roman" w:cs="Times New Roman"/>
          <w:color w:val="000000"/>
          <w:sz w:val="24"/>
          <w:szCs w:val="24"/>
        </w:rPr>
        <w:t xml:space="preserve"> Li, Qianqian Peng, </w:t>
      </w:r>
      <w:proofErr w:type="spellStart"/>
      <w:r w:rsidR="00026AC3">
        <w:rPr>
          <w:rFonts w:ascii="Times New Roman" w:eastAsia="Times New Roman" w:hAnsi="Times New Roman" w:cs="Times New Roman"/>
          <w:sz w:val="24"/>
          <w:szCs w:val="24"/>
        </w:rPr>
        <w:t>Huidan</w:t>
      </w:r>
      <w:proofErr w:type="spellEnd"/>
      <w:r w:rsidR="00026AC3">
        <w:rPr>
          <w:rFonts w:ascii="Times New Roman" w:eastAsia="Times New Roman" w:hAnsi="Times New Roman" w:cs="Times New Roman"/>
          <w:sz w:val="24"/>
          <w:szCs w:val="24"/>
        </w:rPr>
        <w:t xml:space="preserve"> Chang, Liyun Yuan, </w:t>
      </w:r>
      <w:proofErr w:type="spellStart"/>
      <w:r w:rsidR="00026AC3">
        <w:rPr>
          <w:rFonts w:ascii="Times New Roman" w:eastAsia="Times New Roman" w:hAnsi="Times New Roman" w:cs="Times New Roman"/>
          <w:sz w:val="24"/>
          <w:szCs w:val="24"/>
        </w:rPr>
        <w:t>Guoqing</w:t>
      </w:r>
      <w:proofErr w:type="spellEnd"/>
      <w:r w:rsidR="00026AC3">
        <w:rPr>
          <w:rFonts w:ascii="Times New Roman" w:eastAsia="Times New Roman" w:hAnsi="Times New Roman" w:cs="Times New Roman"/>
          <w:sz w:val="24"/>
          <w:szCs w:val="24"/>
        </w:rPr>
        <w:t xml:space="preserve"> Zhang, </w:t>
      </w:r>
      <w:proofErr w:type="spellStart"/>
      <w:r w:rsidR="00425332" w:rsidRPr="00E83B60">
        <w:rPr>
          <w:rFonts w:ascii="Times New Roman" w:hAnsi="Times New Roman" w:cs="Times New Roman"/>
          <w:color w:val="000000"/>
          <w:sz w:val="24"/>
          <w:szCs w:val="24"/>
        </w:rPr>
        <w:t>Sijia</w:t>
      </w:r>
      <w:proofErr w:type="spellEnd"/>
      <w:r w:rsidR="00425332" w:rsidRPr="00E83B60">
        <w:rPr>
          <w:rFonts w:ascii="Times New Roman" w:hAnsi="Times New Roman" w:cs="Times New Roman"/>
          <w:color w:val="000000"/>
          <w:sz w:val="24"/>
          <w:szCs w:val="24"/>
        </w:rPr>
        <w:t xml:space="preserve"> Wang, </w:t>
      </w:r>
      <w:r w:rsidR="00E83B60" w:rsidRPr="00E83B60">
        <w:rPr>
          <w:rFonts w:ascii="Times New Roman" w:hAnsi="Times New Roman" w:cs="Times New Roman"/>
          <w:color w:val="000000"/>
          <w:sz w:val="24"/>
          <w:szCs w:val="24"/>
        </w:rPr>
        <w:t>Li Jin, Shao</w:t>
      </w:r>
      <w:r w:rsidR="00F1284D">
        <w:rPr>
          <w:rFonts w:ascii="Times New Roman" w:hAnsi="Times New Roman" w:cs="Times New Roman" w:hint="eastAsia"/>
          <w:color w:val="000000"/>
          <w:sz w:val="24"/>
          <w:szCs w:val="24"/>
        </w:rPr>
        <w:t>h</w:t>
      </w:r>
      <w:r w:rsidR="00E83B60" w:rsidRPr="00E83B60">
        <w:rPr>
          <w:rFonts w:ascii="Times New Roman" w:hAnsi="Times New Roman" w:cs="Times New Roman"/>
          <w:color w:val="000000"/>
          <w:sz w:val="24"/>
          <w:szCs w:val="24"/>
        </w:rPr>
        <w:t>ua Fan</w:t>
      </w:r>
    </w:p>
    <w:p w14:paraId="7DCC18F8" w14:textId="77777777" w:rsidR="00E72896" w:rsidRDefault="00E72896"/>
    <w:p w14:paraId="19E6D2B7" w14:textId="77777777" w:rsidR="00975D71" w:rsidRDefault="00975D71" w:rsidP="00975D71">
      <w:pPr>
        <w:rPr>
          <w:b/>
          <w:bCs/>
          <w:sz w:val="32"/>
          <w:szCs w:val="32"/>
          <w:u w:val="single"/>
        </w:rPr>
      </w:pPr>
    </w:p>
    <w:p w14:paraId="5A9D709F" w14:textId="77777777" w:rsidR="000D4973" w:rsidRPr="000D4973" w:rsidRDefault="000D4973" w:rsidP="000D4973">
      <w:pPr>
        <w:spacing w:line="360" w:lineRule="auto"/>
        <w:jc w:val="center"/>
        <w:rPr>
          <w:b/>
          <w:bCs/>
          <w:sz w:val="28"/>
          <w:szCs w:val="28"/>
        </w:rPr>
      </w:pPr>
      <w:r w:rsidRPr="000D4973">
        <w:rPr>
          <w:b/>
          <w:bCs/>
          <w:sz w:val="28"/>
          <w:szCs w:val="28"/>
        </w:rPr>
        <w:t>Supplementary Information</w:t>
      </w:r>
    </w:p>
    <w:p w14:paraId="64F66983" w14:textId="77777777" w:rsidR="000D4973" w:rsidRPr="000D4973" w:rsidRDefault="000D4973" w:rsidP="000D4973">
      <w:pPr>
        <w:spacing w:line="360" w:lineRule="auto"/>
        <w:rPr>
          <w:b/>
          <w:bCs/>
          <w:sz w:val="28"/>
          <w:szCs w:val="28"/>
          <w:u w:val="single"/>
        </w:rPr>
      </w:pPr>
      <w:r w:rsidRPr="000D4973">
        <w:rPr>
          <w:b/>
          <w:bCs/>
          <w:sz w:val="28"/>
          <w:szCs w:val="28"/>
          <w:u w:val="single"/>
        </w:rPr>
        <w:t>Supplementary Data</w:t>
      </w:r>
    </w:p>
    <w:p w14:paraId="6FA6B177" w14:textId="68F316AB" w:rsidR="000D4973" w:rsidRPr="000D4973" w:rsidRDefault="000D4973" w:rsidP="000D4973">
      <w:pPr>
        <w:jc w:val="both"/>
        <w:rPr>
          <w:color w:val="000000"/>
        </w:rPr>
      </w:pPr>
      <w:r w:rsidRPr="000D4973">
        <w:rPr>
          <w:b/>
          <w:bCs/>
        </w:rPr>
        <w:t>Supplementary Data 1:</w:t>
      </w:r>
      <w:r w:rsidRPr="000D4973">
        <w:rPr>
          <w:color w:val="000000" w:themeColor="text1"/>
        </w:rPr>
        <w:t xml:space="preserve"> </w:t>
      </w:r>
      <w:r w:rsidRPr="000D4973">
        <w:rPr>
          <w:color w:val="000000"/>
        </w:rPr>
        <w:t>The benchmark and haplotype-resolved variant set of HG002 and LCL6.</w:t>
      </w:r>
    </w:p>
    <w:p w14:paraId="32712FD9" w14:textId="34AACE33" w:rsidR="000D4973" w:rsidRPr="000D4973" w:rsidRDefault="000D4973" w:rsidP="000D4973">
      <w:pPr>
        <w:spacing w:line="276" w:lineRule="auto"/>
        <w:jc w:val="both"/>
        <w:rPr>
          <w:b/>
          <w:bCs/>
          <w:color w:val="000000" w:themeColor="text1"/>
        </w:rPr>
      </w:pPr>
    </w:p>
    <w:p w14:paraId="49A46B7D" w14:textId="43BC80B0" w:rsidR="000D4973" w:rsidRPr="000D4973" w:rsidRDefault="000D4973" w:rsidP="000D4973">
      <w:pPr>
        <w:jc w:val="both"/>
        <w:rPr>
          <w:color w:val="000000"/>
        </w:rPr>
      </w:pPr>
      <w:r w:rsidRPr="000D4973">
        <w:rPr>
          <w:b/>
          <w:bCs/>
          <w:color w:val="000000" w:themeColor="text1"/>
        </w:rPr>
        <w:t>Supplementary Data 2:</w:t>
      </w:r>
      <w:r w:rsidRPr="000D4973">
        <w:rPr>
          <w:color w:val="000000" w:themeColor="text1"/>
        </w:rPr>
        <w:t xml:space="preserve"> </w:t>
      </w:r>
      <w:r w:rsidRPr="000D4973">
        <w:rPr>
          <w:color w:val="000000"/>
        </w:rPr>
        <w:t>The called and phased heterozygous variant counts per individual in a cohort with 945 Chinese samples.</w:t>
      </w:r>
    </w:p>
    <w:p w14:paraId="725D42B2" w14:textId="430EC469" w:rsidR="000D4973" w:rsidRPr="000D4973" w:rsidRDefault="000D4973" w:rsidP="000D4973">
      <w:pPr>
        <w:spacing w:line="276" w:lineRule="auto"/>
        <w:jc w:val="both"/>
        <w:rPr>
          <w:color w:val="000000" w:themeColor="text1"/>
        </w:rPr>
      </w:pPr>
    </w:p>
    <w:p w14:paraId="1641866E" w14:textId="6ACEDCFC" w:rsidR="000D4973" w:rsidRPr="000D4973" w:rsidRDefault="000D4973" w:rsidP="000D4973">
      <w:pPr>
        <w:jc w:val="both"/>
        <w:rPr>
          <w:color w:val="000000"/>
        </w:rPr>
      </w:pPr>
      <w:r w:rsidRPr="000D4973">
        <w:rPr>
          <w:b/>
          <w:bCs/>
          <w:color w:val="000000" w:themeColor="text1"/>
        </w:rPr>
        <w:t xml:space="preserve">Supplementary Data 3: </w:t>
      </w:r>
      <w:r w:rsidRPr="000D4973">
        <w:rPr>
          <w:color w:val="000000"/>
        </w:rPr>
        <w:t>Imputation quality on SNP array data from 9,909 individuals from three Han Chinese cohorts.</w:t>
      </w:r>
    </w:p>
    <w:p w14:paraId="36531442" w14:textId="0B40A9A8" w:rsidR="000D4973" w:rsidRDefault="000D4973" w:rsidP="000D4973">
      <w:pPr>
        <w:jc w:val="both"/>
        <w:rPr>
          <w:color w:val="000000" w:themeColor="text1"/>
        </w:rPr>
      </w:pPr>
    </w:p>
    <w:p w14:paraId="62B71DD8" w14:textId="05075038" w:rsidR="000D4973" w:rsidRPr="000D4973" w:rsidRDefault="000D4973" w:rsidP="000D4973">
      <w:pPr>
        <w:jc w:val="both"/>
        <w:rPr>
          <w:color w:val="000000"/>
        </w:rPr>
      </w:pPr>
      <w:r w:rsidRPr="000D4973">
        <w:rPr>
          <w:b/>
          <w:bCs/>
          <w:color w:val="000000" w:themeColor="text1"/>
        </w:rPr>
        <w:t xml:space="preserve">Supplementary Data 4: </w:t>
      </w:r>
      <w:r w:rsidRPr="000D4973">
        <w:rPr>
          <w:color w:val="000000"/>
        </w:rPr>
        <w:t>GWAS signals for ﬁngerprint pattern type in Han Chinese from this study and Li et al. 2022.</w:t>
      </w:r>
    </w:p>
    <w:p w14:paraId="3CA59E78" w14:textId="326902BB" w:rsidR="000D4973" w:rsidRPr="000D4973" w:rsidRDefault="000D4973" w:rsidP="000D4973">
      <w:pPr>
        <w:jc w:val="both"/>
        <w:rPr>
          <w:color w:val="000000" w:themeColor="text1"/>
        </w:rPr>
      </w:pPr>
    </w:p>
    <w:p w14:paraId="1077B63B" w14:textId="79051D71" w:rsidR="000D4973" w:rsidRPr="000D4973" w:rsidRDefault="000D4973" w:rsidP="000D4973">
      <w:pPr>
        <w:jc w:val="both"/>
        <w:rPr>
          <w:color w:val="000000"/>
        </w:rPr>
      </w:pPr>
      <w:r w:rsidRPr="000D4973">
        <w:rPr>
          <w:b/>
          <w:bCs/>
          <w:color w:val="000000" w:themeColor="text1"/>
        </w:rPr>
        <w:t xml:space="preserve">Supplementary Data 5: </w:t>
      </w:r>
      <w:r w:rsidRPr="000D4973">
        <w:rPr>
          <w:color w:val="000000"/>
        </w:rPr>
        <w:t>Imputation quality on a small variant set derived from SRS data of a cohort with 1,016 Chinese individuals.</w:t>
      </w:r>
    </w:p>
    <w:p w14:paraId="2BFC7DED" w14:textId="77777777" w:rsidR="000D4973" w:rsidRPr="000D4973" w:rsidRDefault="000D4973" w:rsidP="000D4973">
      <w:pPr>
        <w:jc w:val="both"/>
        <w:rPr>
          <w:color w:val="000000" w:themeColor="text1"/>
        </w:rPr>
      </w:pPr>
    </w:p>
    <w:p w14:paraId="0FD74C06" w14:textId="188E468A" w:rsidR="000D4973" w:rsidRPr="000D4973" w:rsidRDefault="000D4973" w:rsidP="000D4973">
      <w:pPr>
        <w:jc w:val="both"/>
        <w:rPr>
          <w:color w:val="000000"/>
        </w:rPr>
      </w:pPr>
      <w:r w:rsidRPr="000D4973">
        <w:rPr>
          <w:b/>
          <w:bCs/>
          <w:color w:val="000000" w:themeColor="text1"/>
        </w:rPr>
        <w:t xml:space="preserve">Supplementary Data 6: </w:t>
      </w:r>
      <w:r w:rsidRPr="000D4973">
        <w:rPr>
          <w:color w:val="000000"/>
        </w:rPr>
        <w:t>Significant independent GWAS signals for skin trait in 1,016 Chinese individuals.</w:t>
      </w:r>
    </w:p>
    <w:p w14:paraId="3F78B1B2" w14:textId="48D97879" w:rsidR="000D4973" w:rsidRPr="000D4973" w:rsidRDefault="000D4973" w:rsidP="000D4973">
      <w:pPr>
        <w:jc w:val="both"/>
        <w:rPr>
          <w:color w:val="000000" w:themeColor="text1"/>
        </w:rPr>
      </w:pPr>
    </w:p>
    <w:p w14:paraId="782E35FC" w14:textId="76DC5C07" w:rsidR="000D4973" w:rsidRPr="000D4973" w:rsidRDefault="000D4973" w:rsidP="000D4973">
      <w:pPr>
        <w:jc w:val="both"/>
        <w:rPr>
          <w:color w:val="000000"/>
        </w:rPr>
      </w:pPr>
      <w:r w:rsidRPr="000D4973">
        <w:rPr>
          <w:b/>
          <w:bCs/>
          <w:color w:val="000000" w:themeColor="text1"/>
        </w:rPr>
        <w:t xml:space="preserve">Supplementary Data 7: </w:t>
      </w:r>
      <w:r w:rsidRPr="000D4973">
        <w:rPr>
          <w:color w:val="000000"/>
        </w:rPr>
        <w:t>Suggestive significant independent GWAS SV signals for skin trait in 1,016 Chinese individuals.</w:t>
      </w:r>
    </w:p>
    <w:p w14:paraId="2863190F" w14:textId="202F7A3C" w:rsidR="000D4973" w:rsidRPr="000D4973" w:rsidRDefault="000D4973" w:rsidP="000D4973">
      <w:pPr>
        <w:jc w:val="both"/>
        <w:rPr>
          <w:color w:val="000000" w:themeColor="text1"/>
        </w:rPr>
      </w:pPr>
    </w:p>
    <w:p w14:paraId="0EB0C21E" w14:textId="39391470" w:rsidR="000D4973" w:rsidRPr="000D4973" w:rsidRDefault="000D4973" w:rsidP="000D4973">
      <w:pPr>
        <w:jc w:val="both"/>
        <w:rPr>
          <w:color w:val="000000"/>
        </w:rPr>
      </w:pPr>
      <w:r w:rsidRPr="000D4973">
        <w:rPr>
          <w:b/>
          <w:bCs/>
          <w:color w:val="000000" w:themeColor="text1"/>
        </w:rPr>
        <w:t xml:space="preserve">Supplementary Data 8: </w:t>
      </w:r>
      <w:r w:rsidRPr="000D4973">
        <w:rPr>
          <w:color w:val="000000"/>
        </w:rPr>
        <w:t>145 quantitative skin pigmentation related phenotypes used to run GWAS in 1,106 Chinese individuals.</w:t>
      </w:r>
    </w:p>
    <w:p w14:paraId="721ED3B1" w14:textId="77777777" w:rsidR="000D4973" w:rsidRPr="000D4973" w:rsidRDefault="000D4973" w:rsidP="000D4973">
      <w:pPr>
        <w:jc w:val="both"/>
        <w:rPr>
          <w:color w:val="000000" w:themeColor="text1"/>
        </w:rPr>
      </w:pPr>
    </w:p>
    <w:p w14:paraId="75AB8D9F" w14:textId="59A22DE9" w:rsidR="000D4973" w:rsidRPr="000D4973" w:rsidRDefault="000D4973" w:rsidP="000D4973">
      <w:pPr>
        <w:jc w:val="both"/>
        <w:rPr>
          <w:color w:val="000000"/>
        </w:rPr>
      </w:pPr>
      <w:r w:rsidRPr="000D4973">
        <w:rPr>
          <w:b/>
          <w:bCs/>
          <w:color w:val="000000" w:themeColor="text1"/>
        </w:rPr>
        <w:t xml:space="preserve">Supplementary Data 9: </w:t>
      </w:r>
      <w:r w:rsidRPr="000D4973">
        <w:rPr>
          <w:color w:val="000000"/>
        </w:rPr>
        <w:t>Summary of previously reported genetic studies on skin related phenotypes.</w:t>
      </w:r>
    </w:p>
    <w:p w14:paraId="11DDC985" w14:textId="777EF4DE" w:rsidR="000D4973" w:rsidRPr="000D4973" w:rsidRDefault="000D4973" w:rsidP="000D4973">
      <w:pPr>
        <w:jc w:val="both"/>
        <w:rPr>
          <w:b/>
          <w:bCs/>
          <w:u w:val="single"/>
        </w:rPr>
      </w:pPr>
      <w:r w:rsidRPr="000D4973">
        <w:rPr>
          <w:b/>
          <w:bCs/>
          <w:u w:val="single"/>
        </w:rPr>
        <w:br w:type="page"/>
      </w:r>
    </w:p>
    <w:p w14:paraId="7AF2471F" w14:textId="7E36A827" w:rsidR="000D4973" w:rsidRPr="000D4973" w:rsidRDefault="000D4973" w:rsidP="000D4973">
      <w:pPr>
        <w:spacing w:line="360" w:lineRule="auto"/>
        <w:jc w:val="both"/>
        <w:rPr>
          <w:b/>
          <w:bCs/>
          <w:sz w:val="28"/>
          <w:szCs w:val="28"/>
          <w:u w:val="single"/>
        </w:rPr>
      </w:pPr>
      <w:r w:rsidRPr="000D4973">
        <w:rPr>
          <w:b/>
          <w:bCs/>
          <w:sz w:val="28"/>
          <w:szCs w:val="28"/>
          <w:u w:val="single"/>
        </w:rPr>
        <w:lastRenderedPageBreak/>
        <w:t>Supplementary Figures</w:t>
      </w:r>
    </w:p>
    <w:p w14:paraId="5AFCF632" w14:textId="77777777" w:rsidR="004D6019" w:rsidRDefault="004D6019" w:rsidP="004D6019">
      <w:pPr>
        <w:spacing w:line="360" w:lineRule="auto"/>
        <w:jc w:val="both"/>
        <w:rPr>
          <w:color w:val="000000"/>
          <w:sz w:val="22"/>
          <w:szCs w:val="22"/>
        </w:rPr>
      </w:pPr>
    </w:p>
    <w:p w14:paraId="357DC032" w14:textId="77777777" w:rsidR="004D6019" w:rsidRDefault="004D6019" w:rsidP="004D6019">
      <w:pPr>
        <w:spacing w:line="360" w:lineRule="auto"/>
        <w:jc w:val="both"/>
      </w:pPr>
      <w:r>
        <w:rPr>
          <w:noProof/>
        </w:rPr>
        <w:drawing>
          <wp:inline distT="0" distB="0" distL="0" distR="0" wp14:anchorId="1BCEFA79" wp14:editId="6E6BAEC6">
            <wp:extent cx="5731510" cy="3183890"/>
            <wp:effectExtent l="0" t="0" r="0" b="3810"/>
            <wp:docPr id="237879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79871" name="Picture 2378798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183890"/>
                    </a:xfrm>
                    <a:prstGeom prst="rect">
                      <a:avLst/>
                    </a:prstGeom>
                  </pic:spPr>
                </pic:pic>
              </a:graphicData>
            </a:graphic>
          </wp:inline>
        </w:drawing>
      </w:r>
    </w:p>
    <w:p w14:paraId="34430473" w14:textId="77777777" w:rsidR="004D6019" w:rsidRDefault="004D6019" w:rsidP="004D6019">
      <w:pPr>
        <w:pStyle w:val="NormalWeb"/>
        <w:spacing w:before="0" w:beforeAutospacing="0" w:after="0" w:afterAutospacing="0" w:line="360" w:lineRule="auto"/>
        <w:jc w:val="both"/>
      </w:pPr>
      <w:r>
        <w:rPr>
          <w:b/>
          <w:bCs/>
          <w:color w:val="000000"/>
          <w:sz w:val="22"/>
          <w:szCs w:val="22"/>
        </w:rPr>
        <w:t>Figure S</w:t>
      </w:r>
      <w:r w:rsidR="00777602">
        <w:rPr>
          <w:b/>
          <w:bCs/>
          <w:color w:val="000000"/>
          <w:sz w:val="22"/>
          <w:szCs w:val="22"/>
        </w:rPr>
        <w:t>1</w:t>
      </w:r>
      <w:r>
        <w:rPr>
          <w:b/>
          <w:bCs/>
          <w:color w:val="000000"/>
          <w:sz w:val="22"/>
          <w:szCs w:val="22"/>
        </w:rPr>
        <w:t xml:space="preserve">. The number of high-quality variants per individual derived from 943 Chinese individuals. </w:t>
      </w:r>
      <w:r>
        <w:rPr>
          <w:color w:val="000000"/>
          <w:sz w:val="22"/>
          <w:szCs w:val="22"/>
        </w:rPr>
        <w:t>Small variants and SVs were called and genotyped from SRS data (~30X) and LRS data (100 with ~30X and 843 with ~15X depth of coverage), respectively. The count of small variants is labelled on the left vertical axis and SV count on right vertical axis. Each column represents different types of variants, including small variants (SNVs and indels) and SVs (DEL, INS, DUP and INV).</w:t>
      </w:r>
    </w:p>
    <w:p w14:paraId="0A0E71CB" w14:textId="77777777" w:rsidR="004D6019" w:rsidRDefault="004D6019" w:rsidP="004D6019">
      <w:pPr>
        <w:spacing w:line="360" w:lineRule="auto"/>
        <w:jc w:val="both"/>
      </w:pPr>
    </w:p>
    <w:p w14:paraId="67302D32" w14:textId="77777777" w:rsidR="00D02966" w:rsidRDefault="00D02966" w:rsidP="004D6019">
      <w:pPr>
        <w:spacing w:line="360" w:lineRule="auto"/>
        <w:jc w:val="both"/>
      </w:pPr>
      <w:r>
        <w:rPr>
          <w:noProof/>
        </w:rPr>
        <w:lastRenderedPageBreak/>
        <w:drawing>
          <wp:inline distT="0" distB="0" distL="0" distR="0" wp14:anchorId="341CD253" wp14:editId="50BD7F4F">
            <wp:extent cx="5731510" cy="6368415"/>
            <wp:effectExtent l="0" t="0" r="0" b="0"/>
            <wp:docPr id="395925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25942" name="Picture 395925942"/>
                    <pic:cNvPicPr/>
                  </pic:nvPicPr>
                  <pic:blipFill>
                    <a:blip r:embed="rId7">
                      <a:extLst>
                        <a:ext uri="{28A0092B-C50C-407E-A947-70E740481C1C}">
                          <a14:useLocalDpi xmlns:a14="http://schemas.microsoft.com/office/drawing/2010/main" val="0"/>
                        </a:ext>
                      </a:extLst>
                    </a:blip>
                    <a:stretch>
                      <a:fillRect/>
                    </a:stretch>
                  </pic:blipFill>
                  <pic:spPr>
                    <a:xfrm>
                      <a:off x="0" y="0"/>
                      <a:ext cx="5731510" cy="6368415"/>
                    </a:xfrm>
                    <a:prstGeom prst="rect">
                      <a:avLst/>
                    </a:prstGeom>
                  </pic:spPr>
                </pic:pic>
              </a:graphicData>
            </a:graphic>
          </wp:inline>
        </w:drawing>
      </w:r>
    </w:p>
    <w:p w14:paraId="3E42B6B3" w14:textId="77777777" w:rsidR="004D6019" w:rsidRDefault="004D6019" w:rsidP="004D6019">
      <w:pPr>
        <w:spacing w:line="360" w:lineRule="auto"/>
        <w:jc w:val="both"/>
        <w:rPr>
          <w:color w:val="000000"/>
          <w:sz w:val="22"/>
          <w:szCs w:val="22"/>
        </w:rPr>
      </w:pPr>
      <w:r w:rsidRPr="004D6019">
        <w:rPr>
          <w:b/>
          <w:bCs/>
          <w:color w:val="000000"/>
          <w:sz w:val="22"/>
          <w:szCs w:val="22"/>
        </w:rPr>
        <w:t>Figure S</w:t>
      </w:r>
      <w:r w:rsidR="00FA6ED0">
        <w:rPr>
          <w:b/>
          <w:bCs/>
          <w:color w:val="000000"/>
          <w:sz w:val="22"/>
          <w:szCs w:val="22"/>
        </w:rPr>
        <w:t>2</w:t>
      </w:r>
      <w:r w:rsidRPr="004D6019">
        <w:rPr>
          <w:b/>
          <w:bCs/>
          <w:color w:val="000000"/>
          <w:sz w:val="22"/>
          <w:szCs w:val="22"/>
        </w:rPr>
        <w:t xml:space="preserve">. Comparison of different phased SV sets to benchmark haplotype-resolved SV set of HG002 and LCL6. </w:t>
      </w:r>
      <w:r w:rsidRPr="004D6019">
        <w:rPr>
          <w:color w:val="000000"/>
          <w:sz w:val="22"/>
          <w:szCs w:val="22"/>
        </w:rPr>
        <w:t>The percentage of haplotype-resolved SV set being recovered by different phased sets (y-axis) was calculated based on breakpoint difference threshold from 10-500 bp (x-axis).</w:t>
      </w:r>
      <w:r w:rsidRPr="004D6019">
        <w:rPr>
          <w:b/>
          <w:bCs/>
          <w:color w:val="000000"/>
          <w:sz w:val="22"/>
          <w:szCs w:val="22"/>
        </w:rPr>
        <w:t xml:space="preserve"> </w:t>
      </w:r>
      <w:r w:rsidRPr="004D6019">
        <w:rPr>
          <w:color w:val="000000"/>
          <w:sz w:val="22"/>
          <w:szCs w:val="22"/>
        </w:rPr>
        <w:t>Red line represents the phased SV set of HG002 and LCL6 from the individual-level LRS-based calling, genotyping and phasing. Individual-level phased SV sets of all samples in Han Chinese cohort, and HG002 and LCL6 were merged to generate multi-sample SV set</w:t>
      </w:r>
      <w:r w:rsidR="00F15B41">
        <w:rPr>
          <w:color w:val="000000"/>
          <w:sz w:val="22"/>
          <w:szCs w:val="22"/>
        </w:rPr>
        <w:t xml:space="preserve"> as haplotype scaffold</w:t>
      </w:r>
      <w:r w:rsidRPr="004D6019">
        <w:rPr>
          <w:color w:val="000000"/>
          <w:sz w:val="22"/>
          <w:szCs w:val="22"/>
        </w:rPr>
        <w:t xml:space="preserve"> (Methods). Green line represents the phased SV set </w:t>
      </w:r>
      <w:r w:rsidR="00F15B41">
        <w:rPr>
          <w:color w:val="000000"/>
          <w:sz w:val="22"/>
          <w:szCs w:val="22"/>
        </w:rPr>
        <w:t>in haplotype scaffold</w:t>
      </w:r>
      <w:r w:rsidRPr="004D6019">
        <w:rPr>
          <w:color w:val="000000"/>
          <w:sz w:val="22"/>
          <w:szCs w:val="22"/>
        </w:rPr>
        <w:t>, which may have genomic coordinates shifted compared to individual-level SV phased set due to SV merging across samples. Blue line represents the phased SV set of HG002 and LCL6 after statistically inferring the haplotypes for the unphased variants using the long-read phased variants as haplotype scaffold (Methods).</w:t>
      </w:r>
    </w:p>
    <w:p w14:paraId="2067BB35" w14:textId="77777777" w:rsidR="006D2B16" w:rsidRDefault="006D2B16" w:rsidP="006D2B16">
      <w:pPr>
        <w:spacing w:line="360" w:lineRule="auto"/>
      </w:pPr>
      <w:r>
        <w:rPr>
          <w:noProof/>
        </w:rPr>
        <w:lastRenderedPageBreak/>
        <w:drawing>
          <wp:inline distT="0" distB="0" distL="0" distR="0" wp14:anchorId="10C9ECA4" wp14:editId="2D881B7B">
            <wp:extent cx="5731510" cy="4718050"/>
            <wp:effectExtent l="0" t="0" r="0" b="6350"/>
            <wp:docPr id="153333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35379" name="Picture 1533335379"/>
                    <pic:cNvPicPr/>
                  </pic:nvPicPr>
                  <pic:blipFill>
                    <a:blip r:embed="rId8">
                      <a:extLst>
                        <a:ext uri="{28A0092B-C50C-407E-A947-70E740481C1C}">
                          <a14:useLocalDpi xmlns:a14="http://schemas.microsoft.com/office/drawing/2010/main" val="0"/>
                        </a:ext>
                      </a:extLst>
                    </a:blip>
                    <a:stretch>
                      <a:fillRect/>
                    </a:stretch>
                  </pic:blipFill>
                  <pic:spPr>
                    <a:xfrm>
                      <a:off x="0" y="0"/>
                      <a:ext cx="5731510" cy="4718050"/>
                    </a:xfrm>
                    <a:prstGeom prst="rect">
                      <a:avLst/>
                    </a:prstGeom>
                  </pic:spPr>
                </pic:pic>
              </a:graphicData>
            </a:graphic>
          </wp:inline>
        </w:drawing>
      </w:r>
    </w:p>
    <w:p w14:paraId="4685B359" w14:textId="77777777" w:rsidR="006D2B16" w:rsidRDefault="006D2B16" w:rsidP="006D2B16">
      <w:pPr>
        <w:spacing w:line="360" w:lineRule="auto"/>
        <w:jc w:val="both"/>
        <w:rPr>
          <w:color w:val="000000"/>
          <w:sz w:val="22"/>
          <w:szCs w:val="22"/>
        </w:rPr>
      </w:pPr>
      <w:r w:rsidRPr="004D6019">
        <w:rPr>
          <w:b/>
          <w:bCs/>
          <w:color w:val="000000"/>
          <w:sz w:val="22"/>
          <w:szCs w:val="22"/>
        </w:rPr>
        <w:t>Figure S</w:t>
      </w:r>
      <w:r w:rsidR="00FA6ED0">
        <w:rPr>
          <w:b/>
          <w:bCs/>
          <w:color w:val="000000"/>
          <w:sz w:val="22"/>
          <w:szCs w:val="22"/>
        </w:rPr>
        <w:t>3</w:t>
      </w:r>
      <w:r w:rsidRPr="004D6019">
        <w:rPr>
          <w:b/>
          <w:bCs/>
          <w:color w:val="000000"/>
          <w:sz w:val="22"/>
          <w:szCs w:val="22"/>
        </w:rPr>
        <w:t xml:space="preserve">. Imputation performance evaluation framework. </w:t>
      </w:r>
      <w:r w:rsidRPr="004D6019">
        <w:rPr>
          <w:color w:val="000000"/>
          <w:sz w:val="22"/>
          <w:szCs w:val="22"/>
        </w:rPr>
        <w:t>In addition to the Test reference panel, the expanded-1KGP panel was also used to impute on the test target variant set and its imputation performance was also evaluated using this framework. Methods implemented in each step were shown in boxes without borders.</w:t>
      </w:r>
    </w:p>
    <w:p w14:paraId="123E4808" w14:textId="77777777" w:rsidR="006D2B16" w:rsidRDefault="007837A5" w:rsidP="004D6019">
      <w:pPr>
        <w:spacing w:line="360" w:lineRule="auto"/>
        <w:jc w:val="both"/>
        <w:rPr>
          <w:color w:val="000000"/>
          <w:sz w:val="22"/>
          <w:szCs w:val="22"/>
        </w:rPr>
      </w:pPr>
      <w:r>
        <w:rPr>
          <w:noProof/>
          <w:color w:val="000000"/>
          <w:sz w:val="22"/>
          <w:szCs w:val="22"/>
        </w:rPr>
        <w:lastRenderedPageBreak/>
        <w:drawing>
          <wp:inline distT="0" distB="0" distL="0" distR="0" wp14:anchorId="59931799" wp14:editId="7AFD2138">
            <wp:extent cx="5731510" cy="3526790"/>
            <wp:effectExtent l="0" t="0" r="0" b="3810"/>
            <wp:docPr id="582141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41352" name="Picture 582141352"/>
                    <pic:cNvPicPr/>
                  </pic:nvPicPr>
                  <pic:blipFill>
                    <a:blip r:embed="rId9">
                      <a:extLst>
                        <a:ext uri="{28A0092B-C50C-407E-A947-70E740481C1C}">
                          <a14:useLocalDpi xmlns:a14="http://schemas.microsoft.com/office/drawing/2010/main" val="0"/>
                        </a:ext>
                      </a:extLst>
                    </a:blip>
                    <a:stretch>
                      <a:fillRect/>
                    </a:stretch>
                  </pic:blipFill>
                  <pic:spPr>
                    <a:xfrm>
                      <a:off x="0" y="0"/>
                      <a:ext cx="5731510" cy="3526790"/>
                    </a:xfrm>
                    <a:prstGeom prst="rect">
                      <a:avLst/>
                    </a:prstGeom>
                  </pic:spPr>
                </pic:pic>
              </a:graphicData>
            </a:graphic>
          </wp:inline>
        </w:drawing>
      </w:r>
    </w:p>
    <w:p w14:paraId="7A5E278E" w14:textId="77777777" w:rsidR="007837A5" w:rsidRPr="007837A5" w:rsidRDefault="007837A5" w:rsidP="004D6019">
      <w:pPr>
        <w:spacing w:line="360" w:lineRule="auto"/>
        <w:jc w:val="both"/>
        <w:rPr>
          <w:color w:val="000000"/>
          <w:sz w:val="22"/>
          <w:szCs w:val="22"/>
        </w:rPr>
      </w:pPr>
      <w:r w:rsidRPr="004D6019">
        <w:rPr>
          <w:b/>
          <w:bCs/>
          <w:color w:val="000000"/>
          <w:sz w:val="22"/>
          <w:szCs w:val="22"/>
        </w:rPr>
        <w:t>Figure S</w:t>
      </w:r>
      <w:r>
        <w:rPr>
          <w:b/>
          <w:bCs/>
          <w:color w:val="000000"/>
          <w:sz w:val="22"/>
          <w:szCs w:val="22"/>
        </w:rPr>
        <w:t>4</w:t>
      </w:r>
      <w:r w:rsidRPr="004D6019">
        <w:rPr>
          <w:b/>
          <w:bCs/>
          <w:color w:val="000000"/>
          <w:sz w:val="22"/>
          <w:szCs w:val="22"/>
        </w:rPr>
        <w:t xml:space="preserve">. Imputation </w:t>
      </w:r>
      <w:r>
        <w:rPr>
          <w:b/>
          <w:bCs/>
          <w:color w:val="000000"/>
          <w:sz w:val="22"/>
          <w:szCs w:val="22"/>
        </w:rPr>
        <w:t>quality</w:t>
      </w:r>
      <w:r w:rsidRPr="004D6019">
        <w:rPr>
          <w:b/>
          <w:bCs/>
          <w:color w:val="000000"/>
          <w:sz w:val="22"/>
          <w:szCs w:val="22"/>
        </w:rPr>
        <w:t xml:space="preserve">. </w:t>
      </w:r>
      <w:r w:rsidRPr="007837A5">
        <w:rPr>
          <w:color w:val="000000"/>
          <w:sz w:val="22"/>
          <w:szCs w:val="22"/>
        </w:rPr>
        <w:t xml:space="preserve">Count of imputed </w:t>
      </w:r>
      <w:r>
        <w:rPr>
          <w:color w:val="000000"/>
          <w:sz w:val="22"/>
          <w:szCs w:val="22"/>
        </w:rPr>
        <w:t>variants</w:t>
      </w:r>
      <w:r w:rsidRPr="007837A5">
        <w:rPr>
          <w:color w:val="000000"/>
          <w:sz w:val="22"/>
          <w:szCs w:val="22"/>
        </w:rPr>
        <w:t xml:space="preserve"> on chromosome 20 of test 100 samples were shown </w:t>
      </w:r>
      <w:r>
        <w:rPr>
          <w:color w:val="000000"/>
          <w:sz w:val="22"/>
          <w:szCs w:val="22"/>
        </w:rPr>
        <w:t xml:space="preserve">versus different imputation </w:t>
      </w:r>
      <w:r w:rsidRPr="007837A5">
        <w:rPr>
          <w:color w:val="000000"/>
          <w:sz w:val="22"/>
          <w:szCs w:val="22"/>
        </w:rPr>
        <w:t xml:space="preserve">dosage </w:t>
      </w:r>
      <m:oMath>
        <m:sSup>
          <m:sSupPr>
            <m:ctrlPr>
              <w:rPr>
                <w:rFonts w:ascii="Cambria Math" w:hAnsi="Cambria Math"/>
                <w:i/>
                <w:color w:val="000000"/>
                <w:sz w:val="22"/>
                <w:szCs w:val="22"/>
              </w:rPr>
            </m:ctrlPr>
          </m:sSupPr>
          <m:e>
            <m:r>
              <w:rPr>
                <w:rFonts w:ascii="Cambria Math" w:hAnsi="Cambria Math"/>
                <w:color w:val="000000"/>
                <w:sz w:val="22"/>
                <w:szCs w:val="22"/>
              </w:rPr>
              <m:t>r</m:t>
            </m:r>
          </m:e>
          <m:sup>
            <m:r>
              <w:rPr>
                <w:rFonts w:ascii="Cambria Math" w:hAnsi="Cambria Math"/>
                <w:color w:val="000000"/>
                <w:sz w:val="22"/>
                <w:szCs w:val="22"/>
              </w:rPr>
              <m:t>2</m:t>
            </m:r>
          </m:sup>
        </m:sSup>
      </m:oMath>
      <w:r>
        <w:rPr>
          <w:color w:val="000000"/>
          <w:sz w:val="22"/>
          <w:szCs w:val="22"/>
        </w:rPr>
        <w:t xml:space="preserve"> from 0 to 0.9. The percentage of variant among total imputed count is shown on top of each bar.</w:t>
      </w:r>
    </w:p>
    <w:p w14:paraId="09206BD3" w14:textId="77777777" w:rsidR="004D6019" w:rsidRDefault="004D6019" w:rsidP="004D6019">
      <w:pPr>
        <w:spacing w:line="360" w:lineRule="auto"/>
        <w:jc w:val="center"/>
        <w:rPr>
          <w:color w:val="000000"/>
          <w:sz w:val="48"/>
          <w:szCs w:val="48"/>
          <w:bdr w:val="none" w:sz="0" w:space="0" w:color="auto" w:frame="1"/>
        </w:rPr>
      </w:pPr>
      <w:r>
        <w:rPr>
          <w:color w:val="000000"/>
          <w:sz w:val="48"/>
          <w:szCs w:val="48"/>
          <w:bdr w:val="none" w:sz="0" w:space="0" w:color="auto" w:frame="1"/>
        </w:rPr>
        <w:lastRenderedPageBreak/>
        <w:fldChar w:fldCharType="begin"/>
      </w:r>
      <w:r>
        <w:rPr>
          <w:color w:val="000000"/>
          <w:sz w:val="48"/>
          <w:szCs w:val="48"/>
          <w:bdr w:val="none" w:sz="0" w:space="0" w:color="auto" w:frame="1"/>
        </w:rPr>
        <w:instrText xml:space="preserve"> INCLUDEPICTURE "https://lh7-rt.googleusercontent.com/docsz/AD_4nXcKqdwm3bTGMf1nF6WX-Pyjxg-LRE5BQoZIKNdglwIKHcSnMoruPAZri9TnCNHZkt90kZcAFbTibAu6mzFOfcY-4NdS1LTevuA0rvLLYFfGMdhtazfnWJvRKkRskczdzVeDIA8B1GTecvU0HPCQ61Sp-hNr?key=BGvKOhf2Y0iKArsqPjtKJA" \* MERGEFORMATINET </w:instrText>
      </w:r>
      <w:r>
        <w:rPr>
          <w:color w:val="000000"/>
          <w:sz w:val="48"/>
          <w:szCs w:val="48"/>
          <w:bdr w:val="none" w:sz="0" w:space="0" w:color="auto" w:frame="1"/>
        </w:rPr>
        <w:fldChar w:fldCharType="separate"/>
      </w:r>
      <w:r>
        <w:rPr>
          <w:noProof/>
          <w:color w:val="000000"/>
          <w:sz w:val="48"/>
          <w:szCs w:val="48"/>
          <w:bdr w:val="none" w:sz="0" w:space="0" w:color="auto" w:frame="1"/>
        </w:rPr>
        <w:drawing>
          <wp:inline distT="0" distB="0" distL="0" distR="0" wp14:anchorId="5BF05CF9" wp14:editId="2F2BB192">
            <wp:extent cx="4406265" cy="8863330"/>
            <wp:effectExtent l="0" t="0" r="635" b="1270"/>
            <wp:docPr id="157027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6265" cy="8863330"/>
                    </a:xfrm>
                    <a:prstGeom prst="rect">
                      <a:avLst/>
                    </a:prstGeom>
                    <a:noFill/>
                    <a:ln>
                      <a:noFill/>
                    </a:ln>
                  </pic:spPr>
                </pic:pic>
              </a:graphicData>
            </a:graphic>
          </wp:inline>
        </w:drawing>
      </w:r>
      <w:r>
        <w:rPr>
          <w:color w:val="000000"/>
          <w:sz w:val="48"/>
          <w:szCs w:val="48"/>
          <w:bdr w:val="none" w:sz="0" w:space="0" w:color="auto" w:frame="1"/>
        </w:rPr>
        <w:fldChar w:fldCharType="end"/>
      </w:r>
    </w:p>
    <w:p w14:paraId="3BD52D3B" w14:textId="77777777" w:rsidR="00A130C2" w:rsidRDefault="00A130C2" w:rsidP="00A130C2">
      <w:pPr>
        <w:pStyle w:val="NormalWeb"/>
        <w:spacing w:before="0" w:beforeAutospacing="0" w:after="0" w:afterAutospacing="0" w:line="360" w:lineRule="auto"/>
        <w:jc w:val="both"/>
      </w:pPr>
      <w:r>
        <w:rPr>
          <w:b/>
          <w:bCs/>
          <w:color w:val="000000"/>
          <w:sz w:val="22"/>
          <w:szCs w:val="22"/>
        </w:rPr>
        <w:lastRenderedPageBreak/>
        <w:t>Figure S</w:t>
      </w:r>
      <w:r w:rsidR="007837A5">
        <w:rPr>
          <w:b/>
          <w:bCs/>
          <w:color w:val="000000"/>
          <w:sz w:val="22"/>
          <w:szCs w:val="22"/>
        </w:rPr>
        <w:t>5</w:t>
      </w:r>
      <w:r>
        <w:rPr>
          <w:b/>
          <w:bCs/>
          <w:color w:val="000000"/>
          <w:sz w:val="22"/>
          <w:szCs w:val="22"/>
        </w:rPr>
        <w:t>. Manhatt</w:t>
      </w:r>
      <w:r w:rsidR="00B41A6E">
        <w:rPr>
          <w:b/>
          <w:bCs/>
          <w:color w:val="000000"/>
          <w:sz w:val="22"/>
          <w:szCs w:val="22"/>
        </w:rPr>
        <w:t>a</w:t>
      </w:r>
      <w:r>
        <w:rPr>
          <w:b/>
          <w:bCs/>
          <w:color w:val="000000"/>
          <w:sz w:val="22"/>
          <w:szCs w:val="22"/>
        </w:rPr>
        <w:t>n plots of GWAS conducted for skin phenotypes.</w:t>
      </w:r>
      <w:r>
        <w:rPr>
          <w:color w:val="000000"/>
          <w:sz w:val="22"/>
          <w:szCs w:val="22"/>
        </w:rPr>
        <w:t xml:space="preserve"> The red line indicates the threshold for genome-wide significance (p &lt; 5 </w:t>
      </w:r>
      <w:r>
        <w:rPr>
          <w:color w:val="000000"/>
        </w:rPr>
        <w:t>× 10</w:t>
      </w:r>
      <w:r w:rsidRPr="00A130C2">
        <w:rPr>
          <w:color w:val="000000"/>
          <w:sz w:val="22"/>
          <w:szCs w:val="22"/>
        </w:rPr>
        <w:t>⁻</w:t>
      </w:r>
      <w:r w:rsidRPr="00A130C2">
        <w:rPr>
          <w:color w:val="000000"/>
          <w:sz w:val="22"/>
          <w:szCs w:val="22"/>
          <w:vertAlign w:val="superscript"/>
        </w:rPr>
        <w:t>8</w:t>
      </w:r>
      <w:r>
        <w:rPr>
          <w:color w:val="000000"/>
          <w:sz w:val="22"/>
          <w:szCs w:val="22"/>
        </w:rPr>
        <w:t xml:space="preserve">), and the blue line indicates the threshold for suggestive associations (p &lt; 1 </w:t>
      </w:r>
      <w:r>
        <w:rPr>
          <w:color w:val="000000"/>
        </w:rPr>
        <w:t>× 10</w:t>
      </w:r>
      <w:r w:rsidRPr="00A130C2">
        <w:rPr>
          <w:color w:val="000000"/>
          <w:sz w:val="22"/>
          <w:szCs w:val="22"/>
        </w:rPr>
        <w:t>⁻</w:t>
      </w:r>
      <w:r w:rsidRPr="00A130C2">
        <w:rPr>
          <w:color w:val="000000"/>
          <w:sz w:val="22"/>
          <w:szCs w:val="22"/>
          <w:vertAlign w:val="superscript"/>
        </w:rPr>
        <w:t>5</w:t>
      </w:r>
      <w:r>
        <w:rPr>
          <w:color w:val="000000"/>
          <w:sz w:val="22"/>
          <w:szCs w:val="22"/>
        </w:rPr>
        <w:t>). Genome-wide scans of skin phenotype associated with moisture in the left cheek. Dot in green indicates the 169-base insertion as an independent SV signal in this region. (B) Genome-wide scans of skin phenotype associated with roughness (SELS-Roughness) in the flexor side of the left arm. Green dot indicates the 103-base DEL as an independent signal in this region. (C) Genome-wide scans of skin phenotype associated with smoothness (SELE-Smoothness) in the left check. Green dot indicates the 80-base insertion as an independent SV signal found in this region. (D) Genome-wide scans of skin phenotype associated with ITA° in the flexor side of the left arm. Green dot indicates the 118-base DEL as an independent variant in the region.</w:t>
      </w:r>
    </w:p>
    <w:p w14:paraId="7C351762" w14:textId="77777777" w:rsidR="00A130C2" w:rsidRPr="004D6019" w:rsidRDefault="00A130C2" w:rsidP="004D6019">
      <w:pPr>
        <w:spacing w:line="360" w:lineRule="auto"/>
        <w:jc w:val="center"/>
      </w:pPr>
    </w:p>
    <w:sectPr w:rsidR="00A130C2" w:rsidRPr="004D60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6967" w14:textId="77777777" w:rsidR="004B34B6" w:rsidRDefault="004B34B6" w:rsidP="00D643C6">
      <w:r>
        <w:separator/>
      </w:r>
    </w:p>
  </w:endnote>
  <w:endnote w:type="continuationSeparator" w:id="0">
    <w:p w14:paraId="48FCEE08" w14:textId="77777777" w:rsidR="004B34B6" w:rsidRDefault="004B34B6" w:rsidP="00D6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BF1A" w14:textId="77777777" w:rsidR="004B34B6" w:rsidRDefault="004B34B6" w:rsidP="00D643C6">
      <w:r>
        <w:separator/>
      </w:r>
    </w:p>
  </w:footnote>
  <w:footnote w:type="continuationSeparator" w:id="0">
    <w:p w14:paraId="1671E12A" w14:textId="77777777" w:rsidR="004B34B6" w:rsidRDefault="004B34B6" w:rsidP="00D6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19"/>
    <w:rsid w:val="00026AC3"/>
    <w:rsid w:val="00043045"/>
    <w:rsid w:val="00054720"/>
    <w:rsid w:val="0006712B"/>
    <w:rsid w:val="00082548"/>
    <w:rsid w:val="000D4973"/>
    <w:rsid w:val="000E1F2A"/>
    <w:rsid w:val="00113466"/>
    <w:rsid w:val="00177B3E"/>
    <w:rsid w:val="001E19A1"/>
    <w:rsid w:val="001F44E8"/>
    <w:rsid w:val="001F6906"/>
    <w:rsid w:val="00200314"/>
    <w:rsid w:val="00246696"/>
    <w:rsid w:val="0028282B"/>
    <w:rsid w:val="002870DA"/>
    <w:rsid w:val="002E0A72"/>
    <w:rsid w:val="002F0151"/>
    <w:rsid w:val="00305C19"/>
    <w:rsid w:val="00325D41"/>
    <w:rsid w:val="0032776D"/>
    <w:rsid w:val="00334F01"/>
    <w:rsid w:val="003943CB"/>
    <w:rsid w:val="00425332"/>
    <w:rsid w:val="0044172F"/>
    <w:rsid w:val="00487F2F"/>
    <w:rsid w:val="0049186D"/>
    <w:rsid w:val="004973D6"/>
    <w:rsid w:val="004B34B6"/>
    <w:rsid w:val="004C63C4"/>
    <w:rsid w:val="004D6019"/>
    <w:rsid w:val="004F7E95"/>
    <w:rsid w:val="00527F7B"/>
    <w:rsid w:val="00542605"/>
    <w:rsid w:val="00542678"/>
    <w:rsid w:val="005A5180"/>
    <w:rsid w:val="005A5943"/>
    <w:rsid w:val="005C6CE3"/>
    <w:rsid w:val="00612E5C"/>
    <w:rsid w:val="00615F68"/>
    <w:rsid w:val="00656381"/>
    <w:rsid w:val="00656DBD"/>
    <w:rsid w:val="00657592"/>
    <w:rsid w:val="0066487A"/>
    <w:rsid w:val="006D2B16"/>
    <w:rsid w:val="006D60B1"/>
    <w:rsid w:val="006E641A"/>
    <w:rsid w:val="006F722A"/>
    <w:rsid w:val="007240FC"/>
    <w:rsid w:val="007263D0"/>
    <w:rsid w:val="00731E9C"/>
    <w:rsid w:val="0075079D"/>
    <w:rsid w:val="00754583"/>
    <w:rsid w:val="00763DBE"/>
    <w:rsid w:val="00770997"/>
    <w:rsid w:val="00776342"/>
    <w:rsid w:val="00777602"/>
    <w:rsid w:val="00777FB5"/>
    <w:rsid w:val="007837A5"/>
    <w:rsid w:val="007904B5"/>
    <w:rsid w:val="007B6B21"/>
    <w:rsid w:val="007C3764"/>
    <w:rsid w:val="007E4516"/>
    <w:rsid w:val="007F3759"/>
    <w:rsid w:val="00882C93"/>
    <w:rsid w:val="00886A74"/>
    <w:rsid w:val="008D5312"/>
    <w:rsid w:val="008E55D9"/>
    <w:rsid w:val="00931C8A"/>
    <w:rsid w:val="009672DF"/>
    <w:rsid w:val="00975D71"/>
    <w:rsid w:val="009A0DB6"/>
    <w:rsid w:val="009A4B57"/>
    <w:rsid w:val="009C3567"/>
    <w:rsid w:val="009D1CFE"/>
    <w:rsid w:val="00A130C2"/>
    <w:rsid w:val="00A6109D"/>
    <w:rsid w:val="00A7347F"/>
    <w:rsid w:val="00A867A9"/>
    <w:rsid w:val="00A95BF9"/>
    <w:rsid w:val="00AB0211"/>
    <w:rsid w:val="00AF05EC"/>
    <w:rsid w:val="00AF3750"/>
    <w:rsid w:val="00B1507E"/>
    <w:rsid w:val="00B216F0"/>
    <w:rsid w:val="00B26D2A"/>
    <w:rsid w:val="00B34339"/>
    <w:rsid w:val="00B41A6E"/>
    <w:rsid w:val="00B458D2"/>
    <w:rsid w:val="00B517EE"/>
    <w:rsid w:val="00BC674D"/>
    <w:rsid w:val="00BF366E"/>
    <w:rsid w:val="00C31830"/>
    <w:rsid w:val="00C86E8B"/>
    <w:rsid w:val="00CA318D"/>
    <w:rsid w:val="00CC1452"/>
    <w:rsid w:val="00CC60A1"/>
    <w:rsid w:val="00D02966"/>
    <w:rsid w:val="00D03249"/>
    <w:rsid w:val="00D643C6"/>
    <w:rsid w:val="00DB7B29"/>
    <w:rsid w:val="00DC1F24"/>
    <w:rsid w:val="00E250EA"/>
    <w:rsid w:val="00E6095B"/>
    <w:rsid w:val="00E72896"/>
    <w:rsid w:val="00E83B60"/>
    <w:rsid w:val="00EC4812"/>
    <w:rsid w:val="00EE73FE"/>
    <w:rsid w:val="00F0482C"/>
    <w:rsid w:val="00F1284D"/>
    <w:rsid w:val="00F15B41"/>
    <w:rsid w:val="00F8304F"/>
    <w:rsid w:val="00FA6ED0"/>
    <w:rsid w:val="00FD294B"/>
    <w:rsid w:val="00FE04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765F3"/>
  <w15:chartTrackingRefBased/>
  <w15:docId w15:val="{7BFFFB54-09FD-8548-8BF1-EC255376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7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019"/>
    <w:pPr>
      <w:spacing w:before="100" w:beforeAutospacing="1" w:after="100" w:afterAutospacing="1"/>
    </w:pPr>
  </w:style>
  <w:style w:type="paragraph" w:styleId="Title">
    <w:name w:val="Title"/>
    <w:basedOn w:val="Normal"/>
    <w:next w:val="Normal"/>
    <w:link w:val="TitleChar"/>
    <w:uiPriority w:val="10"/>
    <w:qFormat/>
    <w:rsid w:val="004D6019"/>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601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837A5"/>
    <w:rPr>
      <w:color w:val="666666"/>
    </w:rPr>
  </w:style>
  <w:style w:type="paragraph" w:styleId="Header">
    <w:name w:val="header"/>
    <w:basedOn w:val="Normal"/>
    <w:link w:val="HeaderChar"/>
    <w:uiPriority w:val="99"/>
    <w:unhideWhenUsed/>
    <w:rsid w:val="00D643C6"/>
    <w:pPr>
      <w:tabs>
        <w:tab w:val="center" w:pos="4153"/>
        <w:tab w:val="right" w:pos="8306"/>
      </w:tabs>
      <w:snapToGrid w:val="0"/>
      <w:jc w:val="center"/>
    </w:pPr>
    <w:rPr>
      <w:rFonts w:asciiTheme="minorHAnsi" w:eastAsiaTheme="minorEastAsia" w:hAnsiTheme="minorHAnsi" w:cstheme="minorBidi"/>
      <w:kern w:val="2"/>
      <w:sz w:val="18"/>
      <w:szCs w:val="18"/>
      <w14:ligatures w14:val="standardContextual"/>
    </w:rPr>
  </w:style>
  <w:style w:type="character" w:customStyle="1" w:styleId="HeaderChar">
    <w:name w:val="Header Char"/>
    <w:basedOn w:val="DefaultParagraphFont"/>
    <w:link w:val="Header"/>
    <w:uiPriority w:val="99"/>
    <w:rsid w:val="00D643C6"/>
    <w:rPr>
      <w:sz w:val="18"/>
      <w:szCs w:val="18"/>
    </w:rPr>
  </w:style>
  <w:style w:type="paragraph" w:styleId="Footer">
    <w:name w:val="footer"/>
    <w:basedOn w:val="Normal"/>
    <w:link w:val="FooterChar"/>
    <w:uiPriority w:val="99"/>
    <w:unhideWhenUsed/>
    <w:rsid w:val="00D643C6"/>
    <w:pPr>
      <w:tabs>
        <w:tab w:val="center" w:pos="4153"/>
        <w:tab w:val="right" w:pos="8306"/>
      </w:tabs>
      <w:snapToGrid w:val="0"/>
    </w:pPr>
    <w:rPr>
      <w:rFonts w:asciiTheme="minorHAnsi" w:eastAsiaTheme="minorEastAsia" w:hAnsiTheme="minorHAnsi" w:cstheme="minorBidi"/>
      <w:kern w:val="2"/>
      <w:sz w:val="18"/>
      <w:szCs w:val="18"/>
      <w14:ligatures w14:val="standardContextual"/>
    </w:rPr>
  </w:style>
  <w:style w:type="character" w:customStyle="1" w:styleId="FooterChar">
    <w:name w:val="Footer Char"/>
    <w:basedOn w:val="DefaultParagraphFont"/>
    <w:link w:val="Footer"/>
    <w:uiPriority w:val="99"/>
    <w:rsid w:val="00D643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820">
      <w:bodyDiv w:val="1"/>
      <w:marLeft w:val="0"/>
      <w:marRight w:val="0"/>
      <w:marTop w:val="0"/>
      <w:marBottom w:val="0"/>
      <w:divBdr>
        <w:top w:val="none" w:sz="0" w:space="0" w:color="auto"/>
        <w:left w:val="none" w:sz="0" w:space="0" w:color="auto"/>
        <w:bottom w:val="none" w:sz="0" w:space="0" w:color="auto"/>
        <w:right w:val="none" w:sz="0" w:space="0" w:color="auto"/>
      </w:divBdr>
    </w:div>
    <w:div w:id="238053628">
      <w:bodyDiv w:val="1"/>
      <w:marLeft w:val="0"/>
      <w:marRight w:val="0"/>
      <w:marTop w:val="0"/>
      <w:marBottom w:val="0"/>
      <w:divBdr>
        <w:top w:val="none" w:sz="0" w:space="0" w:color="auto"/>
        <w:left w:val="none" w:sz="0" w:space="0" w:color="auto"/>
        <w:bottom w:val="none" w:sz="0" w:space="0" w:color="auto"/>
        <w:right w:val="none" w:sz="0" w:space="0" w:color="auto"/>
      </w:divBdr>
    </w:div>
    <w:div w:id="397677028">
      <w:bodyDiv w:val="1"/>
      <w:marLeft w:val="0"/>
      <w:marRight w:val="0"/>
      <w:marTop w:val="0"/>
      <w:marBottom w:val="0"/>
      <w:divBdr>
        <w:top w:val="none" w:sz="0" w:space="0" w:color="auto"/>
        <w:left w:val="none" w:sz="0" w:space="0" w:color="auto"/>
        <w:bottom w:val="none" w:sz="0" w:space="0" w:color="auto"/>
        <w:right w:val="none" w:sz="0" w:space="0" w:color="auto"/>
      </w:divBdr>
    </w:div>
    <w:div w:id="632903936">
      <w:bodyDiv w:val="1"/>
      <w:marLeft w:val="0"/>
      <w:marRight w:val="0"/>
      <w:marTop w:val="0"/>
      <w:marBottom w:val="0"/>
      <w:divBdr>
        <w:top w:val="none" w:sz="0" w:space="0" w:color="auto"/>
        <w:left w:val="none" w:sz="0" w:space="0" w:color="auto"/>
        <w:bottom w:val="none" w:sz="0" w:space="0" w:color="auto"/>
        <w:right w:val="none" w:sz="0" w:space="0" w:color="auto"/>
      </w:divBdr>
    </w:div>
    <w:div w:id="793910625">
      <w:bodyDiv w:val="1"/>
      <w:marLeft w:val="0"/>
      <w:marRight w:val="0"/>
      <w:marTop w:val="0"/>
      <w:marBottom w:val="0"/>
      <w:divBdr>
        <w:top w:val="none" w:sz="0" w:space="0" w:color="auto"/>
        <w:left w:val="none" w:sz="0" w:space="0" w:color="auto"/>
        <w:bottom w:val="none" w:sz="0" w:space="0" w:color="auto"/>
        <w:right w:val="none" w:sz="0" w:space="0" w:color="auto"/>
      </w:divBdr>
    </w:div>
    <w:div w:id="847988415">
      <w:bodyDiv w:val="1"/>
      <w:marLeft w:val="0"/>
      <w:marRight w:val="0"/>
      <w:marTop w:val="0"/>
      <w:marBottom w:val="0"/>
      <w:divBdr>
        <w:top w:val="none" w:sz="0" w:space="0" w:color="auto"/>
        <w:left w:val="none" w:sz="0" w:space="0" w:color="auto"/>
        <w:bottom w:val="none" w:sz="0" w:space="0" w:color="auto"/>
        <w:right w:val="none" w:sz="0" w:space="0" w:color="auto"/>
      </w:divBdr>
    </w:div>
    <w:div w:id="874539336">
      <w:bodyDiv w:val="1"/>
      <w:marLeft w:val="0"/>
      <w:marRight w:val="0"/>
      <w:marTop w:val="0"/>
      <w:marBottom w:val="0"/>
      <w:divBdr>
        <w:top w:val="none" w:sz="0" w:space="0" w:color="auto"/>
        <w:left w:val="none" w:sz="0" w:space="0" w:color="auto"/>
        <w:bottom w:val="none" w:sz="0" w:space="0" w:color="auto"/>
        <w:right w:val="none" w:sz="0" w:space="0" w:color="auto"/>
      </w:divBdr>
    </w:div>
    <w:div w:id="876621314">
      <w:bodyDiv w:val="1"/>
      <w:marLeft w:val="0"/>
      <w:marRight w:val="0"/>
      <w:marTop w:val="0"/>
      <w:marBottom w:val="0"/>
      <w:divBdr>
        <w:top w:val="none" w:sz="0" w:space="0" w:color="auto"/>
        <w:left w:val="none" w:sz="0" w:space="0" w:color="auto"/>
        <w:bottom w:val="none" w:sz="0" w:space="0" w:color="auto"/>
        <w:right w:val="none" w:sz="0" w:space="0" w:color="auto"/>
      </w:divBdr>
    </w:div>
    <w:div w:id="961502391">
      <w:bodyDiv w:val="1"/>
      <w:marLeft w:val="0"/>
      <w:marRight w:val="0"/>
      <w:marTop w:val="0"/>
      <w:marBottom w:val="0"/>
      <w:divBdr>
        <w:top w:val="none" w:sz="0" w:space="0" w:color="auto"/>
        <w:left w:val="none" w:sz="0" w:space="0" w:color="auto"/>
        <w:bottom w:val="none" w:sz="0" w:space="0" w:color="auto"/>
        <w:right w:val="none" w:sz="0" w:space="0" w:color="auto"/>
      </w:divBdr>
    </w:div>
    <w:div w:id="1075200904">
      <w:bodyDiv w:val="1"/>
      <w:marLeft w:val="0"/>
      <w:marRight w:val="0"/>
      <w:marTop w:val="0"/>
      <w:marBottom w:val="0"/>
      <w:divBdr>
        <w:top w:val="none" w:sz="0" w:space="0" w:color="auto"/>
        <w:left w:val="none" w:sz="0" w:space="0" w:color="auto"/>
        <w:bottom w:val="none" w:sz="0" w:space="0" w:color="auto"/>
        <w:right w:val="none" w:sz="0" w:space="0" w:color="auto"/>
      </w:divBdr>
    </w:div>
    <w:div w:id="1185241418">
      <w:bodyDiv w:val="1"/>
      <w:marLeft w:val="0"/>
      <w:marRight w:val="0"/>
      <w:marTop w:val="0"/>
      <w:marBottom w:val="0"/>
      <w:divBdr>
        <w:top w:val="none" w:sz="0" w:space="0" w:color="auto"/>
        <w:left w:val="none" w:sz="0" w:space="0" w:color="auto"/>
        <w:bottom w:val="none" w:sz="0" w:space="0" w:color="auto"/>
        <w:right w:val="none" w:sz="0" w:space="0" w:color="auto"/>
      </w:divBdr>
    </w:div>
    <w:div w:id="1822623442">
      <w:bodyDiv w:val="1"/>
      <w:marLeft w:val="0"/>
      <w:marRight w:val="0"/>
      <w:marTop w:val="0"/>
      <w:marBottom w:val="0"/>
      <w:divBdr>
        <w:top w:val="none" w:sz="0" w:space="0" w:color="auto"/>
        <w:left w:val="none" w:sz="0" w:space="0" w:color="auto"/>
        <w:bottom w:val="none" w:sz="0" w:space="0" w:color="auto"/>
        <w:right w:val="none" w:sz="0" w:space="0" w:color="auto"/>
      </w:divBdr>
    </w:div>
    <w:div w:id="203391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Tingting Gong</dc:creator>
  <cp:keywords/>
  <dc:description/>
  <cp:lastModifiedBy>Shaohua Fan</cp:lastModifiedBy>
  <cp:revision>15</cp:revision>
  <dcterms:created xsi:type="dcterms:W3CDTF">2024-10-16T07:58:00Z</dcterms:created>
  <dcterms:modified xsi:type="dcterms:W3CDTF">2025-03-26T07:30:00Z</dcterms:modified>
</cp:coreProperties>
</file>