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6290A" w14:textId="77777777" w:rsidR="00E83A0A" w:rsidRDefault="00E83A0A" w:rsidP="00E83A0A">
      <w:pPr>
        <w:pStyle w:val="a3"/>
        <w:spacing w:line="360" w:lineRule="auto"/>
        <w:ind w:firstLineChars="0" w:firstLine="0"/>
        <w:rPr>
          <w:rFonts w:ascii="Arial" w:hAnsi="Arial" w:cs="Arial"/>
          <w:sz w:val="24"/>
          <w:szCs w:val="24"/>
          <w:lang w:val="en-US"/>
        </w:rPr>
      </w:pPr>
      <w:r w:rsidRPr="00B103DA">
        <w:rPr>
          <w:rFonts w:ascii="Arial" w:hAnsi="Arial" w:cs="Arial"/>
          <w:sz w:val="24"/>
          <w:szCs w:val="24"/>
          <w:lang w:val="en-US"/>
        </w:rPr>
        <w:t>The key findings of our research are as follows:</w:t>
      </w:r>
    </w:p>
    <w:p w14:paraId="22916476" w14:textId="77777777" w:rsidR="00E83A0A" w:rsidRPr="00B103DA" w:rsidRDefault="00E83A0A" w:rsidP="00E83A0A">
      <w:pPr>
        <w:numPr>
          <w:ilvl w:val="0"/>
          <w:numId w:val="1"/>
        </w:numPr>
        <w:spacing w:line="360" w:lineRule="auto"/>
        <w:rPr>
          <w:rFonts w:ascii="Arial" w:hAnsi="Arial" w:cs="Arial"/>
          <w:sz w:val="24"/>
          <w:lang w:val="en-GB"/>
        </w:rPr>
      </w:pPr>
      <w:r w:rsidRPr="00B103DA">
        <w:rPr>
          <w:rFonts w:ascii="Arial" w:hAnsi="Arial" w:cs="Arial"/>
          <w:sz w:val="24"/>
          <w:lang w:val="en-GB"/>
        </w:rPr>
        <w:t xml:space="preserve">We identified three distinct stemness-related subtypes of HCC patients through k-means consensus clustering of 501 samples from the TCGA and GEO databases, revealing significant differences in prognosis and </w:t>
      </w:r>
      <w:proofErr w:type="spellStart"/>
      <w:r w:rsidRPr="00B103DA">
        <w:rPr>
          <w:rFonts w:ascii="Arial" w:hAnsi="Arial" w:cs="Arial"/>
          <w:sz w:val="24"/>
          <w:lang w:val="en-GB"/>
        </w:rPr>
        <w:t>tumor</w:t>
      </w:r>
      <w:proofErr w:type="spellEnd"/>
      <w:r w:rsidRPr="00B103DA">
        <w:rPr>
          <w:rFonts w:ascii="Arial" w:hAnsi="Arial" w:cs="Arial"/>
          <w:sz w:val="24"/>
          <w:lang w:val="en-GB"/>
        </w:rPr>
        <w:t xml:space="preserve"> microenvironment (TME) characteristics among the subtypes.</w:t>
      </w:r>
    </w:p>
    <w:p w14:paraId="3EC7D836" w14:textId="77777777" w:rsidR="00E83A0A" w:rsidRPr="00B103DA" w:rsidRDefault="00E83A0A" w:rsidP="00E83A0A">
      <w:pPr>
        <w:numPr>
          <w:ilvl w:val="0"/>
          <w:numId w:val="1"/>
        </w:numPr>
        <w:spacing w:line="360" w:lineRule="auto"/>
        <w:rPr>
          <w:rFonts w:ascii="Arial" w:hAnsi="Arial" w:cs="Arial"/>
          <w:sz w:val="24"/>
          <w:lang w:val="en-GB"/>
        </w:rPr>
      </w:pPr>
      <w:r w:rsidRPr="00B103DA">
        <w:rPr>
          <w:rFonts w:ascii="Arial" w:hAnsi="Arial" w:cs="Arial"/>
          <w:sz w:val="24"/>
          <w:lang w:val="en-GB"/>
        </w:rPr>
        <w:t>The C1 subtype exhibited the worst prognosis, characterized by high immunosuppressive cell infiltration and low sensitivity to immunotherapy, suggesting that these patients may require alternative therapeutic strategies.</w:t>
      </w:r>
    </w:p>
    <w:p w14:paraId="13BE6530" w14:textId="77777777" w:rsidR="00E83A0A" w:rsidRPr="00B103DA" w:rsidRDefault="00E83A0A" w:rsidP="00E83A0A">
      <w:pPr>
        <w:numPr>
          <w:ilvl w:val="0"/>
          <w:numId w:val="1"/>
        </w:numPr>
        <w:spacing w:line="360" w:lineRule="auto"/>
        <w:rPr>
          <w:rFonts w:ascii="Arial" w:hAnsi="Arial" w:cs="Arial"/>
          <w:sz w:val="24"/>
          <w:lang w:val="en-GB"/>
        </w:rPr>
      </w:pPr>
      <w:r w:rsidRPr="00B103DA">
        <w:rPr>
          <w:rFonts w:ascii="Arial" w:hAnsi="Arial" w:cs="Arial"/>
          <w:sz w:val="24"/>
          <w:lang w:val="en-GB"/>
        </w:rPr>
        <w:t>A higher stemness risk score was found to correlate with poorer patient outcomes and increased TME immunosuppressive components, reinforcing the association between stemness and HCC progression.</w:t>
      </w:r>
    </w:p>
    <w:p w14:paraId="0A3CA68D" w14:textId="77777777" w:rsidR="00E83A0A" w:rsidRPr="00B103DA" w:rsidRDefault="00E83A0A" w:rsidP="00E83A0A">
      <w:pPr>
        <w:numPr>
          <w:ilvl w:val="0"/>
          <w:numId w:val="1"/>
        </w:numPr>
        <w:spacing w:line="360" w:lineRule="auto"/>
        <w:rPr>
          <w:rFonts w:ascii="Arial" w:hAnsi="Arial" w:cs="Arial"/>
          <w:sz w:val="24"/>
          <w:lang w:val="en-GB"/>
        </w:rPr>
      </w:pPr>
      <w:r w:rsidRPr="00B103DA">
        <w:rPr>
          <w:rFonts w:ascii="Arial" w:hAnsi="Arial" w:cs="Arial"/>
          <w:sz w:val="24"/>
          <w:lang w:val="en-GB"/>
        </w:rPr>
        <w:t>Weighted Gene Co-expression Network Analysis (WGCNA) identified a module containing three hub genes, which were validated as prognostic indicators through in vitro and in vivo models, providing further evidence for their role in HCC.</w:t>
      </w:r>
    </w:p>
    <w:p w14:paraId="53CE26F8" w14:textId="77777777" w:rsidR="00E83A0A" w:rsidRPr="00B103DA" w:rsidRDefault="00E83A0A" w:rsidP="00E83A0A">
      <w:pPr>
        <w:numPr>
          <w:ilvl w:val="0"/>
          <w:numId w:val="1"/>
        </w:numPr>
        <w:spacing w:line="360" w:lineRule="auto"/>
        <w:rPr>
          <w:rFonts w:ascii="Arial" w:hAnsi="Arial" w:cs="Arial" w:hint="eastAsia"/>
          <w:sz w:val="24"/>
          <w:lang w:val="en-GB"/>
        </w:rPr>
      </w:pPr>
      <w:r w:rsidRPr="00385DF4">
        <w:rPr>
          <w:rFonts w:ascii="Arial" w:hAnsi="Arial" w:cs="Arial"/>
          <w:sz w:val="24"/>
          <w:lang w:val="en-GB"/>
        </w:rPr>
        <w:t xml:space="preserve">we identified the core gene PXMP2 as a novel </w:t>
      </w:r>
      <w:proofErr w:type="spellStart"/>
      <w:r w:rsidRPr="00385DF4">
        <w:rPr>
          <w:rFonts w:ascii="Arial" w:hAnsi="Arial" w:cs="Arial"/>
          <w:sz w:val="24"/>
          <w:lang w:val="en-GB"/>
        </w:rPr>
        <w:t>tumor</w:t>
      </w:r>
      <w:proofErr w:type="spellEnd"/>
      <w:r w:rsidRPr="00385DF4">
        <w:rPr>
          <w:rFonts w:ascii="Arial" w:hAnsi="Arial" w:cs="Arial"/>
          <w:sz w:val="24"/>
          <w:lang w:val="en-GB"/>
        </w:rPr>
        <w:t xml:space="preserve"> suppressor that inhibits </w:t>
      </w:r>
      <w:proofErr w:type="spellStart"/>
      <w:r w:rsidRPr="00385DF4">
        <w:rPr>
          <w:rFonts w:ascii="Arial" w:hAnsi="Arial" w:cs="Arial"/>
          <w:sz w:val="24"/>
          <w:lang w:val="en-GB"/>
        </w:rPr>
        <w:t>tumor</w:t>
      </w:r>
      <w:proofErr w:type="spellEnd"/>
      <w:r w:rsidRPr="00385DF4">
        <w:rPr>
          <w:rFonts w:ascii="Arial" w:hAnsi="Arial" w:cs="Arial"/>
          <w:sz w:val="24"/>
          <w:lang w:val="en-GB"/>
        </w:rPr>
        <w:t xml:space="preserve"> stemness in both in vitro and in vivo models. Notably, PXMP2 promotes the infiltration of anti-</w:t>
      </w:r>
      <w:proofErr w:type="spellStart"/>
      <w:r w:rsidRPr="00385DF4">
        <w:rPr>
          <w:rFonts w:ascii="Arial" w:hAnsi="Arial" w:cs="Arial"/>
          <w:sz w:val="24"/>
          <w:lang w:val="en-GB"/>
        </w:rPr>
        <w:t>tumor</w:t>
      </w:r>
      <w:proofErr w:type="spellEnd"/>
      <w:r w:rsidRPr="00385DF4">
        <w:rPr>
          <w:rFonts w:ascii="Arial" w:hAnsi="Arial" w:cs="Arial"/>
          <w:sz w:val="24"/>
          <w:lang w:val="en-GB"/>
        </w:rPr>
        <w:t xml:space="preserve"> M1 macrophages while concurrently suppressing the infiltration of immunosuppressive M2 macrophages and neutrophils. Importantly, we found that elevated expression levels of PXMP2 are significantly associated with </w:t>
      </w:r>
      <w:proofErr w:type="spellStart"/>
      <w:r w:rsidRPr="00385DF4">
        <w:rPr>
          <w:rFonts w:ascii="Arial" w:hAnsi="Arial" w:cs="Arial"/>
          <w:sz w:val="24"/>
          <w:lang w:val="en-GB"/>
        </w:rPr>
        <w:t>favorable</w:t>
      </w:r>
      <w:proofErr w:type="spellEnd"/>
      <w:r w:rsidRPr="00385DF4">
        <w:rPr>
          <w:rFonts w:ascii="Arial" w:hAnsi="Arial" w:cs="Arial"/>
          <w:sz w:val="24"/>
          <w:lang w:val="en-GB"/>
        </w:rPr>
        <w:t xml:space="preserve"> prognosis in cancer patients, highlighting its potential as a therapeutic target and a prognostic biomarker.</w:t>
      </w:r>
    </w:p>
    <w:p w14:paraId="6EF7CBD4" w14:textId="77777777" w:rsidR="00E83A0A" w:rsidRPr="00E83A0A" w:rsidRDefault="00E83A0A" w:rsidP="00E83A0A">
      <w:pPr>
        <w:spacing w:line="360" w:lineRule="auto"/>
        <w:ind w:firstLineChars="200" w:firstLine="480"/>
        <w:rPr>
          <w:rFonts w:ascii="Arial" w:hAnsi="Arial" w:cs="Arial"/>
          <w:sz w:val="24"/>
        </w:rPr>
      </w:pPr>
      <w:r w:rsidRPr="00E83A0A">
        <w:rPr>
          <w:rFonts w:ascii="Arial" w:hAnsi="Arial" w:cs="Arial"/>
          <w:sz w:val="24"/>
        </w:rPr>
        <w:t xml:space="preserve">Our findings underscore the clinical significance of stemness assessment in HCC and its potential utility in guiding treatment strategies for immunotherapy and chemotherapy. This research offers valuable insights into patient stratification and highlights the importance of targeting the stemness-related pathways for improved therapeutic outcomes. </w:t>
      </w:r>
    </w:p>
    <w:p w14:paraId="482920F3" w14:textId="77777777" w:rsidR="00FB0D9B" w:rsidRPr="00E83A0A" w:rsidRDefault="00FB0D9B">
      <w:pPr>
        <w:rPr>
          <w:lang w:val="en-GB"/>
        </w:rPr>
      </w:pPr>
    </w:p>
    <w:sectPr w:rsidR="00FB0D9B" w:rsidRPr="00E83A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E5B50"/>
    <w:multiLevelType w:val="hybridMultilevel"/>
    <w:tmpl w:val="32569A3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A0A"/>
    <w:rsid w:val="00E83A0A"/>
    <w:rsid w:val="00FB0D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41D46"/>
  <w15:chartTrackingRefBased/>
  <w15:docId w15:val="{ED003C19-4D30-4AE1-89AE-F0FC726AC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3A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3A0A"/>
    <w:pPr>
      <w:ind w:firstLineChars="200" w:firstLine="420"/>
    </w:pPr>
    <w:rPr>
      <w:rFonts w:ascii="Calibri" w:hAnsi="Calibri"/>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274</Words>
  <Characters>1563</Characters>
  <Application>Microsoft Office Word</Application>
  <DocSecurity>0</DocSecurity>
  <Lines>13</Lines>
  <Paragraphs>3</Paragraphs>
  <ScaleCrop>false</ScaleCrop>
  <Company/>
  <LinksUpToDate>false</LinksUpToDate>
  <CharactersWithSpaces>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定德 叶</dc:creator>
  <cp:keywords/>
  <dc:description/>
  <cp:lastModifiedBy>定德 叶</cp:lastModifiedBy>
  <cp:revision>1</cp:revision>
  <dcterms:created xsi:type="dcterms:W3CDTF">2024-12-22T16:11:00Z</dcterms:created>
  <dcterms:modified xsi:type="dcterms:W3CDTF">2024-12-22T16:14:00Z</dcterms:modified>
</cp:coreProperties>
</file>