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9C03A9" w14:textId="32AFADAB" w:rsidR="00A6378B" w:rsidRPr="00A6378B" w:rsidRDefault="00A6378B" w:rsidP="00A6378B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6378B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89264E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A6378B">
        <w:rPr>
          <w:rFonts w:ascii="Times New Roman" w:hAnsi="Times New Roman" w:cs="Times New Roman"/>
          <w:b/>
          <w:bCs/>
          <w:sz w:val="24"/>
          <w:szCs w:val="24"/>
        </w:rPr>
        <w:t>: T</w:t>
      </w:r>
      <w:r w:rsidRPr="00A6378B">
        <w:rPr>
          <w:rFonts w:ascii="Times New Roman" w:hAnsi="Times New Roman" w:cs="Times New Roman" w:hint="eastAsia"/>
          <w:b/>
          <w:bCs/>
          <w:sz w:val="24"/>
          <w:szCs w:val="24"/>
        </w:rPr>
        <w:t>he</w:t>
      </w:r>
      <w:r w:rsidRPr="00A6378B">
        <w:rPr>
          <w:rFonts w:ascii="Times New Roman" w:hAnsi="Times New Roman" w:cs="Times New Roman"/>
          <w:b/>
          <w:bCs/>
          <w:sz w:val="24"/>
          <w:szCs w:val="24"/>
        </w:rPr>
        <w:t xml:space="preserve"> top10 GSEA outcomes in high TMB</w:t>
      </w:r>
    </w:p>
    <w:p w14:paraId="253A423C" w14:textId="77777777" w:rsidR="00A6378B" w:rsidRPr="00A6378B" w:rsidRDefault="00A6378B">
      <w:pPr>
        <w:rPr>
          <w:rFonts w:ascii="Times New Roman" w:hAnsi="Times New Roman" w:cs="Times New Roman"/>
        </w:rPr>
      </w:pPr>
    </w:p>
    <w:tbl>
      <w:tblPr>
        <w:tblStyle w:val="a7"/>
        <w:tblW w:w="917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993"/>
        <w:gridCol w:w="708"/>
        <w:gridCol w:w="709"/>
        <w:gridCol w:w="851"/>
        <w:gridCol w:w="850"/>
        <w:gridCol w:w="986"/>
      </w:tblGrid>
      <w:tr w:rsidR="00A6378B" w:rsidRPr="00A6378B" w14:paraId="72BB0424" w14:textId="77777777" w:rsidTr="00851E16">
        <w:trPr>
          <w:trHeight w:val="613"/>
        </w:trPr>
        <w:tc>
          <w:tcPr>
            <w:tcW w:w="4077" w:type="dxa"/>
            <w:tcBorders>
              <w:top w:val="single" w:sz="12" w:space="0" w:color="auto"/>
              <w:bottom w:val="single" w:sz="12" w:space="0" w:color="auto"/>
            </w:tcBorders>
          </w:tcPr>
          <w:p w14:paraId="7719F11E" w14:textId="2F9F031C" w:rsidR="00A6378B" w:rsidRPr="00581391" w:rsidRDefault="00A6378B" w:rsidP="00581391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="0068192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scription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</w:tcPr>
          <w:p w14:paraId="394406EE" w14:textId="4E0A49CB" w:rsidR="00A6378B" w:rsidRPr="00581391" w:rsidRDefault="00A6378B" w:rsidP="0058139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size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</w:tcPr>
          <w:p w14:paraId="01CABC32" w14:textId="3BFD638F" w:rsidR="00A6378B" w:rsidRPr="00581391" w:rsidRDefault="00A6378B" w:rsidP="0058139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</w:tcPr>
          <w:p w14:paraId="59A27492" w14:textId="500E096B" w:rsidR="00A6378B" w:rsidRPr="00581391" w:rsidRDefault="00A6378B" w:rsidP="0058139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NES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485EFDE7" w14:textId="458C2F34" w:rsidR="00A6378B" w:rsidRPr="00581391" w:rsidRDefault="00A6378B" w:rsidP="0058139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14:paraId="7F3F50DE" w14:textId="2DFBB5DC" w:rsidR="00A6378B" w:rsidRPr="00581391" w:rsidRDefault="00A6378B" w:rsidP="0058139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</w:p>
        </w:tc>
        <w:tc>
          <w:tcPr>
            <w:tcW w:w="986" w:type="dxa"/>
            <w:tcBorders>
              <w:top w:val="single" w:sz="12" w:space="0" w:color="auto"/>
              <w:bottom w:val="single" w:sz="12" w:space="0" w:color="auto"/>
            </w:tcBorders>
          </w:tcPr>
          <w:p w14:paraId="3B0E5F91" w14:textId="48666172" w:rsidR="00A6378B" w:rsidRPr="00581391" w:rsidRDefault="00A6378B" w:rsidP="00A637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3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Rank at max</w:t>
            </w:r>
          </w:p>
        </w:tc>
      </w:tr>
      <w:tr w:rsidR="00A6378B" w:rsidRPr="00A6378B" w14:paraId="085A302B" w14:textId="77777777" w:rsidTr="00851E16">
        <w:trPr>
          <w:trHeight w:val="300"/>
        </w:trPr>
        <w:tc>
          <w:tcPr>
            <w:tcW w:w="4077" w:type="dxa"/>
            <w:tcBorders>
              <w:top w:val="single" w:sz="12" w:space="0" w:color="auto"/>
            </w:tcBorders>
            <w:vAlign w:val="center"/>
          </w:tcPr>
          <w:p w14:paraId="0B9AD4A3" w14:textId="57DEC418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Proteasome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4DDC38EC" w14:textId="22BC97B2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</w:tcPr>
          <w:p w14:paraId="1480890F" w14:textId="1CDBE7A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14:paraId="2216B754" w14:textId="47F66BDB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5C83D1CD" w14:textId="0276BB64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48149FD5" w14:textId="6D2C83B5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986" w:type="dxa"/>
            <w:tcBorders>
              <w:top w:val="single" w:sz="12" w:space="0" w:color="auto"/>
            </w:tcBorders>
            <w:vAlign w:val="center"/>
          </w:tcPr>
          <w:p w14:paraId="5A44799B" w14:textId="198B947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9185</w:t>
            </w:r>
          </w:p>
        </w:tc>
      </w:tr>
      <w:tr w:rsidR="00A6378B" w:rsidRPr="00A6378B" w14:paraId="30672951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06F68D29" w14:textId="75BC4558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Drug metabolism other enzymes</w:t>
            </w:r>
          </w:p>
        </w:tc>
        <w:tc>
          <w:tcPr>
            <w:tcW w:w="993" w:type="dxa"/>
            <w:vAlign w:val="center"/>
          </w:tcPr>
          <w:p w14:paraId="3B91FF77" w14:textId="3814566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708" w:type="dxa"/>
            <w:vAlign w:val="center"/>
          </w:tcPr>
          <w:p w14:paraId="6B023A17" w14:textId="3B53229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709" w:type="dxa"/>
            <w:vAlign w:val="center"/>
          </w:tcPr>
          <w:p w14:paraId="4F7B7798" w14:textId="53949530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851" w:type="dxa"/>
            <w:vAlign w:val="center"/>
          </w:tcPr>
          <w:p w14:paraId="4EA7EA25" w14:textId="1FFF966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850" w:type="dxa"/>
            <w:vAlign w:val="center"/>
          </w:tcPr>
          <w:p w14:paraId="1ACE64CF" w14:textId="5FC59BE8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986" w:type="dxa"/>
            <w:vAlign w:val="center"/>
          </w:tcPr>
          <w:p w14:paraId="7AFE2B18" w14:textId="1ACBD48E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12650</w:t>
            </w:r>
          </w:p>
        </w:tc>
      </w:tr>
      <w:tr w:rsidR="00A6378B" w:rsidRPr="00A6378B" w14:paraId="67B1F6C8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00A8D54E" w14:textId="50E24A9D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Porphyrin and chlorophyll metabolism</w:t>
            </w:r>
          </w:p>
        </w:tc>
        <w:tc>
          <w:tcPr>
            <w:tcW w:w="993" w:type="dxa"/>
            <w:vAlign w:val="center"/>
          </w:tcPr>
          <w:p w14:paraId="680BD2BF" w14:textId="7F43F6AC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08" w:type="dxa"/>
            <w:vAlign w:val="center"/>
          </w:tcPr>
          <w:p w14:paraId="28A0D92F" w14:textId="7F62359E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709" w:type="dxa"/>
            <w:vAlign w:val="center"/>
          </w:tcPr>
          <w:p w14:paraId="3DB89F50" w14:textId="062C3592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851" w:type="dxa"/>
            <w:vAlign w:val="center"/>
          </w:tcPr>
          <w:p w14:paraId="6EC4A596" w14:textId="2B3A24FF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850" w:type="dxa"/>
            <w:vAlign w:val="center"/>
          </w:tcPr>
          <w:p w14:paraId="0911706B" w14:textId="3AFAF58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986" w:type="dxa"/>
            <w:vAlign w:val="center"/>
          </w:tcPr>
          <w:p w14:paraId="7D127556" w14:textId="18A602F6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12650</w:t>
            </w:r>
          </w:p>
        </w:tc>
      </w:tr>
      <w:tr w:rsidR="00A6378B" w:rsidRPr="00A6378B" w14:paraId="542887FF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3155396A" w14:textId="325CE83E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 sugar and nucleotide sugar metabolism</w:t>
            </w:r>
          </w:p>
        </w:tc>
        <w:tc>
          <w:tcPr>
            <w:tcW w:w="993" w:type="dxa"/>
            <w:vAlign w:val="center"/>
          </w:tcPr>
          <w:p w14:paraId="2D885A6C" w14:textId="6D5B2057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08" w:type="dxa"/>
            <w:vAlign w:val="center"/>
          </w:tcPr>
          <w:p w14:paraId="63019C93" w14:textId="75AFF4E4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709" w:type="dxa"/>
            <w:vAlign w:val="center"/>
          </w:tcPr>
          <w:p w14:paraId="4FE0AE36" w14:textId="690FE16D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851" w:type="dxa"/>
            <w:vAlign w:val="center"/>
          </w:tcPr>
          <w:p w14:paraId="79881C4A" w14:textId="70AA15DD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850" w:type="dxa"/>
            <w:vAlign w:val="center"/>
          </w:tcPr>
          <w:p w14:paraId="75B23871" w14:textId="48A9817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0.598</w:t>
            </w:r>
          </w:p>
        </w:tc>
        <w:tc>
          <w:tcPr>
            <w:tcW w:w="986" w:type="dxa"/>
            <w:vAlign w:val="center"/>
          </w:tcPr>
          <w:p w14:paraId="512C471A" w14:textId="33CC53C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6515</w:t>
            </w:r>
          </w:p>
        </w:tc>
      </w:tr>
      <w:tr w:rsidR="00A6378B" w:rsidRPr="00A6378B" w14:paraId="1E61191F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31F6315B" w14:textId="145EB42E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RNA polymerase</w:t>
            </w:r>
          </w:p>
        </w:tc>
        <w:tc>
          <w:tcPr>
            <w:tcW w:w="993" w:type="dxa"/>
            <w:vAlign w:val="center"/>
          </w:tcPr>
          <w:p w14:paraId="4CD0433B" w14:textId="5BF48D2F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08" w:type="dxa"/>
            <w:vAlign w:val="center"/>
          </w:tcPr>
          <w:p w14:paraId="6CAFF9BC" w14:textId="7A52D0D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709" w:type="dxa"/>
            <w:vAlign w:val="center"/>
          </w:tcPr>
          <w:p w14:paraId="360C9031" w14:textId="21480610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851" w:type="dxa"/>
            <w:vAlign w:val="center"/>
          </w:tcPr>
          <w:p w14:paraId="1B047B0C" w14:textId="4815A736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0.051</w:t>
            </w:r>
          </w:p>
        </w:tc>
        <w:tc>
          <w:tcPr>
            <w:tcW w:w="850" w:type="dxa"/>
            <w:vAlign w:val="center"/>
          </w:tcPr>
          <w:p w14:paraId="15F14DA2" w14:textId="29D7F0F8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0.504</w:t>
            </w:r>
          </w:p>
        </w:tc>
        <w:tc>
          <w:tcPr>
            <w:tcW w:w="986" w:type="dxa"/>
            <w:vAlign w:val="center"/>
          </w:tcPr>
          <w:p w14:paraId="653C0442" w14:textId="40B622C0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14603</w:t>
            </w:r>
          </w:p>
        </w:tc>
      </w:tr>
      <w:tr w:rsidR="00A6378B" w:rsidRPr="00A6378B" w14:paraId="79014431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0E0D6A12" w14:textId="4F3C3A88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Peroxisome</w:t>
            </w:r>
          </w:p>
        </w:tc>
        <w:tc>
          <w:tcPr>
            <w:tcW w:w="993" w:type="dxa"/>
            <w:vAlign w:val="center"/>
          </w:tcPr>
          <w:p w14:paraId="33AAE3AC" w14:textId="4FD92D59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708" w:type="dxa"/>
            <w:vAlign w:val="center"/>
          </w:tcPr>
          <w:p w14:paraId="3DECFAA0" w14:textId="5622348C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09" w:type="dxa"/>
            <w:vAlign w:val="center"/>
          </w:tcPr>
          <w:p w14:paraId="4757AE5B" w14:textId="631D6A21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851" w:type="dxa"/>
            <w:vAlign w:val="center"/>
          </w:tcPr>
          <w:p w14:paraId="09C8B7EC" w14:textId="01BC9A10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50" w:type="dxa"/>
            <w:vAlign w:val="center"/>
          </w:tcPr>
          <w:p w14:paraId="74448A8F" w14:textId="5C442BE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986" w:type="dxa"/>
            <w:vAlign w:val="center"/>
          </w:tcPr>
          <w:p w14:paraId="04848823" w14:textId="26600175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8401</w:t>
            </w:r>
          </w:p>
        </w:tc>
      </w:tr>
      <w:tr w:rsidR="00A6378B" w:rsidRPr="00A6378B" w14:paraId="249FD98F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40A1FED1" w14:textId="16E2D3D3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Aminoacyl tRNA biosynthesis</w:t>
            </w:r>
          </w:p>
        </w:tc>
        <w:tc>
          <w:tcPr>
            <w:tcW w:w="993" w:type="dxa"/>
            <w:vAlign w:val="center"/>
          </w:tcPr>
          <w:p w14:paraId="21B96AE0" w14:textId="59AD910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08" w:type="dxa"/>
            <w:vAlign w:val="center"/>
          </w:tcPr>
          <w:p w14:paraId="6145C9C5" w14:textId="7946CF79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709" w:type="dxa"/>
            <w:vAlign w:val="center"/>
          </w:tcPr>
          <w:p w14:paraId="4D5A85D3" w14:textId="7A7D576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851" w:type="dxa"/>
            <w:vAlign w:val="center"/>
          </w:tcPr>
          <w:p w14:paraId="24CCC1C7" w14:textId="3B6F0A51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850" w:type="dxa"/>
            <w:vAlign w:val="center"/>
          </w:tcPr>
          <w:p w14:paraId="5E32A5C4" w14:textId="3E559756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0.564</w:t>
            </w:r>
          </w:p>
        </w:tc>
        <w:tc>
          <w:tcPr>
            <w:tcW w:w="986" w:type="dxa"/>
            <w:vAlign w:val="center"/>
          </w:tcPr>
          <w:p w14:paraId="580E2C10" w14:textId="4C24B9F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15112</w:t>
            </w:r>
          </w:p>
        </w:tc>
      </w:tr>
      <w:tr w:rsidR="00581391" w:rsidRPr="00A6378B" w14:paraId="4B8CBE8C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378D95CD" w14:textId="6A70A224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Glutathione metabolism</w:t>
            </w:r>
          </w:p>
        </w:tc>
        <w:tc>
          <w:tcPr>
            <w:tcW w:w="993" w:type="dxa"/>
            <w:vAlign w:val="center"/>
          </w:tcPr>
          <w:p w14:paraId="4DB8AD3E" w14:textId="72A2011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08" w:type="dxa"/>
            <w:vAlign w:val="center"/>
          </w:tcPr>
          <w:p w14:paraId="40DB0036" w14:textId="2C92556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709" w:type="dxa"/>
            <w:vAlign w:val="center"/>
          </w:tcPr>
          <w:p w14:paraId="2CA3E58B" w14:textId="358F7F22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851" w:type="dxa"/>
            <w:vAlign w:val="center"/>
          </w:tcPr>
          <w:p w14:paraId="26A9DBBE" w14:textId="2DEB893D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850" w:type="dxa"/>
            <w:vAlign w:val="center"/>
          </w:tcPr>
          <w:p w14:paraId="5D5FBE1F" w14:textId="749B8439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0.561</w:t>
            </w:r>
          </w:p>
        </w:tc>
        <w:tc>
          <w:tcPr>
            <w:tcW w:w="986" w:type="dxa"/>
            <w:vAlign w:val="center"/>
          </w:tcPr>
          <w:p w14:paraId="3D0D8AA5" w14:textId="424B3BEE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10063</w:t>
            </w:r>
          </w:p>
        </w:tc>
      </w:tr>
      <w:tr w:rsidR="00581391" w:rsidRPr="00A6378B" w14:paraId="52A64AAD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7176DC32" w14:textId="4B648059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Metabolism of xenobiotics by cytochrome P450</w:t>
            </w:r>
          </w:p>
        </w:tc>
        <w:tc>
          <w:tcPr>
            <w:tcW w:w="993" w:type="dxa"/>
            <w:vAlign w:val="center"/>
          </w:tcPr>
          <w:p w14:paraId="77EA541C" w14:textId="4C102AF1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08" w:type="dxa"/>
            <w:vAlign w:val="center"/>
          </w:tcPr>
          <w:p w14:paraId="73A9B061" w14:textId="04E27755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709" w:type="dxa"/>
            <w:vAlign w:val="center"/>
          </w:tcPr>
          <w:p w14:paraId="4FE05CF8" w14:textId="5D0D1E7B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851" w:type="dxa"/>
            <w:vAlign w:val="center"/>
          </w:tcPr>
          <w:p w14:paraId="6D5B66F0" w14:textId="3FFCC266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850" w:type="dxa"/>
            <w:vAlign w:val="center"/>
          </w:tcPr>
          <w:p w14:paraId="66890503" w14:textId="0D2C7193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0.505</w:t>
            </w:r>
          </w:p>
        </w:tc>
        <w:tc>
          <w:tcPr>
            <w:tcW w:w="986" w:type="dxa"/>
            <w:vAlign w:val="center"/>
          </w:tcPr>
          <w:p w14:paraId="31923FCC" w14:textId="5B4700DC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13033</w:t>
            </w:r>
          </w:p>
        </w:tc>
      </w:tr>
      <w:tr w:rsidR="00581391" w:rsidRPr="00A6378B" w14:paraId="2E0B48C6" w14:textId="77777777" w:rsidTr="00851E16">
        <w:trPr>
          <w:trHeight w:val="300"/>
        </w:trPr>
        <w:tc>
          <w:tcPr>
            <w:tcW w:w="4077" w:type="dxa"/>
            <w:vAlign w:val="center"/>
          </w:tcPr>
          <w:p w14:paraId="508BB952" w14:textId="4436F67A" w:rsidR="00A6378B" w:rsidRPr="00A6378B" w:rsidRDefault="00A6378B" w:rsidP="00581391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N-glycan biosynthesis</w:t>
            </w:r>
          </w:p>
        </w:tc>
        <w:tc>
          <w:tcPr>
            <w:tcW w:w="993" w:type="dxa"/>
            <w:vAlign w:val="center"/>
          </w:tcPr>
          <w:p w14:paraId="1B515CE7" w14:textId="234C2EE7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08" w:type="dxa"/>
            <w:vAlign w:val="center"/>
          </w:tcPr>
          <w:p w14:paraId="1B65C2CB" w14:textId="7F08AC7A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709" w:type="dxa"/>
            <w:vAlign w:val="center"/>
          </w:tcPr>
          <w:p w14:paraId="29EE940E" w14:textId="5B573A6F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851" w:type="dxa"/>
            <w:vAlign w:val="center"/>
          </w:tcPr>
          <w:p w14:paraId="40B29A4D" w14:textId="5EBAA9B4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850" w:type="dxa"/>
            <w:vAlign w:val="center"/>
          </w:tcPr>
          <w:p w14:paraId="1ED6652D" w14:textId="7D0DD968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986" w:type="dxa"/>
            <w:vAlign w:val="center"/>
          </w:tcPr>
          <w:p w14:paraId="21F423BA" w14:textId="4DF8EB3C" w:rsidR="00A6378B" w:rsidRPr="00A6378B" w:rsidRDefault="00A6378B" w:rsidP="0058139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378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10599</w:t>
            </w:r>
          </w:p>
        </w:tc>
      </w:tr>
    </w:tbl>
    <w:p w14:paraId="61AB87D4" w14:textId="77777777" w:rsidR="000301E9" w:rsidRDefault="000301E9"/>
    <w:sectPr w:rsidR="00030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523C9A" w14:textId="77777777" w:rsidR="00B662B3" w:rsidRDefault="00B662B3" w:rsidP="00A6378B">
      <w:r>
        <w:separator/>
      </w:r>
    </w:p>
  </w:endnote>
  <w:endnote w:type="continuationSeparator" w:id="0">
    <w:p w14:paraId="34155346" w14:textId="77777777" w:rsidR="00B662B3" w:rsidRDefault="00B662B3" w:rsidP="00A63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BE24E7" w14:textId="77777777" w:rsidR="00B662B3" w:rsidRDefault="00B662B3" w:rsidP="00A6378B">
      <w:r>
        <w:separator/>
      </w:r>
    </w:p>
  </w:footnote>
  <w:footnote w:type="continuationSeparator" w:id="0">
    <w:p w14:paraId="73BD2801" w14:textId="77777777" w:rsidR="00B662B3" w:rsidRDefault="00B662B3" w:rsidP="00A637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629AF"/>
    <w:rsid w:val="000301E9"/>
    <w:rsid w:val="00504AF9"/>
    <w:rsid w:val="00581391"/>
    <w:rsid w:val="00681924"/>
    <w:rsid w:val="007157AA"/>
    <w:rsid w:val="00851E16"/>
    <w:rsid w:val="008629AF"/>
    <w:rsid w:val="0089264E"/>
    <w:rsid w:val="00A6378B"/>
    <w:rsid w:val="00B6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6A1B4B"/>
  <w15:chartTrackingRefBased/>
  <w15:docId w15:val="{59C45DAA-879B-4D11-AB2A-972328C34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37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3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378B"/>
    <w:rPr>
      <w:sz w:val="18"/>
      <w:szCs w:val="18"/>
    </w:rPr>
  </w:style>
  <w:style w:type="table" w:styleId="a7">
    <w:name w:val="Table Grid"/>
    <w:basedOn w:val="a1"/>
    <w:uiPriority w:val="59"/>
    <w:rsid w:val="00A637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5</cp:revision>
  <dcterms:created xsi:type="dcterms:W3CDTF">2020-08-07T23:56:00Z</dcterms:created>
  <dcterms:modified xsi:type="dcterms:W3CDTF">2020-08-14T13:08:00Z</dcterms:modified>
</cp:coreProperties>
</file>