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ADC17" w14:textId="77777777" w:rsidR="00756783" w:rsidRPr="00883963" w:rsidRDefault="00756783" w:rsidP="00756783">
      <w:pPr>
        <w:jc w:val="center"/>
      </w:pPr>
      <w:r>
        <w:rPr>
          <w:noProof/>
        </w:rPr>
        <w:drawing>
          <wp:inline distT="0" distB="0" distL="0" distR="0" wp14:anchorId="2C6F2693" wp14:editId="3F279970">
            <wp:extent cx="5256000" cy="6194264"/>
            <wp:effectExtent l="0" t="0" r="0" b="0"/>
            <wp:docPr id="18847458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74582" name="Picture 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000" cy="61942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4A3174" w14:textId="77777777" w:rsidR="00756783" w:rsidRPr="000E5CB2" w:rsidRDefault="00756783" w:rsidP="00756783">
      <w:pPr>
        <w:rPr>
          <w:rFonts w:ascii="Arial" w:hAnsi="Arial" w:cs="Arial"/>
          <w:b/>
          <w:bCs/>
          <w:iCs/>
          <w:color w:val="0E101A"/>
          <w:kern w:val="0"/>
          <w:sz w:val="24"/>
          <w:szCs w:val="24"/>
        </w:rPr>
      </w:pPr>
      <w:r w:rsidRPr="000E5CB2">
        <w:rPr>
          <w:rFonts w:ascii="Arial" w:hAnsi="Arial" w:cs="Arial"/>
          <w:b/>
          <w:bCs/>
          <w:iCs/>
          <w:color w:val="0E101A"/>
          <w:kern w:val="0"/>
          <w:sz w:val="24"/>
          <w:szCs w:val="24"/>
        </w:rPr>
        <w:t>Figure S1 Identification of CRC exosomes</w:t>
      </w:r>
    </w:p>
    <w:p w14:paraId="6457F379" w14:textId="77777777" w:rsidR="00756783" w:rsidRPr="000E5CB2" w:rsidRDefault="00756783" w:rsidP="00756783">
      <w:pPr>
        <w:rPr>
          <w:rFonts w:ascii="Arial" w:hAnsi="Arial" w:cs="Arial"/>
          <w:iCs/>
          <w:color w:val="0E101A"/>
          <w:kern w:val="0"/>
          <w:sz w:val="24"/>
          <w:szCs w:val="24"/>
        </w:rPr>
      </w:pPr>
      <w:r w:rsidRPr="000E5CB2">
        <w:rPr>
          <w:rFonts w:ascii="Arial" w:hAnsi="Arial" w:cs="Arial"/>
          <w:iCs/>
          <w:color w:val="0E101A"/>
          <w:kern w:val="0"/>
          <w:sz w:val="24"/>
          <w:szCs w:val="24"/>
        </w:rPr>
        <w:t>(</w:t>
      </w:r>
      <w:r w:rsidRPr="000E5CB2">
        <w:rPr>
          <w:rFonts w:ascii="Arial" w:hAnsi="Arial" w:cs="Arial"/>
          <w:b/>
          <w:bCs/>
          <w:iCs/>
          <w:color w:val="0E101A"/>
          <w:kern w:val="0"/>
          <w:sz w:val="24"/>
          <w:szCs w:val="24"/>
        </w:rPr>
        <w:t>A</w:t>
      </w:r>
      <w:r w:rsidRPr="000E5CB2">
        <w:rPr>
          <w:rFonts w:ascii="Arial" w:hAnsi="Arial" w:cs="Arial"/>
          <w:iCs/>
          <w:color w:val="0E101A"/>
          <w:kern w:val="0"/>
          <w:sz w:val="24"/>
          <w:szCs w:val="24"/>
        </w:rPr>
        <w:t>) Morphology of CRC-exosomes was visualized by TEM. scale bar:100nm. (</w:t>
      </w:r>
      <w:r w:rsidRPr="000E5CB2">
        <w:rPr>
          <w:rFonts w:ascii="Arial" w:hAnsi="Arial" w:cs="Arial"/>
          <w:b/>
          <w:bCs/>
          <w:iCs/>
          <w:color w:val="0E101A"/>
          <w:kern w:val="0"/>
          <w:sz w:val="24"/>
          <w:szCs w:val="24"/>
        </w:rPr>
        <w:t>B</w:t>
      </w:r>
      <w:r w:rsidRPr="000E5CB2">
        <w:rPr>
          <w:rFonts w:ascii="Arial" w:hAnsi="Arial" w:cs="Arial"/>
          <w:iCs/>
          <w:color w:val="0E101A"/>
          <w:kern w:val="0"/>
          <w:sz w:val="24"/>
          <w:szCs w:val="24"/>
        </w:rPr>
        <w:t>) Diameters distribution of CRC-exosomes was measured by NTA. (</w:t>
      </w:r>
      <w:r w:rsidRPr="000E5CB2">
        <w:rPr>
          <w:rFonts w:ascii="Arial" w:hAnsi="Arial" w:cs="Arial"/>
          <w:b/>
          <w:bCs/>
          <w:iCs/>
          <w:color w:val="0E101A"/>
          <w:kern w:val="0"/>
          <w:sz w:val="24"/>
          <w:szCs w:val="24"/>
        </w:rPr>
        <w:t>C</w:t>
      </w:r>
      <w:r w:rsidRPr="000E5CB2">
        <w:rPr>
          <w:rFonts w:ascii="Arial" w:hAnsi="Arial" w:cs="Arial"/>
          <w:iCs/>
          <w:color w:val="0E101A"/>
          <w:kern w:val="0"/>
          <w:sz w:val="24"/>
          <w:szCs w:val="24"/>
        </w:rPr>
        <w:t>) PDCD6IP, CD63, TSG101, Calnexin in LoVo and HCT116 derived exosomes (EXO) were detected by Western Blot, equal amount whole cell lysis (WCL) was used as control.</w:t>
      </w:r>
    </w:p>
    <w:p w14:paraId="1D245BF9" w14:textId="77777777" w:rsidR="00756783" w:rsidRDefault="00756783" w:rsidP="00756783">
      <w:pPr>
        <w:pStyle w:val="NormalWeb"/>
        <w:widowControl/>
        <w:spacing w:before="0" w:beforeAutospacing="0" w:after="0" w:afterAutospacing="0"/>
        <w:rPr>
          <w:rFonts w:ascii="Times New Roman" w:hAnsi="Times New Roman"/>
        </w:rPr>
      </w:pPr>
    </w:p>
    <w:p w14:paraId="16E93255" w14:textId="77777777" w:rsidR="00756783" w:rsidRDefault="00756783" w:rsidP="00756783">
      <w:pPr>
        <w:pStyle w:val="NormalWeb"/>
        <w:widowControl/>
        <w:spacing w:before="0" w:beforeAutospacing="0" w:after="0" w:afterAutospacing="0"/>
        <w:rPr>
          <w:rFonts w:ascii="Times New Roman" w:hAnsi="Times New Roman"/>
        </w:rPr>
      </w:pPr>
    </w:p>
    <w:p w14:paraId="0B3C9650" w14:textId="77777777" w:rsidR="00756783" w:rsidRDefault="00756783" w:rsidP="00756783">
      <w:pPr>
        <w:pStyle w:val="NormalWeb"/>
        <w:widowControl/>
        <w:spacing w:before="0" w:beforeAutospacing="0" w:after="0" w:afterAutospacing="0"/>
        <w:rPr>
          <w:rFonts w:ascii="Times New Roman" w:hAnsi="Times New Roman"/>
        </w:rPr>
      </w:pPr>
    </w:p>
    <w:p w14:paraId="2E5F2DB7" w14:textId="77777777" w:rsidR="00756783" w:rsidRDefault="00756783" w:rsidP="00756783">
      <w:pPr>
        <w:pStyle w:val="NormalWeb"/>
        <w:widowControl/>
        <w:spacing w:before="0" w:beforeAutospacing="0" w:after="0" w:afterAutospacing="0"/>
        <w:rPr>
          <w:rFonts w:ascii="Times New Roman" w:hAnsi="Times New Roman"/>
        </w:rPr>
      </w:pPr>
    </w:p>
    <w:p w14:paraId="1469973B" w14:textId="77777777" w:rsidR="00756783" w:rsidRDefault="00756783" w:rsidP="00756783">
      <w:pPr>
        <w:pStyle w:val="NormalWeb"/>
        <w:widowControl/>
        <w:spacing w:before="0" w:beforeAutospacing="0" w:after="0" w:afterAutospacing="0"/>
        <w:rPr>
          <w:rFonts w:ascii="Times New Roman" w:hAnsi="Times New Roman"/>
        </w:rPr>
      </w:pPr>
    </w:p>
    <w:p w14:paraId="31DB6C6E" w14:textId="77777777" w:rsidR="00756783" w:rsidRDefault="00756783" w:rsidP="00756783">
      <w:pPr>
        <w:pStyle w:val="NormalWeb"/>
        <w:widowControl/>
        <w:spacing w:before="0" w:beforeAutospacing="0" w:after="0" w:afterAutospacing="0"/>
        <w:rPr>
          <w:rFonts w:ascii="Times New Roman" w:hAnsi="Times New Roman"/>
        </w:rPr>
      </w:pPr>
    </w:p>
    <w:p w14:paraId="49DB8211" w14:textId="77777777" w:rsidR="00756783" w:rsidRDefault="00756783" w:rsidP="00756783">
      <w:pPr>
        <w:pStyle w:val="NormalWeb"/>
        <w:widowControl/>
        <w:spacing w:before="0" w:beforeAutospacing="0" w:after="0" w:afterAutospacing="0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6D3634D4" wp14:editId="53958C5F">
            <wp:extent cx="5292000" cy="5094917"/>
            <wp:effectExtent l="0" t="0" r="0" b="0"/>
            <wp:docPr id="10103850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385024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000" cy="50949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19924F" w14:textId="77777777" w:rsidR="00756783" w:rsidRPr="000E5CB2" w:rsidRDefault="00756783" w:rsidP="00756783">
      <w:pPr>
        <w:rPr>
          <w:rFonts w:ascii="Arial" w:hAnsi="Arial" w:cs="Arial"/>
          <w:b/>
          <w:bCs/>
          <w:iCs/>
          <w:color w:val="0E101A"/>
          <w:kern w:val="0"/>
          <w:sz w:val="24"/>
          <w:szCs w:val="24"/>
        </w:rPr>
      </w:pPr>
      <w:r w:rsidRPr="000E5CB2">
        <w:rPr>
          <w:rFonts w:ascii="Arial" w:hAnsi="Arial" w:cs="Arial"/>
          <w:b/>
          <w:bCs/>
          <w:iCs/>
          <w:color w:val="0E101A"/>
          <w:kern w:val="0"/>
          <w:sz w:val="24"/>
          <w:szCs w:val="24"/>
        </w:rPr>
        <w:t xml:space="preserve">Figure S2 </w:t>
      </w:r>
      <w:r w:rsidRPr="000E5CB2">
        <w:rPr>
          <w:rFonts w:ascii="Arial" w:hAnsi="Arial" w:cs="Arial"/>
          <w:b/>
          <w:bCs/>
          <w:i/>
          <w:color w:val="0E101A"/>
          <w:kern w:val="0"/>
          <w:sz w:val="24"/>
          <w:szCs w:val="24"/>
        </w:rPr>
        <w:t>Rab27a</w:t>
      </w:r>
      <w:r w:rsidRPr="000E5CB2">
        <w:rPr>
          <w:rFonts w:ascii="Arial" w:hAnsi="Arial" w:cs="Arial"/>
          <w:b/>
          <w:bCs/>
          <w:iCs/>
          <w:color w:val="0E101A"/>
          <w:kern w:val="0"/>
          <w:sz w:val="24"/>
          <w:szCs w:val="24"/>
        </w:rPr>
        <w:t xml:space="preserve"> downregulation did not significantly affect CT26 cell phenotype</w:t>
      </w:r>
    </w:p>
    <w:p w14:paraId="410E82CB" w14:textId="77777777" w:rsidR="00756783" w:rsidRPr="000E5CB2" w:rsidRDefault="00756783" w:rsidP="00756783">
      <w:pPr>
        <w:rPr>
          <w:rFonts w:ascii="Arial" w:hAnsi="Arial" w:cs="Arial"/>
          <w:iCs/>
          <w:color w:val="0E101A"/>
          <w:kern w:val="0"/>
          <w:sz w:val="24"/>
          <w:szCs w:val="24"/>
        </w:rPr>
      </w:pPr>
      <w:r w:rsidRPr="000E5CB2">
        <w:rPr>
          <w:rFonts w:ascii="Arial" w:hAnsi="Arial" w:cs="Arial"/>
          <w:iCs/>
          <w:color w:val="0E101A"/>
          <w:kern w:val="0"/>
          <w:sz w:val="24"/>
          <w:szCs w:val="24"/>
        </w:rPr>
        <w:t>(</w:t>
      </w:r>
      <w:r w:rsidRPr="000E5CB2">
        <w:rPr>
          <w:rFonts w:ascii="Arial" w:hAnsi="Arial" w:cs="Arial"/>
          <w:b/>
          <w:bCs/>
          <w:iCs/>
          <w:color w:val="0E101A"/>
          <w:kern w:val="0"/>
          <w:sz w:val="24"/>
          <w:szCs w:val="24"/>
        </w:rPr>
        <w:t>A</w:t>
      </w:r>
      <w:r w:rsidRPr="000E5CB2">
        <w:rPr>
          <w:rFonts w:ascii="Arial" w:hAnsi="Arial" w:cs="Arial"/>
          <w:iCs/>
          <w:color w:val="0E101A"/>
          <w:kern w:val="0"/>
          <w:sz w:val="24"/>
          <w:szCs w:val="24"/>
        </w:rPr>
        <w:t>) Upper panel: Cell cycle analysis of CT26 cells was tested by PI staining. Cell proliferation of CT26 cells was assessed by CCK8 assay. n=5 Lower panel: Apoptosis cell percentage of CT26 cells was detected by Annexin V+ PI staining. Bar chart of apoptotic cells percentage of CT26 cells. n=3 (</w:t>
      </w:r>
      <w:r w:rsidRPr="000E5CB2">
        <w:rPr>
          <w:rFonts w:ascii="Arial" w:hAnsi="Arial" w:cs="Arial"/>
          <w:b/>
          <w:bCs/>
          <w:iCs/>
          <w:color w:val="0E101A"/>
          <w:kern w:val="0"/>
          <w:sz w:val="24"/>
          <w:szCs w:val="24"/>
        </w:rPr>
        <w:t>B</w:t>
      </w:r>
      <w:r w:rsidRPr="000E5CB2">
        <w:rPr>
          <w:rFonts w:ascii="Arial" w:hAnsi="Arial" w:cs="Arial"/>
          <w:iCs/>
          <w:color w:val="0E101A"/>
          <w:kern w:val="0"/>
          <w:sz w:val="24"/>
          <w:szCs w:val="24"/>
        </w:rPr>
        <w:t>) Image of subcutaneous tumor model results. Bar chart of CT26-NC and CT26-Rab27a KD derived tumor volume in a subcutaneous tumor model. n=5 Bar chart of cell number in migration and invasion assay on CT26-NC and CT26-Rab27a KD cells. n=3-4 ns: no significance</w:t>
      </w:r>
    </w:p>
    <w:p w14:paraId="64BC7205" w14:textId="77777777" w:rsidR="00756783" w:rsidRPr="000E5CB2" w:rsidRDefault="00756783" w:rsidP="00756783">
      <w:pPr>
        <w:pStyle w:val="NormalWeb"/>
        <w:widowControl/>
        <w:spacing w:before="0" w:beforeAutospacing="0" w:after="0" w:afterAutospacing="0"/>
        <w:rPr>
          <w:rFonts w:ascii="Times New Roman" w:hAnsi="Times New Roman"/>
        </w:rPr>
      </w:pPr>
    </w:p>
    <w:p w14:paraId="4893D722" w14:textId="77777777" w:rsidR="00DE6AE2" w:rsidRDefault="00DE6AE2"/>
    <w:sectPr w:rsidR="00DE6AE2" w:rsidSect="007567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783"/>
    <w:rsid w:val="006416BB"/>
    <w:rsid w:val="00756783"/>
    <w:rsid w:val="00A3738C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A396C"/>
  <w15:chartTrackingRefBased/>
  <w15:docId w15:val="{57C5A688-62D3-48EC-BA9B-1F6A4D47F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783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6783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6783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6783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6783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6783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6783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6783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6783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6783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67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67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67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67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67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67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67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67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67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678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567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6783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567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6783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567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6783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567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678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67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6783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qFormat/>
    <w:rsid w:val="00756783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148</Words>
  <Characters>845</Characters>
  <Application>Microsoft Office Word</Application>
  <DocSecurity>0</DocSecurity>
  <Lines>7</Lines>
  <Paragraphs>1</Paragraphs>
  <ScaleCrop>false</ScaleCrop>
  <Company>Springer Nature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2025-04-04T12:12:00Z</dcterms:created>
  <dcterms:modified xsi:type="dcterms:W3CDTF">2025-04-04T12:13:00Z</dcterms:modified>
</cp:coreProperties>
</file>