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BED5E" w14:textId="4B35DC2E" w:rsidR="00326E12" w:rsidRPr="00326E12" w:rsidRDefault="00326E12" w:rsidP="00326E12">
      <w:r w:rsidRPr="00326E12">
        <w:drawing>
          <wp:inline distT="0" distB="0" distL="0" distR="0" wp14:anchorId="54BED19A" wp14:editId="105FEDE3">
            <wp:extent cx="4581525" cy="2752725"/>
            <wp:effectExtent l="0" t="0" r="9525" b="9525"/>
            <wp:docPr id="14855222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A8429C0-E8E3-62E2-8791-EE4A719E94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84E029F" w14:textId="77777777" w:rsidR="00326E12" w:rsidRPr="00326E12" w:rsidRDefault="00326E12" w:rsidP="00326E12">
      <w:r w:rsidRPr="00326E12">
        <w:t>Table 1: Number of tibial bumps observed on the initial skeletal surveys versus the age of the patient at the time of the exam.</w:t>
      </w:r>
    </w:p>
    <w:p w14:paraId="365BF916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12"/>
    <w:rsid w:val="00326E12"/>
    <w:rsid w:val="00732981"/>
    <w:rsid w:val="00AC0449"/>
    <w:rsid w:val="00AD604E"/>
    <w:rsid w:val="00B34282"/>
    <w:rsid w:val="00C8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E47DD"/>
  <w15:chartTrackingRefBased/>
  <w15:docId w15:val="{4FFF54E4-B4FA-4762-B3E9-87EBD051E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6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6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6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E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E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E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E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E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E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E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E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E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E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E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sers\NicholasLopez\Desktop\Fellowship\Tibial%20Bump\New%20Analysis%201.18.25%20by%20N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Tibial Bump Distribution</a:t>
            </a:r>
            <a:r>
              <a:rPr lang="en-US" baseline="0"/>
              <a:t> By Age</a:t>
            </a:r>
            <a:endParaRPr lang="en-US"/>
          </a:p>
        </c:rich>
      </c:tx>
      <c:layout>
        <c:manualLayout>
          <c:xMode val="edge"/>
          <c:yMode val="edge"/>
          <c:x val="0.3181388888888889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Tibial Bumps</c:v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Tables!$K$7:$K$14</c:f>
              <c:strCache>
                <c:ptCount val="8"/>
                <c:pt idx="0">
                  <c:v>1 month</c:v>
                </c:pt>
                <c:pt idx="1">
                  <c:v>2 months</c:v>
                </c:pt>
                <c:pt idx="2">
                  <c:v>3 months</c:v>
                </c:pt>
                <c:pt idx="3">
                  <c:v>4 months</c:v>
                </c:pt>
                <c:pt idx="4">
                  <c:v>5 months</c:v>
                </c:pt>
                <c:pt idx="5">
                  <c:v>6 months</c:v>
                </c:pt>
                <c:pt idx="6">
                  <c:v>7 months</c:v>
                </c:pt>
                <c:pt idx="7">
                  <c:v>8 months</c:v>
                </c:pt>
              </c:strCache>
            </c:strRef>
          </c:cat>
          <c:val>
            <c:numRef>
              <c:f>Tables!$F$7:$F$14</c:f>
              <c:numCache>
                <c:formatCode>General</c:formatCode>
                <c:ptCount val="8"/>
                <c:pt idx="0">
                  <c:v>4</c:v>
                </c:pt>
                <c:pt idx="1">
                  <c:v>14</c:v>
                </c:pt>
                <c:pt idx="2">
                  <c:v>6</c:v>
                </c:pt>
                <c:pt idx="4">
                  <c:v>4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07-4967-868E-BD4230693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3111376"/>
        <c:axId val="970007024"/>
      </c:barChart>
      <c:catAx>
        <c:axId val="9531113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Age</a:t>
                </a:r>
              </a:p>
            </c:rich>
          </c:tx>
          <c:layout>
            <c:manualLayout>
              <c:xMode val="edge"/>
              <c:yMode val="edge"/>
              <c:x val="0.48861679790026247"/>
              <c:y val="0.878680373286672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70007024"/>
        <c:crosses val="autoZero"/>
        <c:auto val="1"/>
        <c:lblAlgn val="ctr"/>
        <c:lblOffset val="100"/>
        <c:noMultiLvlLbl val="0"/>
      </c:catAx>
      <c:valAx>
        <c:axId val="97000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Tibial Bumps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311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>Springer Nature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2025-04-23T08:14:00Z</dcterms:created>
  <dcterms:modified xsi:type="dcterms:W3CDTF">2025-04-23T08:15:00Z</dcterms:modified>
</cp:coreProperties>
</file>