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9EA57" w14:textId="77777777" w:rsidR="00F233AA" w:rsidRDefault="00F233AA" w:rsidP="00F233AA">
      <w:pPr>
        <w:pStyle w:val="NormalWeb"/>
        <w:spacing w:before="0" w:beforeAutospacing="0" w:after="0" w:afterAutospacing="0" w:line="360" w:lineRule="auto"/>
      </w:pPr>
      <w:r>
        <w:rPr>
          <w:rFonts w:ascii="Arial" w:eastAsia="Calibri" w:hAnsi="Arial" w:cs="Arial"/>
          <w:color w:val="000000"/>
          <w:kern w:val="24"/>
          <w:sz w:val="22"/>
          <w:szCs w:val="22"/>
        </w:rPr>
        <w:t>Supplemental data:</w:t>
      </w:r>
    </w:p>
    <w:p w14:paraId="5F9FB2CB" w14:textId="77777777" w:rsidR="00F233AA" w:rsidRDefault="00F233AA" w:rsidP="00F233AA">
      <w:pPr>
        <w:pStyle w:val="NormalWeb"/>
        <w:spacing w:before="0" w:beforeAutospacing="0" w:after="0" w:afterAutospacing="0"/>
        <w:ind w:left="360"/>
      </w:pPr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Supplemental Data 1: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Full cell type gene signatures identified for the 29 unsupervised clusters presented in Primary Figure 1, as determined using the Seurat </w:t>
      </w:r>
      <w:proofErr w:type="spellStart"/>
      <w:r>
        <w:rPr>
          <w:rFonts w:ascii="Arial" w:eastAsia="Calibri" w:hAnsi="Arial" w:cs="Arial"/>
          <w:i/>
          <w:iCs/>
          <w:color w:val="000000"/>
          <w:kern w:val="24"/>
          <w:sz w:val="22"/>
          <w:szCs w:val="22"/>
        </w:rPr>
        <w:t>FindAllMarkers</w:t>
      </w:r>
      <w:proofErr w:type="spellEnd"/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 function.</w:t>
      </w:r>
    </w:p>
    <w:p w14:paraId="6550EE18" w14:textId="77777777" w:rsidR="00F233AA" w:rsidRDefault="00F233AA" w:rsidP="00F233AA">
      <w:pPr>
        <w:pStyle w:val="NormalWeb"/>
        <w:spacing w:before="0" w:beforeAutospacing="0" w:after="0" w:afterAutospacing="0"/>
        <w:ind w:left="360"/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</w:pPr>
    </w:p>
    <w:p w14:paraId="0C9AEF83" w14:textId="112C233F" w:rsidR="00F233AA" w:rsidRDefault="00F233AA" w:rsidP="00F233AA">
      <w:pPr>
        <w:pStyle w:val="NormalWeb"/>
        <w:spacing w:before="0" w:beforeAutospacing="0" w:after="0" w:afterAutospacing="0"/>
        <w:ind w:left="360"/>
      </w:pPr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Supplemental Data 2-4: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Classifications of genes determined to be differentially expressed along the erythroid (2), lymphocytic (3), and granulocytic (4) lineages. </w:t>
      </w:r>
    </w:p>
    <w:p w14:paraId="2EE33F4B" w14:textId="77777777" w:rsidR="00F233AA" w:rsidRDefault="00F233AA" w:rsidP="00F233AA">
      <w:pPr>
        <w:pStyle w:val="NormalWeb"/>
        <w:spacing w:before="0" w:beforeAutospacing="0" w:after="0" w:afterAutospacing="0"/>
        <w:ind w:left="734"/>
      </w:pPr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>gene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 = gene symbol</w:t>
      </w:r>
    </w:p>
    <w:p w14:paraId="5EFFFDC1" w14:textId="77777777" w:rsidR="00F233AA" w:rsidRDefault="00F233AA" w:rsidP="00F233AA">
      <w:pPr>
        <w:pStyle w:val="NormalWeb"/>
        <w:spacing w:before="0" w:beforeAutospacing="0" w:after="0" w:afterAutospacing="0"/>
        <w:ind w:left="734"/>
      </w:pPr>
      <w:proofErr w:type="spellStart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>ptime_weight</w:t>
      </w:r>
      <w:proofErr w:type="spellEnd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= point of peak expression along </w:t>
      </w:r>
      <w:proofErr w:type="spellStart"/>
      <w:r>
        <w:rPr>
          <w:rFonts w:ascii="Arial" w:eastAsia="Calibri" w:hAnsi="Arial" w:cs="Arial"/>
          <w:color w:val="000000"/>
          <w:kern w:val="24"/>
          <w:sz w:val="22"/>
          <w:szCs w:val="22"/>
        </w:rPr>
        <w:t>pseudotime</w:t>
      </w:r>
      <w:proofErr w:type="spellEnd"/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 (ranges from 0-1)</w:t>
      </w:r>
    </w:p>
    <w:p w14:paraId="1DB6C954" w14:textId="77777777" w:rsidR="00F233AA" w:rsidRDefault="00F233AA" w:rsidP="00F233AA">
      <w:pPr>
        <w:pStyle w:val="NormalWeb"/>
        <w:spacing w:before="0" w:beforeAutospacing="0" w:after="0" w:afterAutospacing="0"/>
        <w:ind w:left="734"/>
      </w:pPr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>classification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 = assigned classification "Early" (continually decreasing slope), "Intermediate" (convex expression pattern), "Late" (continually increasing slope), and "Other" (concave expression pattern), as determined using the derivatives of the smoothed expression data.</w:t>
      </w:r>
    </w:p>
    <w:p w14:paraId="46A709B4" w14:textId="77777777" w:rsidR="00F233AA" w:rsidRDefault="00F233AA" w:rsidP="00F233AA">
      <w:pPr>
        <w:pStyle w:val="NormalWeb"/>
        <w:spacing w:before="0" w:beforeAutospacing="0" w:after="0" w:afterAutospacing="0"/>
        <w:ind w:left="360"/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</w:pPr>
    </w:p>
    <w:p w14:paraId="08566ACB" w14:textId="380F867C" w:rsidR="00F233AA" w:rsidRDefault="00F233AA" w:rsidP="00F233AA">
      <w:pPr>
        <w:pStyle w:val="NormalWeb"/>
        <w:spacing w:before="0" w:beforeAutospacing="0" w:after="0" w:afterAutospacing="0"/>
        <w:ind w:left="360"/>
      </w:pPr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Supplemental Data 5: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Classifications of genes determined to be differentially expressed at the branch point from GMPs to MP/GP. </w:t>
      </w:r>
    </w:p>
    <w:p w14:paraId="764BA7F6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>gene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 = gene symbol</w:t>
      </w:r>
    </w:p>
    <w:p w14:paraId="4F778DBD" w14:textId="77777777" w:rsidR="00F233AA" w:rsidRDefault="00F233AA" w:rsidP="00F233AA">
      <w:pPr>
        <w:pStyle w:val="NormalWeb"/>
        <w:spacing w:before="0" w:beforeAutospacing="0" w:after="0" w:afterAutospacing="0"/>
        <w:ind w:left="734"/>
      </w:pPr>
      <w:proofErr w:type="spellStart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>ptime_weight</w:t>
      </w:r>
      <w:proofErr w:type="spellEnd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= point of peak expression along </w:t>
      </w:r>
      <w:proofErr w:type="spellStart"/>
      <w:r>
        <w:rPr>
          <w:rFonts w:ascii="Arial" w:eastAsia="Calibri" w:hAnsi="Arial" w:cs="Arial"/>
          <w:color w:val="000000"/>
          <w:kern w:val="24"/>
          <w:sz w:val="22"/>
          <w:szCs w:val="22"/>
        </w:rPr>
        <w:t>pseudotime</w:t>
      </w:r>
      <w:proofErr w:type="spellEnd"/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 (ranges from -1 to 1). -1 indicates peak expression closest to MP, 0 value indicates peak expression closest to GMP, 1 value indicates peak expression closest to GP</w:t>
      </w:r>
    </w:p>
    <w:p w14:paraId="388571CA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>split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 = section of heatmap “break1” is top section (peak expression skewed toward MP), “break2” is middle section (peak expression skewed toward GP), and “break3” is bottom section (concave expression pattern; aka increasing along both GP and MP maturation)</w:t>
      </w:r>
    </w:p>
    <w:p w14:paraId="726B1BF6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proofErr w:type="spellStart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>candidate_transitioning</w:t>
      </w:r>
      <w:proofErr w:type="spellEnd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>= logical; TRUE if gene expression pattern was classified as "Intermediate" (convex expression pattern) or "Late" (continually increasing slope) and the gene was not a GMP marker (see below for definition)</w:t>
      </w:r>
    </w:p>
    <w:p w14:paraId="121C9472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proofErr w:type="spellStart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>mp_marker</w:t>
      </w:r>
      <w:proofErr w:type="spellEnd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>= logical; TRUE if gene was also identified as enriched in monocytic precursors (MP; cluster 12) relative to all other cells – derived from Supplemental Data 1</w:t>
      </w:r>
    </w:p>
    <w:p w14:paraId="6D77986D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proofErr w:type="spellStart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>gp_marker</w:t>
      </w:r>
      <w:proofErr w:type="spellEnd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>= logical; TRUE if gene was also identified as enriched in granulocytic precursors (GP; cluster 9) relative to all other cells – derived from Supplemental Data 1</w:t>
      </w:r>
    </w:p>
    <w:p w14:paraId="201F8496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proofErr w:type="spellStart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>gmp_marker</w:t>
      </w:r>
      <w:proofErr w:type="spellEnd"/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>= logical; TRUE if gene was also identified as enriched in granulocytic-monocytic precursors (GMP; cluster 4) relative to all other cells – derived from Supplemental Data 1</w:t>
      </w:r>
    </w:p>
    <w:p w14:paraId="7A5F60BF" w14:textId="77777777" w:rsidR="00F233AA" w:rsidRDefault="00F233AA" w:rsidP="00F233AA">
      <w:pPr>
        <w:pStyle w:val="NormalWeb"/>
        <w:spacing w:before="0" w:beforeAutospacing="0" w:after="0" w:afterAutospacing="0"/>
        <w:ind w:left="360"/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</w:pPr>
    </w:p>
    <w:p w14:paraId="742E330C" w14:textId="6BD58BC1" w:rsidR="00F233AA" w:rsidRDefault="00F233AA" w:rsidP="00F233AA">
      <w:pPr>
        <w:pStyle w:val="NormalWeb"/>
        <w:spacing w:before="0" w:beforeAutospacing="0" w:after="0" w:afterAutospacing="0"/>
        <w:ind w:left="360"/>
      </w:pPr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Supplemental Data 6: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Classifications of genes differentially expressed along canine and/or human granulopoiesis. </w:t>
      </w:r>
    </w:p>
    <w:p w14:paraId="2B695B48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r>
        <w:rPr>
          <w:rFonts w:ascii="Arial" w:eastAsia="Calibri" w:hAnsi="Arial" w:cs="Arial"/>
          <w:b/>
          <w:bCs/>
          <w:color w:val="000000"/>
          <w:kern w:val="24"/>
          <w:sz w:val="22"/>
          <w:szCs w:val="22"/>
        </w:rPr>
        <w:t xml:space="preserve">classification </w:t>
      </w:r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= </w:t>
      </w:r>
    </w:p>
    <w:p w14:paraId="03DF9FD1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r>
        <w:rPr>
          <w:rFonts w:ascii="Arial" w:eastAsia="Calibri" w:hAnsi="Arial" w:cs="Arial"/>
          <w:color w:val="000000"/>
          <w:kern w:val="24"/>
          <w:sz w:val="22"/>
          <w:szCs w:val="22"/>
        </w:rPr>
        <w:t>“</w:t>
      </w:r>
      <w:proofErr w:type="spellStart"/>
      <w:proofErr w:type="gramStart"/>
      <w:r>
        <w:rPr>
          <w:rFonts w:ascii="Arial" w:eastAsia="Calibri" w:hAnsi="Arial" w:cs="Arial"/>
          <w:color w:val="000000"/>
          <w:kern w:val="24"/>
          <w:sz w:val="22"/>
          <w:szCs w:val="22"/>
        </w:rPr>
        <w:t>gene</w:t>
      </w:r>
      <w:proofErr w:type="gramEnd"/>
      <w:r>
        <w:rPr>
          <w:rFonts w:ascii="Arial" w:eastAsia="Calibri" w:hAnsi="Arial" w:cs="Arial"/>
          <w:color w:val="000000"/>
          <w:kern w:val="24"/>
          <w:sz w:val="22"/>
          <w:szCs w:val="22"/>
        </w:rPr>
        <w:t>_can</w:t>
      </w:r>
      <w:proofErr w:type="spellEnd"/>
      <w:r>
        <w:rPr>
          <w:rFonts w:ascii="Arial" w:eastAsia="Calibri" w:hAnsi="Arial" w:cs="Arial"/>
          <w:color w:val="000000"/>
          <w:kern w:val="24"/>
          <w:sz w:val="22"/>
          <w:szCs w:val="22"/>
        </w:rPr>
        <w:t xml:space="preserve">” indicates genes that were only differentially expressed (DE) along canine granulopoiesis, </w:t>
      </w:r>
    </w:p>
    <w:p w14:paraId="3502D36B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r>
        <w:rPr>
          <w:rFonts w:ascii="Arial" w:eastAsia="Calibri" w:hAnsi="Arial" w:cs="Arial"/>
          <w:color w:val="000000"/>
          <w:kern w:val="24"/>
          <w:sz w:val="22"/>
          <w:szCs w:val="22"/>
        </w:rPr>
        <w:t>“</w:t>
      </w:r>
      <w:proofErr w:type="spellStart"/>
      <w:proofErr w:type="gramStart"/>
      <w:r>
        <w:rPr>
          <w:rFonts w:ascii="Arial" w:eastAsia="Calibri" w:hAnsi="Arial" w:cs="Arial"/>
          <w:color w:val="000000"/>
          <w:kern w:val="24"/>
          <w:sz w:val="22"/>
          <w:szCs w:val="22"/>
        </w:rPr>
        <w:t>gene</w:t>
      </w:r>
      <w:proofErr w:type="gramEnd"/>
      <w:r>
        <w:rPr>
          <w:rFonts w:ascii="Arial" w:eastAsia="Calibri" w:hAnsi="Arial" w:cs="Arial"/>
          <w:color w:val="000000"/>
          <w:kern w:val="24"/>
          <w:sz w:val="22"/>
          <w:szCs w:val="22"/>
        </w:rPr>
        <w:t>_hu</w:t>
      </w:r>
      <w:proofErr w:type="spellEnd"/>
      <w:r>
        <w:rPr>
          <w:rFonts w:ascii="Arial" w:eastAsia="Calibri" w:hAnsi="Arial" w:cs="Arial"/>
          <w:color w:val="000000"/>
          <w:kern w:val="24"/>
          <w:sz w:val="22"/>
          <w:szCs w:val="22"/>
        </w:rPr>
        <w:t>” indicates genes that were only DE along human granulopoiesis</w:t>
      </w:r>
    </w:p>
    <w:p w14:paraId="48757614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r>
        <w:rPr>
          <w:rFonts w:ascii="Arial" w:eastAsia="Calibri" w:hAnsi="Arial" w:cs="Arial"/>
          <w:color w:val="000000"/>
          <w:kern w:val="24"/>
          <w:sz w:val="22"/>
          <w:szCs w:val="22"/>
        </w:rPr>
        <w:t>“</w:t>
      </w:r>
      <w:proofErr w:type="spellStart"/>
      <w:proofErr w:type="gramStart"/>
      <w:r>
        <w:rPr>
          <w:rFonts w:ascii="Arial" w:eastAsia="Calibri" w:hAnsi="Arial" w:cs="Arial"/>
          <w:color w:val="000000"/>
          <w:kern w:val="24"/>
          <w:sz w:val="22"/>
          <w:szCs w:val="22"/>
        </w:rPr>
        <w:t>gene</w:t>
      </w:r>
      <w:proofErr w:type="gramEnd"/>
      <w:r>
        <w:rPr>
          <w:rFonts w:ascii="Arial" w:eastAsia="Calibri" w:hAnsi="Arial" w:cs="Arial"/>
          <w:color w:val="000000"/>
          <w:kern w:val="24"/>
          <w:sz w:val="22"/>
          <w:szCs w:val="22"/>
        </w:rPr>
        <w:t>_conserved</w:t>
      </w:r>
      <w:proofErr w:type="spellEnd"/>
      <w:r>
        <w:rPr>
          <w:rFonts w:ascii="Arial" w:eastAsia="Calibri" w:hAnsi="Arial" w:cs="Arial"/>
          <w:color w:val="000000"/>
          <w:kern w:val="24"/>
          <w:sz w:val="22"/>
          <w:szCs w:val="22"/>
        </w:rPr>
        <w:t>” indicates genes that were DE in both species and a Pearson correlation &gt; 0.5</w:t>
      </w:r>
    </w:p>
    <w:p w14:paraId="5D3FBEAC" w14:textId="77777777" w:rsidR="00F233AA" w:rsidRDefault="00F233AA" w:rsidP="00F233AA">
      <w:pPr>
        <w:pStyle w:val="NormalWeb"/>
        <w:spacing w:before="0" w:beforeAutospacing="0" w:after="0" w:afterAutospacing="0"/>
        <w:ind w:left="720"/>
      </w:pPr>
      <w:r>
        <w:rPr>
          <w:rFonts w:ascii="Arial" w:eastAsia="Calibri" w:hAnsi="Arial" w:cs="Arial"/>
          <w:color w:val="000000"/>
          <w:kern w:val="24"/>
          <w:sz w:val="22"/>
          <w:szCs w:val="22"/>
        </w:rPr>
        <w:t>“</w:t>
      </w:r>
      <w:proofErr w:type="spellStart"/>
      <w:proofErr w:type="gramStart"/>
      <w:r>
        <w:rPr>
          <w:rFonts w:ascii="Arial" w:eastAsia="Calibri" w:hAnsi="Arial" w:cs="Arial"/>
          <w:color w:val="000000"/>
          <w:kern w:val="24"/>
          <w:sz w:val="22"/>
          <w:szCs w:val="22"/>
        </w:rPr>
        <w:t>gene</w:t>
      </w:r>
      <w:proofErr w:type="gramEnd"/>
      <w:r>
        <w:rPr>
          <w:rFonts w:ascii="Arial" w:eastAsia="Calibri" w:hAnsi="Arial" w:cs="Arial"/>
          <w:color w:val="000000"/>
          <w:kern w:val="24"/>
          <w:sz w:val="22"/>
          <w:szCs w:val="22"/>
        </w:rPr>
        <w:t>_divergent</w:t>
      </w:r>
      <w:proofErr w:type="spellEnd"/>
      <w:r>
        <w:rPr>
          <w:rFonts w:ascii="Arial" w:eastAsia="Calibri" w:hAnsi="Arial" w:cs="Arial"/>
          <w:color w:val="000000"/>
          <w:kern w:val="24"/>
          <w:sz w:val="22"/>
          <w:szCs w:val="22"/>
        </w:rPr>
        <w:t>” indicates genes that were DE in both species and a Pearson correlation ≤ 0.5</w:t>
      </w:r>
    </w:p>
    <w:p w14:paraId="098FC99C" w14:textId="77777777" w:rsidR="009A6767" w:rsidRDefault="009A6767"/>
    <w:sectPr w:rsidR="009A67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3AA"/>
    <w:rsid w:val="005508FD"/>
    <w:rsid w:val="007328D9"/>
    <w:rsid w:val="007D0926"/>
    <w:rsid w:val="00847190"/>
    <w:rsid w:val="0087108F"/>
    <w:rsid w:val="00943A8F"/>
    <w:rsid w:val="009A6767"/>
    <w:rsid w:val="00AE74C2"/>
    <w:rsid w:val="00B72CD8"/>
    <w:rsid w:val="00BE0C3D"/>
    <w:rsid w:val="00F2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E43B4"/>
  <w15:chartTrackingRefBased/>
  <w15:docId w15:val="{D9F125E4-8AFE-43BD-98D2-864CEB4E5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33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3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33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3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3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3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3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3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3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33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33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33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33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33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33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33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33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33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33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33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3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33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33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33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33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33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33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33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33A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23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85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390</Words>
  <Characters>2226</Characters>
  <Application>Microsoft Office Word</Application>
  <DocSecurity>0</DocSecurity>
  <Lines>18</Lines>
  <Paragraphs>5</Paragraphs>
  <ScaleCrop>false</ScaleCrop>
  <Company>CVMBS</Company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Harris,Adam</dc:creator>
  <cp:keywords/>
  <dc:description/>
  <cp:lastModifiedBy>Harris,Adam</cp:lastModifiedBy>
  <cp:revision>1</cp:revision>
  <dcterms:created xsi:type="dcterms:W3CDTF">2025-03-25T21:58:00Z</dcterms:created>
  <dcterms:modified xsi:type="dcterms:W3CDTF">2025-03-25T22:00:00Z</dcterms:modified>
</cp:coreProperties>
</file>