
<file path=[Content_Types].xml><?xml version="1.0" encoding="utf-8"?>
<Types xmlns="http://schemas.openxmlformats.org/package/2006/content-types">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FDBCD22" w14:textId="32FF0E30" w:rsidR="009A6767" w:rsidRDefault="005D4972" w:rsidP="005D4972">
      <w:pPr>
        <w:jc w:val="center"/>
      </w:pPr>
      <w:r>
        <w:rPr>
          <w:noProof/>
        </w:rPr>
        <w:drawing>
          <wp:inline distT="0" distB="0" distL="0" distR="0" wp14:anchorId="458AF678" wp14:editId="7B6A2AF6">
            <wp:extent cx="5934075" cy="2781300"/>
            <wp:effectExtent l="0" t="0" r="9525" b="0"/>
            <wp:docPr id="33413692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934075" cy="2781300"/>
                    </a:xfrm>
                    <a:prstGeom prst="rect">
                      <a:avLst/>
                    </a:prstGeom>
                    <a:noFill/>
                    <a:ln>
                      <a:noFill/>
                    </a:ln>
                  </pic:spPr>
                </pic:pic>
              </a:graphicData>
            </a:graphic>
          </wp:inline>
        </w:drawing>
      </w:r>
    </w:p>
    <w:p w14:paraId="70F0CAE9" w14:textId="77777777" w:rsidR="005D4972" w:rsidRDefault="005D4972" w:rsidP="005D4972">
      <w:pPr>
        <w:spacing w:line="360" w:lineRule="auto"/>
        <w:contextualSpacing/>
        <w:rPr>
          <w:rFonts w:ascii="Arial" w:eastAsia="Arial" w:hAnsi="Arial" w:cs="Arial"/>
        </w:rPr>
      </w:pPr>
      <w:r w:rsidRPr="009C47E0">
        <w:rPr>
          <w:rFonts w:ascii="Arial" w:eastAsia="Arial" w:hAnsi="Arial" w:cs="Arial"/>
          <w:b/>
          <w:bCs/>
        </w:rPr>
        <w:t xml:space="preserve">Supplemental Figure 1. </w:t>
      </w:r>
      <w:r w:rsidRPr="009C47E0">
        <w:rPr>
          <w:rFonts w:ascii="Arial" w:eastAsia="Arial" w:hAnsi="Arial" w:cs="Arial"/>
        </w:rPr>
        <w:t xml:space="preserve">Depiction of alternative dimension reduced UMAP embeddings using Harmony (“HARMONY”; approach used in primary manuscript), Joint PCA (“JOINT”), canonical correlation analysis (“CCA”), and reciprocal PCA (“RCPA”) integration approaches. The </w:t>
      </w:r>
      <w:r w:rsidRPr="009C47E0">
        <w:rPr>
          <w:rFonts w:ascii="Arial" w:eastAsia="Arial" w:hAnsi="Arial" w:cs="Arial"/>
          <w:b/>
          <w:bCs/>
        </w:rPr>
        <w:t>left</w:t>
      </w:r>
      <w:r w:rsidRPr="009C47E0">
        <w:rPr>
          <w:rFonts w:ascii="Arial" w:eastAsia="Arial" w:hAnsi="Arial" w:cs="Arial"/>
        </w:rPr>
        <w:t xml:space="preserve"> UMAP embedding for each integration approach is colorized by unsupervised clustering, as depicted in primary figure 1, and the </w:t>
      </w:r>
      <w:r w:rsidRPr="009C47E0">
        <w:rPr>
          <w:rFonts w:ascii="Arial" w:eastAsia="Arial" w:hAnsi="Arial" w:cs="Arial"/>
          <w:b/>
          <w:bCs/>
        </w:rPr>
        <w:t>right</w:t>
      </w:r>
      <w:r w:rsidRPr="009C47E0">
        <w:rPr>
          <w:rFonts w:ascii="Arial" w:eastAsia="Arial" w:hAnsi="Arial" w:cs="Arial"/>
        </w:rPr>
        <w:t xml:space="preserve"> embedding is colorized by sample.</w:t>
      </w:r>
    </w:p>
    <w:p w14:paraId="3F8778C5" w14:textId="77777777" w:rsidR="005D4972" w:rsidRDefault="005D4972" w:rsidP="005D4972">
      <w:pPr>
        <w:spacing w:line="360" w:lineRule="auto"/>
        <w:contextualSpacing/>
        <w:rPr>
          <w:rFonts w:ascii="Arial" w:eastAsia="Arial" w:hAnsi="Arial" w:cs="Arial"/>
        </w:rPr>
      </w:pPr>
    </w:p>
    <w:p w14:paraId="3247EEAB" w14:textId="77777777" w:rsidR="005D4972" w:rsidRDefault="005D4972" w:rsidP="005D4972">
      <w:pPr>
        <w:spacing w:line="360" w:lineRule="auto"/>
        <w:contextualSpacing/>
        <w:rPr>
          <w:rFonts w:ascii="Arial" w:eastAsia="Arial" w:hAnsi="Arial" w:cs="Arial"/>
        </w:rPr>
      </w:pPr>
    </w:p>
    <w:p w14:paraId="52BF3FA7" w14:textId="77777777" w:rsidR="005D4972" w:rsidRDefault="005D4972" w:rsidP="005D4972">
      <w:pPr>
        <w:spacing w:line="360" w:lineRule="auto"/>
        <w:contextualSpacing/>
        <w:rPr>
          <w:rFonts w:ascii="Arial" w:eastAsia="Arial" w:hAnsi="Arial" w:cs="Arial"/>
        </w:rPr>
      </w:pPr>
    </w:p>
    <w:p w14:paraId="452F5CF9" w14:textId="77777777" w:rsidR="005D4972" w:rsidRDefault="005D4972" w:rsidP="005D4972">
      <w:pPr>
        <w:spacing w:line="360" w:lineRule="auto"/>
        <w:contextualSpacing/>
        <w:rPr>
          <w:rFonts w:ascii="Arial" w:eastAsia="Arial" w:hAnsi="Arial" w:cs="Arial"/>
        </w:rPr>
      </w:pPr>
    </w:p>
    <w:p w14:paraId="59ABEA2C" w14:textId="77777777" w:rsidR="005D4972" w:rsidRDefault="005D4972" w:rsidP="005D4972">
      <w:pPr>
        <w:spacing w:line="360" w:lineRule="auto"/>
        <w:contextualSpacing/>
        <w:rPr>
          <w:rFonts w:ascii="Arial" w:eastAsia="Arial" w:hAnsi="Arial" w:cs="Arial"/>
        </w:rPr>
      </w:pPr>
    </w:p>
    <w:p w14:paraId="3DC21732" w14:textId="77777777" w:rsidR="005D4972" w:rsidRDefault="005D4972" w:rsidP="005D4972">
      <w:pPr>
        <w:spacing w:line="360" w:lineRule="auto"/>
        <w:contextualSpacing/>
        <w:rPr>
          <w:rFonts w:ascii="Arial" w:eastAsia="Arial" w:hAnsi="Arial" w:cs="Arial"/>
        </w:rPr>
      </w:pPr>
    </w:p>
    <w:p w14:paraId="6730A6EC" w14:textId="77777777" w:rsidR="005D4972" w:rsidRDefault="005D4972" w:rsidP="005D4972">
      <w:pPr>
        <w:spacing w:line="360" w:lineRule="auto"/>
        <w:contextualSpacing/>
        <w:rPr>
          <w:rFonts w:ascii="Arial" w:eastAsia="Arial" w:hAnsi="Arial" w:cs="Arial"/>
        </w:rPr>
      </w:pPr>
    </w:p>
    <w:p w14:paraId="70AD6640" w14:textId="77777777" w:rsidR="005D4972" w:rsidRDefault="005D4972" w:rsidP="005D4972">
      <w:pPr>
        <w:spacing w:line="360" w:lineRule="auto"/>
        <w:contextualSpacing/>
        <w:rPr>
          <w:rFonts w:ascii="Arial" w:eastAsia="Arial" w:hAnsi="Arial" w:cs="Arial"/>
        </w:rPr>
      </w:pPr>
    </w:p>
    <w:p w14:paraId="5EC677C9" w14:textId="77777777" w:rsidR="005D4972" w:rsidRDefault="005D4972" w:rsidP="005D4972">
      <w:pPr>
        <w:spacing w:line="360" w:lineRule="auto"/>
        <w:contextualSpacing/>
        <w:rPr>
          <w:rFonts w:ascii="Arial" w:eastAsia="Arial" w:hAnsi="Arial" w:cs="Arial"/>
        </w:rPr>
      </w:pPr>
    </w:p>
    <w:p w14:paraId="168CCAF6" w14:textId="77777777" w:rsidR="005D4972" w:rsidRDefault="005D4972" w:rsidP="005D4972">
      <w:pPr>
        <w:spacing w:line="360" w:lineRule="auto"/>
        <w:contextualSpacing/>
        <w:rPr>
          <w:rFonts w:ascii="Arial" w:eastAsia="Arial" w:hAnsi="Arial" w:cs="Arial"/>
        </w:rPr>
      </w:pPr>
    </w:p>
    <w:p w14:paraId="376E29C6" w14:textId="77777777" w:rsidR="005D4972" w:rsidRDefault="005D4972" w:rsidP="005D4972">
      <w:pPr>
        <w:spacing w:line="360" w:lineRule="auto"/>
        <w:contextualSpacing/>
        <w:rPr>
          <w:rFonts w:ascii="Arial" w:eastAsia="Arial" w:hAnsi="Arial" w:cs="Arial"/>
        </w:rPr>
      </w:pPr>
    </w:p>
    <w:p w14:paraId="3909E5A7" w14:textId="77777777" w:rsidR="005D4972" w:rsidRDefault="005D4972" w:rsidP="005D4972">
      <w:pPr>
        <w:spacing w:line="360" w:lineRule="auto"/>
        <w:contextualSpacing/>
        <w:rPr>
          <w:rFonts w:ascii="Arial" w:eastAsia="Arial" w:hAnsi="Arial" w:cs="Arial"/>
        </w:rPr>
      </w:pPr>
    </w:p>
    <w:p w14:paraId="0AB325FC" w14:textId="77777777" w:rsidR="005D4972" w:rsidRDefault="005D4972" w:rsidP="005D4972">
      <w:pPr>
        <w:spacing w:line="360" w:lineRule="auto"/>
        <w:contextualSpacing/>
        <w:rPr>
          <w:rFonts w:ascii="Arial" w:eastAsia="Arial" w:hAnsi="Arial" w:cs="Arial"/>
        </w:rPr>
      </w:pPr>
    </w:p>
    <w:p w14:paraId="4095625E" w14:textId="77777777" w:rsidR="005D4972" w:rsidRDefault="005D4972" w:rsidP="005D4972">
      <w:pPr>
        <w:spacing w:line="360" w:lineRule="auto"/>
        <w:contextualSpacing/>
        <w:rPr>
          <w:rFonts w:ascii="Arial" w:eastAsia="Arial" w:hAnsi="Arial" w:cs="Arial"/>
        </w:rPr>
      </w:pPr>
    </w:p>
    <w:p w14:paraId="60A5358B" w14:textId="7C78E2F5" w:rsidR="005D4972" w:rsidRPr="009C47E0" w:rsidRDefault="005D4972" w:rsidP="005D4972">
      <w:pPr>
        <w:spacing w:line="360" w:lineRule="auto"/>
        <w:contextualSpacing/>
        <w:jc w:val="center"/>
        <w:rPr>
          <w:rFonts w:ascii="Arial" w:eastAsia="Arial" w:hAnsi="Arial" w:cs="Arial"/>
        </w:rPr>
      </w:pPr>
      <w:r>
        <w:rPr>
          <w:rFonts w:ascii="Arial" w:eastAsia="Arial" w:hAnsi="Arial" w:cs="Arial"/>
          <w:noProof/>
        </w:rPr>
        <w:lastRenderedPageBreak/>
        <w:drawing>
          <wp:inline distT="0" distB="0" distL="0" distR="0" wp14:anchorId="1DB536E5" wp14:editId="089A723B">
            <wp:extent cx="5934075" cy="4210050"/>
            <wp:effectExtent l="0" t="0" r="9525" b="0"/>
            <wp:docPr id="12054589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934075" cy="4210050"/>
                    </a:xfrm>
                    <a:prstGeom prst="rect">
                      <a:avLst/>
                    </a:prstGeom>
                    <a:noFill/>
                    <a:ln>
                      <a:noFill/>
                    </a:ln>
                  </pic:spPr>
                </pic:pic>
              </a:graphicData>
            </a:graphic>
          </wp:inline>
        </w:drawing>
      </w:r>
    </w:p>
    <w:p w14:paraId="3D03FABA" w14:textId="77777777" w:rsidR="005D4972" w:rsidRPr="009C47E0" w:rsidRDefault="005D4972" w:rsidP="005D4972">
      <w:pPr>
        <w:spacing w:line="360" w:lineRule="auto"/>
        <w:contextualSpacing/>
        <w:rPr>
          <w:rFonts w:ascii="Arial" w:eastAsia="Arial" w:hAnsi="Arial" w:cs="Arial"/>
        </w:rPr>
      </w:pPr>
      <w:r w:rsidRPr="009C47E0">
        <w:rPr>
          <w:rFonts w:ascii="Arial" w:eastAsia="Arial" w:hAnsi="Arial" w:cs="Arial"/>
          <w:b/>
          <w:bCs/>
        </w:rPr>
        <w:t xml:space="preserve">Supplemental Figure 2. </w:t>
      </w:r>
      <w:r w:rsidRPr="009C47E0">
        <w:rPr>
          <w:rFonts w:ascii="Arial" w:eastAsia="Arial" w:hAnsi="Arial" w:cs="Arial"/>
        </w:rPr>
        <w:t xml:space="preserve"> Representative images illustrating bone marrow specimens at different stages of processing for single-cell transcriptomic analysis, along with flow cytometry gating used for sorting CD34⁺ cells. (</w:t>
      </w:r>
      <w:r w:rsidRPr="009C47E0">
        <w:rPr>
          <w:rFonts w:ascii="Arial" w:eastAsia="Arial" w:hAnsi="Arial" w:cs="Arial"/>
          <w:b/>
          <w:bCs/>
        </w:rPr>
        <w:t>a</w:t>
      </w:r>
      <w:r w:rsidRPr="009C47E0">
        <w:rPr>
          <w:rFonts w:ascii="Arial" w:eastAsia="Arial" w:hAnsi="Arial" w:cs="Arial"/>
        </w:rPr>
        <w:t>) Histologic evaluation of intact bone marrow tissue (Hematoxylin and Eosin stain, 200x magnification). (</w:t>
      </w:r>
      <w:r w:rsidRPr="009C47E0">
        <w:rPr>
          <w:rFonts w:ascii="Arial" w:eastAsia="Arial" w:hAnsi="Arial" w:cs="Arial"/>
          <w:b/>
          <w:bCs/>
        </w:rPr>
        <w:t>b</w:t>
      </w:r>
      <w:r w:rsidRPr="009C47E0">
        <w:rPr>
          <w:rFonts w:ascii="Arial" w:eastAsia="Arial" w:hAnsi="Arial" w:cs="Arial"/>
        </w:rPr>
        <w:t>) Cytologic assessment of bone marrow single-cell suspension prior to single-cell sequencing (Wright-Giemsa stain, 500x magnification). Red asterisks indicate early-stage erythroid precursors. (</w:t>
      </w:r>
      <w:r w:rsidRPr="009C47E0">
        <w:rPr>
          <w:rFonts w:ascii="Arial" w:eastAsia="Arial" w:hAnsi="Arial" w:cs="Arial"/>
          <w:b/>
          <w:bCs/>
        </w:rPr>
        <w:t>c</w:t>
      </w:r>
      <w:r w:rsidRPr="009C47E0">
        <w:rPr>
          <w:rFonts w:ascii="Arial" w:eastAsia="Arial" w:hAnsi="Arial" w:cs="Arial"/>
        </w:rPr>
        <w:t>) Cytologic appearance of sorted CD34+ cells utilized for single-cell sequencing (Wright-Giemsa stain, 500x magnification). (d) Flow cytometry gating strategy for isolation of CD34⁺ cells from whole bone marrow. The top row illustrates the gating workflow: first, doublets were removed using forward scatter area and height parameters. Next, viable cells were selected by excluding propidium iodide-positive events. All cells were then gated while removing debris based on light scatter properties. CD34+MHCII+/- cells (red) were positively selected for downstream analysis. The bottom row highlights the post-</w:t>
      </w:r>
      <w:proofErr w:type="gramStart"/>
      <w:r w:rsidRPr="009C47E0">
        <w:rPr>
          <w:rFonts w:ascii="Arial" w:eastAsia="Arial" w:hAnsi="Arial" w:cs="Arial"/>
        </w:rPr>
        <w:t>sort</w:t>
      </w:r>
      <w:proofErr w:type="gramEnd"/>
      <w:r w:rsidRPr="009C47E0">
        <w:rPr>
          <w:rFonts w:ascii="Arial" w:eastAsia="Arial" w:hAnsi="Arial" w:cs="Arial"/>
        </w:rPr>
        <w:t xml:space="preserve"> purity obtained.</w:t>
      </w:r>
    </w:p>
    <w:p w14:paraId="5CB67441" w14:textId="77777777" w:rsidR="005D4972" w:rsidRPr="009C47E0" w:rsidRDefault="005D4972" w:rsidP="005D4972">
      <w:pPr>
        <w:spacing w:line="360" w:lineRule="auto"/>
        <w:contextualSpacing/>
        <w:rPr>
          <w:rFonts w:ascii="Arial" w:hAnsi="Arial" w:cs="Arial"/>
        </w:rPr>
      </w:pPr>
    </w:p>
    <w:p w14:paraId="72CA2A2D" w14:textId="35F4864D" w:rsidR="005D4972" w:rsidRDefault="005D4972" w:rsidP="005D4972">
      <w:pPr>
        <w:spacing w:line="360" w:lineRule="auto"/>
        <w:contextualSpacing/>
        <w:jc w:val="center"/>
        <w:rPr>
          <w:rFonts w:ascii="Arial" w:eastAsia="Arial" w:hAnsi="Arial" w:cs="Arial"/>
          <w:b/>
          <w:bCs/>
        </w:rPr>
      </w:pPr>
      <w:r>
        <w:rPr>
          <w:rFonts w:ascii="Arial" w:eastAsia="Arial" w:hAnsi="Arial" w:cs="Arial"/>
          <w:b/>
          <w:bCs/>
          <w:noProof/>
        </w:rPr>
        <w:lastRenderedPageBreak/>
        <w:drawing>
          <wp:inline distT="0" distB="0" distL="0" distR="0" wp14:anchorId="13DEC77A" wp14:editId="0BEABB09">
            <wp:extent cx="4667250" cy="6058450"/>
            <wp:effectExtent l="0" t="0" r="0" b="0"/>
            <wp:docPr id="90659727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4676634" cy="6070631"/>
                    </a:xfrm>
                    <a:prstGeom prst="rect">
                      <a:avLst/>
                    </a:prstGeom>
                    <a:noFill/>
                    <a:ln>
                      <a:noFill/>
                    </a:ln>
                  </pic:spPr>
                </pic:pic>
              </a:graphicData>
            </a:graphic>
          </wp:inline>
        </w:drawing>
      </w:r>
    </w:p>
    <w:p w14:paraId="5E96D4C7" w14:textId="44A7C1FF" w:rsidR="005D4972" w:rsidRPr="009C47E0" w:rsidRDefault="005D4972" w:rsidP="005D4972">
      <w:pPr>
        <w:spacing w:line="360" w:lineRule="auto"/>
        <w:contextualSpacing/>
        <w:rPr>
          <w:rFonts w:ascii="Arial" w:eastAsia="Arial" w:hAnsi="Arial" w:cs="Arial"/>
        </w:rPr>
      </w:pPr>
      <w:r w:rsidRPr="009C47E0">
        <w:rPr>
          <w:rFonts w:ascii="Arial" w:eastAsia="Arial" w:hAnsi="Arial" w:cs="Arial"/>
          <w:b/>
          <w:bCs/>
        </w:rPr>
        <w:t xml:space="preserve">Supplemental Figure 3. </w:t>
      </w:r>
      <w:r w:rsidRPr="009C47E0">
        <w:rPr>
          <w:rFonts w:ascii="Arial" w:eastAsia="Arial" w:hAnsi="Arial" w:cs="Arial"/>
        </w:rPr>
        <w:t xml:space="preserve">Additional plotting associated with Primary Figure 1. </w:t>
      </w:r>
      <w:r w:rsidRPr="009C47E0">
        <w:rPr>
          <w:rFonts w:ascii="Arial" w:hAnsi="Arial" w:cs="Arial"/>
        </w:rPr>
        <w:t>(</w:t>
      </w:r>
      <w:r w:rsidRPr="009C47E0">
        <w:rPr>
          <w:rFonts w:ascii="Arial" w:hAnsi="Arial" w:cs="Arial"/>
          <w:b/>
          <w:bCs/>
        </w:rPr>
        <w:t>a</w:t>
      </w:r>
      <w:r w:rsidRPr="009C47E0">
        <w:rPr>
          <w:rFonts w:ascii="Arial" w:hAnsi="Arial" w:cs="Arial"/>
        </w:rPr>
        <w:t xml:space="preserve">) </w:t>
      </w:r>
      <w:r w:rsidRPr="009C47E0">
        <w:rPr>
          <w:rFonts w:ascii="Arial" w:eastAsia="Arial" w:hAnsi="Arial" w:cs="Arial"/>
        </w:rPr>
        <w:t>Heatmap depicting scaled gene expression of the features that define each of the cell type clusters. The top 12 features that were identified to define each major lineage are listed on the right.</w:t>
      </w:r>
      <w:r w:rsidRPr="009C47E0">
        <w:rPr>
          <w:rFonts w:ascii="Arial" w:hAnsi="Arial" w:cs="Arial"/>
        </w:rPr>
        <w:t xml:space="preserve"> (</w:t>
      </w:r>
      <w:r w:rsidRPr="009C47E0">
        <w:rPr>
          <w:rFonts w:ascii="Arial" w:hAnsi="Arial" w:cs="Arial"/>
          <w:b/>
          <w:bCs/>
        </w:rPr>
        <w:t>b</w:t>
      </w:r>
      <w:r w:rsidRPr="009C47E0">
        <w:rPr>
          <w:rFonts w:ascii="Arial" w:hAnsi="Arial" w:cs="Arial"/>
        </w:rPr>
        <w:t>) Violin plots depicting log normalized expression of canonical markers used to classify hematopoietic stem and progenitor cells and the 4 major cell type lineages. (</w:t>
      </w:r>
      <w:r w:rsidRPr="009C47E0">
        <w:rPr>
          <w:rFonts w:ascii="Arial" w:hAnsi="Arial" w:cs="Arial"/>
          <w:b/>
          <w:bCs/>
        </w:rPr>
        <w:t>c</w:t>
      </w:r>
      <w:r w:rsidRPr="009C47E0">
        <w:rPr>
          <w:rFonts w:ascii="Arial" w:hAnsi="Arial" w:cs="Arial"/>
        </w:rPr>
        <w:t xml:space="preserve">) Feature plots depicting the module score enrichment for 6 different </w:t>
      </w:r>
      <w:proofErr w:type="gramStart"/>
      <w:r w:rsidRPr="009C47E0">
        <w:rPr>
          <w:rFonts w:ascii="Arial" w:hAnsi="Arial" w:cs="Arial"/>
        </w:rPr>
        <w:t>cell type</w:t>
      </w:r>
      <w:proofErr w:type="gramEnd"/>
      <w:r w:rsidRPr="009C47E0">
        <w:rPr>
          <w:rFonts w:ascii="Arial" w:hAnsi="Arial" w:cs="Arial"/>
        </w:rPr>
        <w:t xml:space="preserve"> gene signatures derived from human bone marrow single-cell RNA sequencing data.</w:t>
      </w:r>
    </w:p>
    <w:p w14:paraId="5B6DB719" w14:textId="2A2E0940" w:rsidR="005D4972" w:rsidRPr="009C47E0" w:rsidRDefault="005D4972" w:rsidP="005D4972">
      <w:pPr>
        <w:spacing w:line="360" w:lineRule="auto"/>
        <w:contextualSpacing/>
        <w:jc w:val="center"/>
        <w:rPr>
          <w:rFonts w:ascii="Arial" w:eastAsia="Arial" w:hAnsi="Arial" w:cs="Arial"/>
          <w:b/>
          <w:bCs/>
        </w:rPr>
      </w:pPr>
      <w:r>
        <w:rPr>
          <w:rFonts w:ascii="Arial" w:eastAsia="Arial" w:hAnsi="Arial" w:cs="Arial"/>
          <w:b/>
          <w:bCs/>
          <w:noProof/>
        </w:rPr>
        <w:lastRenderedPageBreak/>
        <w:drawing>
          <wp:inline distT="0" distB="0" distL="0" distR="0" wp14:anchorId="0DFB6503" wp14:editId="1B32EE40">
            <wp:extent cx="5943600" cy="4772025"/>
            <wp:effectExtent l="0" t="0" r="0" b="9525"/>
            <wp:docPr id="1286645462"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943600" cy="4772025"/>
                    </a:xfrm>
                    <a:prstGeom prst="rect">
                      <a:avLst/>
                    </a:prstGeom>
                    <a:noFill/>
                    <a:ln>
                      <a:noFill/>
                    </a:ln>
                  </pic:spPr>
                </pic:pic>
              </a:graphicData>
            </a:graphic>
          </wp:inline>
        </w:drawing>
      </w:r>
    </w:p>
    <w:p w14:paraId="1B162E00" w14:textId="77777777" w:rsidR="005D4972" w:rsidRDefault="005D4972" w:rsidP="005D4972">
      <w:pPr>
        <w:spacing w:line="360" w:lineRule="auto"/>
        <w:contextualSpacing/>
        <w:rPr>
          <w:rFonts w:ascii="Arial" w:hAnsi="Arial" w:cs="Arial"/>
        </w:rPr>
      </w:pPr>
      <w:r w:rsidRPr="009C47E0">
        <w:rPr>
          <w:rFonts w:ascii="Arial" w:eastAsia="Arial" w:hAnsi="Arial" w:cs="Arial"/>
          <w:b/>
          <w:bCs/>
        </w:rPr>
        <w:t xml:space="preserve">Supplemental Figure 4. </w:t>
      </w:r>
      <w:r w:rsidRPr="009C47E0">
        <w:rPr>
          <w:rFonts w:ascii="Arial" w:hAnsi="Arial" w:cs="Arial"/>
        </w:rPr>
        <w:t xml:space="preserve">UMAP embeddings depicting </w:t>
      </w:r>
      <w:proofErr w:type="spellStart"/>
      <w:r w:rsidRPr="009C47E0">
        <w:rPr>
          <w:rFonts w:ascii="Arial" w:hAnsi="Arial" w:cs="Arial"/>
        </w:rPr>
        <w:t>pseudotime</w:t>
      </w:r>
      <w:proofErr w:type="spellEnd"/>
      <w:r w:rsidRPr="009C47E0">
        <w:rPr>
          <w:rFonts w:ascii="Arial" w:hAnsi="Arial" w:cs="Arial"/>
        </w:rPr>
        <w:t xml:space="preserve"> bins used for differential expression analysis and scatter plots log normalized gene expression counts over </w:t>
      </w:r>
      <w:proofErr w:type="spellStart"/>
      <w:r w:rsidRPr="009C47E0">
        <w:rPr>
          <w:rFonts w:ascii="Arial" w:hAnsi="Arial" w:cs="Arial"/>
        </w:rPr>
        <w:t>pseudotime</w:t>
      </w:r>
      <w:proofErr w:type="spellEnd"/>
      <w:r w:rsidRPr="009C47E0">
        <w:rPr>
          <w:rFonts w:ascii="Arial" w:hAnsi="Arial" w:cs="Arial"/>
        </w:rPr>
        <w:t xml:space="preserve"> for the (</w:t>
      </w:r>
      <w:r w:rsidRPr="009C47E0">
        <w:rPr>
          <w:rFonts w:ascii="Arial" w:hAnsi="Arial" w:cs="Arial"/>
          <w:b/>
          <w:bCs/>
        </w:rPr>
        <w:t>a</w:t>
      </w:r>
      <w:r w:rsidRPr="009C47E0">
        <w:rPr>
          <w:rFonts w:ascii="Arial" w:hAnsi="Arial" w:cs="Arial"/>
        </w:rPr>
        <w:t>) erythroid, (</w:t>
      </w:r>
      <w:r w:rsidRPr="009C47E0">
        <w:rPr>
          <w:rFonts w:ascii="Arial" w:hAnsi="Arial" w:cs="Arial"/>
          <w:b/>
          <w:bCs/>
        </w:rPr>
        <w:t>b</w:t>
      </w:r>
      <w:r w:rsidRPr="009C47E0">
        <w:rPr>
          <w:rFonts w:ascii="Arial" w:hAnsi="Arial" w:cs="Arial"/>
        </w:rPr>
        <w:t>) lymphocytic, and (</w:t>
      </w:r>
      <w:r w:rsidRPr="009C47E0">
        <w:rPr>
          <w:rFonts w:ascii="Arial" w:hAnsi="Arial" w:cs="Arial"/>
          <w:b/>
          <w:bCs/>
        </w:rPr>
        <w:t>d</w:t>
      </w:r>
      <w:r w:rsidRPr="009C47E0">
        <w:rPr>
          <w:rFonts w:ascii="Arial" w:hAnsi="Arial" w:cs="Arial"/>
        </w:rPr>
        <w:t>) granulocytic lineages. (</w:t>
      </w:r>
      <w:r w:rsidRPr="009C47E0">
        <w:rPr>
          <w:rFonts w:ascii="Arial" w:hAnsi="Arial" w:cs="Arial"/>
          <w:b/>
          <w:bCs/>
        </w:rPr>
        <w:t>c</w:t>
      </w:r>
      <w:r w:rsidRPr="009C47E0">
        <w:rPr>
          <w:rFonts w:ascii="Arial" w:hAnsi="Arial" w:cs="Arial"/>
        </w:rPr>
        <w:t xml:space="preserve">) Volcano plots depicting the results of differential expression analysis between common </w:t>
      </w:r>
      <w:r w:rsidRPr="009C47E0">
        <w:rPr>
          <w:rFonts w:ascii="Arial" w:eastAsia="Arial" w:hAnsi="Arial" w:cs="Arial"/>
        </w:rPr>
        <w:t>lymphoid progenitors (CLP) and all other cells (</w:t>
      </w:r>
      <w:r w:rsidRPr="009C47E0">
        <w:rPr>
          <w:rFonts w:ascii="Arial" w:eastAsia="Arial" w:hAnsi="Arial" w:cs="Arial"/>
          <w:b/>
          <w:bCs/>
        </w:rPr>
        <w:t>top</w:t>
      </w:r>
      <w:r w:rsidRPr="009C47E0">
        <w:rPr>
          <w:rFonts w:ascii="Arial" w:eastAsia="Arial" w:hAnsi="Arial" w:cs="Arial"/>
        </w:rPr>
        <w:t xml:space="preserve">) and </w:t>
      </w:r>
      <w:r w:rsidRPr="009C47E0">
        <w:rPr>
          <w:rFonts w:ascii="Arial" w:hAnsi="Arial" w:cs="Arial"/>
        </w:rPr>
        <w:t>between the two CLP subclusters (</w:t>
      </w:r>
      <w:r w:rsidRPr="009C47E0">
        <w:rPr>
          <w:rFonts w:ascii="Arial" w:hAnsi="Arial" w:cs="Arial"/>
          <w:b/>
          <w:bCs/>
        </w:rPr>
        <w:t>bottom</w:t>
      </w:r>
      <w:r w:rsidRPr="009C47E0">
        <w:rPr>
          <w:rFonts w:ascii="Arial" w:hAnsi="Arial" w:cs="Arial"/>
        </w:rPr>
        <w:t>).</w:t>
      </w:r>
    </w:p>
    <w:p w14:paraId="156BE8B3" w14:textId="77777777" w:rsidR="005D4972" w:rsidRDefault="005D4972" w:rsidP="005D4972">
      <w:pPr>
        <w:spacing w:line="360" w:lineRule="auto"/>
        <w:contextualSpacing/>
        <w:rPr>
          <w:rFonts w:ascii="Arial" w:hAnsi="Arial" w:cs="Arial"/>
        </w:rPr>
      </w:pPr>
    </w:p>
    <w:p w14:paraId="6AFF156B" w14:textId="77777777" w:rsidR="005D4972" w:rsidRDefault="005D4972" w:rsidP="005D4972">
      <w:pPr>
        <w:spacing w:line="360" w:lineRule="auto"/>
        <w:contextualSpacing/>
        <w:rPr>
          <w:rFonts w:ascii="Arial" w:hAnsi="Arial" w:cs="Arial"/>
        </w:rPr>
      </w:pPr>
    </w:p>
    <w:p w14:paraId="44304746" w14:textId="77777777" w:rsidR="005D4972" w:rsidRDefault="005D4972" w:rsidP="005D4972">
      <w:pPr>
        <w:spacing w:line="360" w:lineRule="auto"/>
        <w:contextualSpacing/>
        <w:rPr>
          <w:rFonts w:ascii="Arial" w:hAnsi="Arial" w:cs="Arial"/>
        </w:rPr>
      </w:pPr>
    </w:p>
    <w:p w14:paraId="0E6A3E4A" w14:textId="77777777" w:rsidR="005D4972" w:rsidRDefault="005D4972" w:rsidP="005D4972">
      <w:pPr>
        <w:spacing w:line="360" w:lineRule="auto"/>
        <w:contextualSpacing/>
        <w:rPr>
          <w:rFonts w:ascii="Arial" w:hAnsi="Arial" w:cs="Arial"/>
        </w:rPr>
      </w:pPr>
    </w:p>
    <w:p w14:paraId="7D2B13C1" w14:textId="77777777" w:rsidR="005D4972" w:rsidRDefault="005D4972" w:rsidP="005D4972">
      <w:pPr>
        <w:spacing w:line="360" w:lineRule="auto"/>
        <w:contextualSpacing/>
        <w:rPr>
          <w:rFonts w:ascii="Arial" w:hAnsi="Arial" w:cs="Arial"/>
        </w:rPr>
      </w:pPr>
    </w:p>
    <w:p w14:paraId="7445AFF5" w14:textId="77777777" w:rsidR="005D4972" w:rsidRDefault="005D4972" w:rsidP="005D4972">
      <w:pPr>
        <w:spacing w:line="360" w:lineRule="auto"/>
        <w:contextualSpacing/>
        <w:rPr>
          <w:rFonts w:ascii="Arial" w:hAnsi="Arial" w:cs="Arial"/>
        </w:rPr>
      </w:pPr>
    </w:p>
    <w:p w14:paraId="3C928F68" w14:textId="77777777" w:rsidR="005D4972" w:rsidRDefault="005D4972" w:rsidP="005D4972">
      <w:pPr>
        <w:spacing w:line="360" w:lineRule="auto"/>
        <w:contextualSpacing/>
        <w:rPr>
          <w:rFonts w:ascii="Arial" w:hAnsi="Arial" w:cs="Arial"/>
        </w:rPr>
      </w:pPr>
    </w:p>
    <w:p w14:paraId="71314FEF" w14:textId="59EFF8AB" w:rsidR="005D4972" w:rsidRPr="009C47E0" w:rsidRDefault="005D4972" w:rsidP="005D4972">
      <w:pPr>
        <w:spacing w:line="360" w:lineRule="auto"/>
        <w:contextualSpacing/>
        <w:jc w:val="center"/>
        <w:rPr>
          <w:rFonts w:ascii="Arial" w:eastAsia="Arial" w:hAnsi="Arial" w:cs="Arial"/>
        </w:rPr>
      </w:pPr>
      <w:r>
        <w:rPr>
          <w:rFonts w:ascii="Arial" w:hAnsi="Arial" w:cs="Arial"/>
          <w:noProof/>
        </w:rPr>
        <w:lastRenderedPageBreak/>
        <w:drawing>
          <wp:inline distT="0" distB="0" distL="0" distR="0" wp14:anchorId="08E8CD10" wp14:editId="33DF5E57">
            <wp:extent cx="4124325" cy="5090860"/>
            <wp:effectExtent l="0" t="0" r="0" b="0"/>
            <wp:docPr id="1489500332"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126956" cy="5094107"/>
                    </a:xfrm>
                    <a:prstGeom prst="rect">
                      <a:avLst/>
                    </a:prstGeom>
                    <a:noFill/>
                    <a:ln>
                      <a:noFill/>
                    </a:ln>
                  </pic:spPr>
                </pic:pic>
              </a:graphicData>
            </a:graphic>
          </wp:inline>
        </w:drawing>
      </w:r>
    </w:p>
    <w:p w14:paraId="3CEF6967" w14:textId="77777777" w:rsidR="005D4972" w:rsidRPr="009C47E0" w:rsidRDefault="005D4972" w:rsidP="005D4972">
      <w:pPr>
        <w:spacing w:line="360" w:lineRule="auto"/>
        <w:contextualSpacing/>
        <w:rPr>
          <w:rFonts w:ascii="Arial" w:eastAsia="Arial" w:hAnsi="Arial" w:cs="Arial"/>
        </w:rPr>
      </w:pPr>
    </w:p>
    <w:p w14:paraId="47AB5F1F" w14:textId="77777777" w:rsidR="005D4972" w:rsidRPr="009C47E0" w:rsidRDefault="005D4972" w:rsidP="005D4972">
      <w:pPr>
        <w:spacing w:line="360" w:lineRule="auto"/>
        <w:contextualSpacing/>
        <w:rPr>
          <w:rFonts w:ascii="Arial" w:eastAsia="Arial" w:hAnsi="Arial" w:cs="Arial"/>
        </w:rPr>
      </w:pPr>
      <w:r w:rsidRPr="009C47E0">
        <w:rPr>
          <w:rFonts w:ascii="Arial" w:eastAsia="Arial" w:hAnsi="Arial" w:cs="Arial"/>
          <w:b/>
          <w:bCs/>
        </w:rPr>
        <w:t xml:space="preserve">Supplemental Figure 5. </w:t>
      </w:r>
      <w:r w:rsidRPr="009C47E0">
        <w:rPr>
          <w:rFonts w:ascii="Arial" w:eastAsia="Arial" w:hAnsi="Arial" w:cs="Arial"/>
        </w:rPr>
        <w:t>Additional plotting associated with Primary Figure 5.</w:t>
      </w:r>
      <w:r w:rsidRPr="009C47E0">
        <w:rPr>
          <w:rFonts w:ascii="Arial" w:eastAsia="Arial" w:hAnsi="Arial" w:cs="Arial"/>
          <w:b/>
          <w:bCs/>
        </w:rPr>
        <w:t xml:space="preserve"> </w:t>
      </w:r>
      <w:r w:rsidRPr="009C47E0">
        <w:rPr>
          <w:rFonts w:ascii="Arial" w:eastAsia="Arial" w:hAnsi="Arial" w:cs="Arial"/>
        </w:rPr>
        <w:t>(</w:t>
      </w:r>
      <w:r w:rsidRPr="009C47E0">
        <w:rPr>
          <w:rFonts w:ascii="Arial" w:eastAsia="Arial" w:hAnsi="Arial" w:cs="Arial"/>
          <w:b/>
          <w:bCs/>
        </w:rPr>
        <w:t>a</w:t>
      </w:r>
      <w:r w:rsidRPr="009C47E0">
        <w:rPr>
          <w:rFonts w:ascii="Arial" w:eastAsia="Arial" w:hAnsi="Arial" w:cs="Arial"/>
        </w:rPr>
        <w:t>)</w:t>
      </w:r>
      <w:r w:rsidRPr="009C47E0">
        <w:rPr>
          <w:rFonts w:ascii="Arial" w:eastAsia="Arial" w:hAnsi="Arial" w:cs="Arial"/>
          <w:b/>
          <w:bCs/>
        </w:rPr>
        <w:t xml:space="preserve"> </w:t>
      </w:r>
      <w:r w:rsidRPr="009C47E0">
        <w:rPr>
          <w:rFonts w:ascii="Arial" w:eastAsia="Arial" w:hAnsi="Arial" w:cs="Arial"/>
        </w:rPr>
        <w:t xml:space="preserve">UMAP embeddings depicting </w:t>
      </w:r>
      <w:proofErr w:type="spellStart"/>
      <w:r w:rsidRPr="009C47E0">
        <w:rPr>
          <w:rFonts w:ascii="Arial" w:eastAsia="Arial" w:hAnsi="Arial" w:cs="Arial"/>
        </w:rPr>
        <w:t>pseudotime</w:t>
      </w:r>
      <w:proofErr w:type="spellEnd"/>
      <w:r w:rsidRPr="009C47E0">
        <w:rPr>
          <w:rFonts w:ascii="Arial" w:eastAsia="Arial" w:hAnsi="Arial" w:cs="Arial"/>
        </w:rPr>
        <w:t xml:space="preserve"> bins used for differential expression analysis within the GMP-granulocytic/monocytic branch point. (</w:t>
      </w:r>
      <w:r w:rsidRPr="009C47E0">
        <w:rPr>
          <w:rFonts w:ascii="Arial" w:eastAsia="Arial" w:hAnsi="Arial" w:cs="Arial"/>
          <w:b/>
          <w:bCs/>
        </w:rPr>
        <w:t>b</w:t>
      </w:r>
      <w:r w:rsidRPr="009C47E0">
        <w:rPr>
          <w:rFonts w:ascii="Arial" w:eastAsia="Arial" w:hAnsi="Arial" w:cs="Arial"/>
        </w:rPr>
        <w:t xml:space="preserve">) Line plots depicting smoothed, scaled expression along </w:t>
      </w:r>
      <w:proofErr w:type="spellStart"/>
      <w:r w:rsidRPr="009C47E0">
        <w:rPr>
          <w:rFonts w:ascii="Arial" w:eastAsia="Arial" w:hAnsi="Arial" w:cs="Arial"/>
        </w:rPr>
        <w:t>pseudotime</w:t>
      </w:r>
      <w:proofErr w:type="spellEnd"/>
      <w:r w:rsidRPr="009C47E0">
        <w:rPr>
          <w:rFonts w:ascii="Arial" w:eastAsia="Arial" w:hAnsi="Arial" w:cs="Arial"/>
        </w:rPr>
        <w:t xml:space="preserve"> </w:t>
      </w:r>
      <w:r w:rsidRPr="009C47E0">
        <w:rPr>
          <w:rFonts w:ascii="Arial" w:hAnsi="Arial" w:cs="Arial"/>
        </w:rPr>
        <w:t xml:space="preserve">(rescaled to range from 0 [early] to 1 [late]) </w:t>
      </w:r>
      <w:r w:rsidRPr="009C47E0">
        <w:rPr>
          <w:rFonts w:ascii="Arial" w:eastAsia="Arial" w:hAnsi="Arial" w:cs="Arial"/>
        </w:rPr>
        <w:t>for early granulocytic-monocytic precursors (GMPs) to late granulocytic precursors (GP, blue) and late monocytic precursors (MP, green). (</w:t>
      </w:r>
      <w:r w:rsidRPr="009C47E0">
        <w:rPr>
          <w:rFonts w:ascii="Arial" w:eastAsia="Arial" w:hAnsi="Arial" w:cs="Arial"/>
          <w:b/>
          <w:bCs/>
        </w:rPr>
        <w:t>c</w:t>
      </w:r>
      <w:r w:rsidRPr="009C47E0">
        <w:rPr>
          <w:rFonts w:ascii="Arial" w:eastAsia="Arial" w:hAnsi="Arial" w:cs="Arial"/>
        </w:rPr>
        <w:t xml:space="preserve">) Feature plots depicting log normalized </w:t>
      </w:r>
      <w:proofErr w:type="gramStart"/>
      <w:r w:rsidRPr="009C47E0">
        <w:rPr>
          <w:rFonts w:ascii="Arial" w:eastAsia="Arial" w:hAnsi="Arial" w:cs="Arial"/>
        </w:rPr>
        <w:t>expression</w:t>
      </w:r>
      <w:proofErr w:type="gramEnd"/>
      <w:r w:rsidRPr="009C47E0">
        <w:rPr>
          <w:rFonts w:ascii="Arial" w:eastAsia="Arial" w:hAnsi="Arial" w:cs="Arial"/>
        </w:rPr>
        <w:t xml:space="preserve"> of features identified to have peak expression during the transition from GMP to monocytic (top row) or granulocytic (bottom row) lineages.</w:t>
      </w:r>
    </w:p>
    <w:p w14:paraId="146D05C6" w14:textId="77777777" w:rsidR="005D4972" w:rsidRPr="009C47E0" w:rsidRDefault="005D4972" w:rsidP="005D4972">
      <w:pPr>
        <w:spacing w:line="360" w:lineRule="auto"/>
        <w:contextualSpacing/>
        <w:rPr>
          <w:rFonts w:ascii="Arial" w:eastAsia="Arial" w:hAnsi="Arial" w:cs="Arial"/>
        </w:rPr>
      </w:pPr>
    </w:p>
    <w:p w14:paraId="58C9CE85" w14:textId="77777777" w:rsidR="005D4972" w:rsidRDefault="005D4972" w:rsidP="005D4972">
      <w:pPr>
        <w:spacing w:line="360" w:lineRule="auto"/>
        <w:contextualSpacing/>
        <w:rPr>
          <w:rFonts w:ascii="Arial" w:eastAsia="Arial" w:hAnsi="Arial" w:cs="Arial"/>
          <w:b/>
          <w:bCs/>
        </w:rPr>
      </w:pPr>
    </w:p>
    <w:p w14:paraId="1F398F37" w14:textId="1471AFD9" w:rsidR="005D4972" w:rsidRDefault="005D4972" w:rsidP="005D4972">
      <w:pPr>
        <w:spacing w:line="360" w:lineRule="auto"/>
        <w:contextualSpacing/>
        <w:rPr>
          <w:rFonts w:ascii="Arial" w:eastAsia="Arial" w:hAnsi="Arial" w:cs="Arial"/>
          <w:b/>
          <w:bCs/>
        </w:rPr>
      </w:pPr>
      <w:r>
        <w:rPr>
          <w:rFonts w:ascii="Arial" w:eastAsia="Arial" w:hAnsi="Arial" w:cs="Arial"/>
          <w:b/>
          <w:bCs/>
          <w:noProof/>
        </w:rPr>
        <w:lastRenderedPageBreak/>
        <w:drawing>
          <wp:inline distT="0" distB="0" distL="0" distR="0" wp14:anchorId="04B61AB7" wp14:editId="0EBE4164">
            <wp:extent cx="5934075" cy="5124450"/>
            <wp:effectExtent l="0" t="0" r="9525" b="0"/>
            <wp:docPr id="493534208"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934075" cy="5124450"/>
                    </a:xfrm>
                    <a:prstGeom prst="rect">
                      <a:avLst/>
                    </a:prstGeom>
                    <a:noFill/>
                    <a:ln>
                      <a:noFill/>
                    </a:ln>
                  </pic:spPr>
                </pic:pic>
              </a:graphicData>
            </a:graphic>
          </wp:inline>
        </w:drawing>
      </w:r>
    </w:p>
    <w:p w14:paraId="35834AC8" w14:textId="5D94597A" w:rsidR="005D4972" w:rsidRPr="009C47E0" w:rsidRDefault="005D4972" w:rsidP="005D4972">
      <w:pPr>
        <w:spacing w:line="360" w:lineRule="auto"/>
        <w:contextualSpacing/>
        <w:rPr>
          <w:rFonts w:ascii="Arial" w:hAnsi="Arial" w:cs="Arial"/>
        </w:rPr>
      </w:pPr>
      <w:r w:rsidRPr="009C47E0">
        <w:rPr>
          <w:rFonts w:ascii="Arial" w:eastAsia="Arial" w:hAnsi="Arial" w:cs="Arial"/>
          <w:b/>
          <w:bCs/>
        </w:rPr>
        <w:t xml:space="preserve">Supplemental Figure 6. </w:t>
      </w:r>
      <w:r w:rsidRPr="009C47E0">
        <w:rPr>
          <w:rFonts w:ascii="Arial" w:hAnsi="Arial" w:cs="Arial"/>
        </w:rPr>
        <w:t>(</w:t>
      </w:r>
      <w:r w:rsidRPr="009C47E0">
        <w:rPr>
          <w:rFonts w:ascii="Arial" w:hAnsi="Arial" w:cs="Arial"/>
          <w:b/>
          <w:bCs/>
        </w:rPr>
        <w:t>a</w:t>
      </w:r>
      <w:r w:rsidRPr="009C47E0">
        <w:rPr>
          <w:rFonts w:ascii="Arial" w:hAnsi="Arial" w:cs="Arial"/>
        </w:rPr>
        <w:t xml:space="preserve">) Example flow cytometry gating scheme used to identify </w:t>
      </w:r>
      <w:r w:rsidRPr="009C47E0">
        <w:rPr>
          <w:rFonts w:ascii="Arial" w:eastAsia="Arial" w:hAnsi="Arial" w:cs="Arial"/>
        </w:rPr>
        <w:t xml:space="preserve">granulocyte-monocyte progenitor </w:t>
      </w:r>
      <w:r w:rsidRPr="009C47E0">
        <w:rPr>
          <w:rFonts w:ascii="Arial" w:hAnsi="Arial" w:cs="Arial"/>
        </w:rPr>
        <w:t>(GMP; CD34</w:t>
      </w:r>
      <w:r w:rsidRPr="009C47E0">
        <w:rPr>
          <w:rFonts w:ascii="Cambria Math" w:hAnsi="Cambria Math" w:cs="Cambria Math"/>
        </w:rPr>
        <w:t>⁺</w:t>
      </w:r>
      <w:r w:rsidRPr="009C47E0">
        <w:rPr>
          <w:rFonts w:ascii="Arial" w:hAnsi="Arial" w:cs="Arial"/>
        </w:rPr>
        <w:t>MPO</w:t>
      </w:r>
      <w:r w:rsidRPr="009C47E0">
        <w:rPr>
          <w:rFonts w:ascii="Cambria Math" w:hAnsi="Cambria Math" w:cs="Cambria Math"/>
        </w:rPr>
        <w:t>⁺</w:t>
      </w:r>
      <w:r w:rsidRPr="009C47E0">
        <w:rPr>
          <w:rFonts w:ascii="Arial" w:hAnsi="Arial" w:cs="Arial"/>
        </w:rPr>
        <w:t>MHCII</w:t>
      </w:r>
      <w:r w:rsidRPr="009C47E0">
        <w:rPr>
          <w:rFonts w:ascii="Cambria Math" w:hAnsi="Cambria Math" w:cs="Cambria Math"/>
        </w:rPr>
        <w:t>⁺</w:t>
      </w:r>
      <w:r w:rsidRPr="009C47E0">
        <w:rPr>
          <w:rFonts w:ascii="Arial" w:hAnsi="Arial" w:cs="Arial"/>
        </w:rPr>
        <w:t>/</w:t>
      </w:r>
      <w:r w:rsidRPr="009C47E0">
        <w:rPr>
          <w:rFonts w:ascii="Cambria Math" w:hAnsi="Cambria Math" w:cs="Cambria Math"/>
        </w:rPr>
        <w:t>⁻</w:t>
      </w:r>
      <w:r w:rsidRPr="009C47E0">
        <w:rPr>
          <w:rFonts w:ascii="Arial" w:hAnsi="Arial" w:cs="Arial"/>
        </w:rPr>
        <w:t>CD4</w:t>
      </w:r>
      <w:r w:rsidRPr="009C47E0">
        <w:rPr>
          <w:rFonts w:ascii="Cambria Math" w:hAnsi="Cambria Math" w:cs="Cambria Math"/>
        </w:rPr>
        <w:t>⁻</w:t>
      </w:r>
      <w:r w:rsidRPr="009C47E0">
        <w:rPr>
          <w:rFonts w:ascii="Arial" w:hAnsi="Arial" w:cs="Arial"/>
        </w:rPr>
        <w:t xml:space="preserve"> cells), early granulocyte progenitor (Early GP; CD34</w:t>
      </w:r>
      <w:r w:rsidRPr="009C47E0">
        <w:rPr>
          <w:rFonts w:ascii="Arial" w:hAnsi="Arial" w:cs="Arial"/>
          <w:vertAlign w:val="superscript"/>
        </w:rPr>
        <w:t>+</w:t>
      </w:r>
      <w:r w:rsidRPr="009C47E0">
        <w:rPr>
          <w:rFonts w:ascii="Arial" w:hAnsi="Arial" w:cs="Arial"/>
        </w:rPr>
        <w:t>MPO</w:t>
      </w:r>
      <w:r w:rsidRPr="009C47E0">
        <w:rPr>
          <w:rFonts w:ascii="Arial" w:hAnsi="Arial" w:cs="Arial"/>
          <w:vertAlign w:val="superscript"/>
        </w:rPr>
        <w:t>hi</w:t>
      </w:r>
      <w:r w:rsidRPr="009C47E0">
        <w:rPr>
          <w:rFonts w:ascii="Arial" w:hAnsi="Arial" w:cs="Arial"/>
        </w:rPr>
        <w:t>CD4</w:t>
      </w:r>
      <w:r w:rsidRPr="009C47E0">
        <w:rPr>
          <w:rFonts w:ascii="Arial" w:hAnsi="Arial" w:cs="Arial"/>
          <w:vertAlign w:val="superscript"/>
        </w:rPr>
        <w:t>-</w:t>
      </w:r>
      <w:r w:rsidRPr="009C47E0">
        <w:rPr>
          <w:rFonts w:ascii="Arial" w:hAnsi="Arial" w:cs="Arial"/>
        </w:rPr>
        <w:t>MHCII</w:t>
      </w:r>
      <w:r w:rsidRPr="009C47E0">
        <w:rPr>
          <w:rFonts w:ascii="Arial" w:hAnsi="Arial" w:cs="Arial"/>
          <w:vertAlign w:val="superscript"/>
        </w:rPr>
        <w:t>-</w:t>
      </w:r>
      <w:r w:rsidRPr="009C47E0">
        <w:rPr>
          <w:rFonts w:ascii="Arial" w:hAnsi="Arial" w:cs="Arial"/>
        </w:rPr>
        <w:t>), late granulocyte progenitor (Late GP; CD34</w:t>
      </w:r>
      <w:r w:rsidRPr="009C47E0">
        <w:rPr>
          <w:rFonts w:ascii="Arial" w:hAnsi="Arial" w:cs="Arial"/>
          <w:vertAlign w:val="superscript"/>
        </w:rPr>
        <w:t>+</w:t>
      </w:r>
      <w:r w:rsidRPr="009C47E0">
        <w:rPr>
          <w:rFonts w:ascii="Arial" w:hAnsi="Arial" w:cs="Arial"/>
        </w:rPr>
        <w:t>MPO</w:t>
      </w:r>
      <w:r w:rsidRPr="009C47E0">
        <w:rPr>
          <w:rFonts w:ascii="Arial" w:hAnsi="Arial" w:cs="Arial"/>
          <w:vertAlign w:val="superscript"/>
        </w:rPr>
        <w:t>lo</w:t>
      </w:r>
      <w:r w:rsidRPr="009C47E0">
        <w:rPr>
          <w:rFonts w:ascii="Arial" w:hAnsi="Arial" w:cs="Arial"/>
        </w:rPr>
        <w:t>CD4</w:t>
      </w:r>
      <w:r w:rsidRPr="009C47E0">
        <w:rPr>
          <w:rFonts w:ascii="Arial" w:hAnsi="Arial" w:cs="Arial"/>
          <w:vertAlign w:val="superscript"/>
        </w:rPr>
        <w:t>-</w:t>
      </w:r>
      <w:r w:rsidRPr="009C47E0">
        <w:rPr>
          <w:rFonts w:ascii="Arial" w:hAnsi="Arial" w:cs="Arial"/>
        </w:rPr>
        <w:t>MHCII</w:t>
      </w:r>
      <w:r w:rsidRPr="009C47E0">
        <w:rPr>
          <w:rFonts w:ascii="Arial" w:hAnsi="Arial" w:cs="Arial"/>
          <w:vertAlign w:val="superscript"/>
        </w:rPr>
        <w:t>-</w:t>
      </w:r>
      <w:r w:rsidRPr="009C47E0">
        <w:rPr>
          <w:rFonts w:ascii="Arial" w:hAnsi="Arial" w:cs="Arial"/>
        </w:rPr>
        <w:t>), and neutrophils (CD34</w:t>
      </w:r>
      <w:r w:rsidRPr="009C47E0">
        <w:rPr>
          <w:rFonts w:ascii="Cambria Math" w:hAnsi="Cambria Math" w:cs="Cambria Math"/>
        </w:rPr>
        <w:t>⁻</w:t>
      </w:r>
      <w:r w:rsidRPr="009C47E0">
        <w:rPr>
          <w:rFonts w:ascii="Arial" w:hAnsi="Arial" w:cs="Arial"/>
        </w:rPr>
        <w:t>MPO</w:t>
      </w:r>
      <w:r w:rsidRPr="009C47E0">
        <w:rPr>
          <w:rFonts w:ascii="Arial" w:hAnsi="Arial" w:cs="Arial"/>
          <w:vertAlign w:val="superscript"/>
        </w:rPr>
        <w:t>lo</w:t>
      </w:r>
      <w:r w:rsidRPr="009C47E0">
        <w:rPr>
          <w:rFonts w:ascii="Arial" w:hAnsi="Arial" w:cs="Arial"/>
        </w:rPr>
        <w:t>CD4</w:t>
      </w:r>
      <w:r w:rsidRPr="009C47E0">
        <w:rPr>
          <w:rFonts w:ascii="Cambria Math" w:hAnsi="Cambria Math" w:cs="Cambria Math"/>
        </w:rPr>
        <w:t>⁺</w:t>
      </w:r>
      <w:r w:rsidRPr="009C47E0">
        <w:rPr>
          <w:rFonts w:ascii="Arial" w:hAnsi="Arial" w:cs="Arial"/>
        </w:rPr>
        <w:t>MHCII</w:t>
      </w:r>
      <w:r w:rsidRPr="009C47E0">
        <w:rPr>
          <w:rFonts w:ascii="Cambria Math" w:hAnsi="Cambria Math" w:cs="Cambria Math"/>
        </w:rPr>
        <w:t>⁻</w:t>
      </w:r>
      <w:r w:rsidRPr="009C47E0">
        <w:rPr>
          <w:rFonts w:ascii="Arial" w:hAnsi="Arial" w:cs="Arial"/>
        </w:rPr>
        <w:t>). (</w:t>
      </w:r>
      <w:r w:rsidRPr="009C47E0">
        <w:rPr>
          <w:rFonts w:ascii="Arial" w:hAnsi="Arial" w:cs="Arial"/>
          <w:b/>
          <w:bCs/>
        </w:rPr>
        <w:t>b</w:t>
      </w:r>
      <w:r w:rsidRPr="009C47E0">
        <w:rPr>
          <w:rFonts w:ascii="Arial" w:hAnsi="Arial" w:cs="Arial"/>
        </w:rPr>
        <w:t>) UMAP embedding depicting the divisions of the single-cell RNA sequencing data to compare cell type protein and gene expression. (</w:t>
      </w:r>
      <w:r w:rsidRPr="009C47E0">
        <w:rPr>
          <w:rFonts w:ascii="Arial" w:hAnsi="Arial" w:cs="Arial"/>
          <w:b/>
          <w:bCs/>
        </w:rPr>
        <w:t>c</w:t>
      </w:r>
      <w:r w:rsidRPr="009C47E0">
        <w:rPr>
          <w:rFonts w:ascii="Arial" w:hAnsi="Arial" w:cs="Arial"/>
        </w:rPr>
        <w:t xml:space="preserve">) Scatter plot depicting correlation between relative granulocytic cell type abundances as determined by flow cytometry (y-axis) and </w:t>
      </w:r>
      <w:proofErr w:type="spellStart"/>
      <w:r w:rsidRPr="009C47E0">
        <w:rPr>
          <w:rFonts w:ascii="Arial" w:hAnsi="Arial" w:cs="Arial"/>
        </w:rPr>
        <w:t>scRNA</w:t>
      </w:r>
      <w:proofErr w:type="spellEnd"/>
      <w:r w:rsidRPr="009C47E0">
        <w:rPr>
          <w:rFonts w:ascii="Arial" w:hAnsi="Arial" w:cs="Arial"/>
        </w:rPr>
        <w:t>-seq (x-axis). (</w:t>
      </w:r>
      <w:r w:rsidRPr="009C47E0">
        <w:rPr>
          <w:rFonts w:ascii="Arial" w:hAnsi="Arial" w:cs="Arial"/>
          <w:b/>
          <w:bCs/>
        </w:rPr>
        <w:t>d</w:t>
      </w:r>
      <w:r w:rsidRPr="009C47E0">
        <w:rPr>
          <w:rFonts w:ascii="Arial" w:hAnsi="Arial" w:cs="Arial"/>
        </w:rPr>
        <w:t xml:space="preserve">) </w:t>
      </w:r>
      <w:proofErr w:type="spellStart"/>
      <w:r w:rsidRPr="009C47E0">
        <w:rPr>
          <w:rFonts w:ascii="Arial" w:hAnsi="Arial" w:cs="Arial"/>
        </w:rPr>
        <w:t>Dotplot</w:t>
      </w:r>
      <w:proofErr w:type="spellEnd"/>
      <w:r w:rsidRPr="009C47E0">
        <w:rPr>
          <w:rFonts w:ascii="Arial" w:hAnsi="Arial" w:cs="Arial"/>
        </w:rPr>
        <w:t xml:space="preserve"> depicting average, scaled gene expression of features used to characterize granulocyte subtypes.</w:t>
      </w:r>
    </w:p>
    <w:p w14:paraId="08D8A9EF" w14:textId="77777777" w:rsidR="005D4972" w:rsidRPr="009C47E0" w:rsidRDefault="005D4972" w:rsidP="005D4972">
      <w:pPr>
        <w:spacing w:line="360" w:lineRule="auto"/>
        <w:contextualSpacing/>
        <w:rPr>
          <w:rFonts w:ascii="Arial" w:eastAsia="Arial" w:hAnsi="Arial" w:cs="Arial"/>
        </w:rPr>
      </w:pPr>
    </w:p>
    <w:p w14:paraId="40B5400E" w14:textId="77777777" w:rsidR="005D4972" w:rsidRDefault="005D4972" w:rsidP="005D4972">
      <w:pPr>
        <w:spacing w:line="360" w:lineRule="auto"/>
        <w:contextualSpacing/>
        <w:rPr>
          <w:rFonts w:ascii="Arial" w:eastAsia="Arial" w:hAnsi="Arial" w:cs="Arial"/>
          <w:b/>
          <w:bCs/>
        </w:rPr>
      </w:pPr>
    </w:p>
    <w:p w14:paraId="080229CA" w14:textId="26EF8694" w:rsidR="005D4972" w:rsidRDefault="005D4972" w:rsidP="005D4972">
      <w:pPr>
        <w:spacing w:line="360" w:lineRule="auto"/>
        <w:contextualSpacing/>
        <w:jc w:val="center"/>
        <w:rPr>
          <w:rFonts w:ascii="Arial" w:eastAsia="Arial" w:hAnsi="Arial" w:cs="Arial"/>
          <w:b/>
          <w:bCs/>
        </w:rPr>
      </w:pPr>
      <w:r>
        <w:rPr>
          <w:rFonts w:ascii="Arial" w:eastAsia="Arial" w:hAnsi="Arial" w:cs="Arial"/>
          <w:b/>
          <w:bCs/>
          <w:noProof/>
        </w:rPr>
        <w:lastRenderedPageBreak/>
        <w:drawing>
          <wp:inline distT="0" distB="0" distL="0" distR="0" wp14:anchorId="00302BA7" wp14:editId="6269C52D">
            <wp:extent cx="4458870" cy="6762750"/>
            <wp:effectExtent l="0" t="0" r="0" b="0"/>
            <wp:docPr id="374898100"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4483487" cy="6800086"/>
                    </a:xfrm>
                    <a:prstGeom prst="rect">
                      <a:avLst/>
                    </a:prstGeom>
                    <a:noFill/>
                    <a:ln>
                      <a:noFill/>
                    </a:ln>
                  </pic:spPr>
                </pic:pic>
              </a:graphicData>
            </a:graphic>
          </wp:inline>
        </w:drawing>
      </w:r>
    </w:p>
    <w:p w14:paraId="7AFBF00A" w14:textId="04673FAB" w:rsidR="005D4972" w:rsidRPr="009C47E0" w:rsidRDefault="005D4972" w:rsidP="005D4972">
      <w:pPr>
        <w:spacing w:line="360" w:lineRule="auto"/>
        <w:contextualSpacing/>
        <w:rPr>
          <w:rFonts w:ascii="Arial" w:hAnsi="Arial" w:cs="Arial"/>
        </w:rPr>
      </w:pPr>
      <w:r w:rsidRPr="009C47E0">
        <w:rPr>
          <w:rFonts w:ascii="Arial" w:eastAsia="Arial" w:hAnsi="Arial" w:cs="Arial"/>
          <w:b/>
          <w:bCs/>
        </w:rPr>
        <w:t xml:space="preserve">Supplemental Figure 7. </w:t>
      </w:r>
      <w:r w:rsidRPr="009C47E0">
        <w:rPr>
          <w:rFonts w:ascii="Arial" w:hAnsi="Arial" w:cs="Arial"/>
        </w:rPr>
        <w:t>(</w:t>
      </w:r>
      <w:r w:rsidRPr="009C47E0">
        <w:rPr>
          <w:rFonts w:ascii="Arial" w:hAnsi="Arial" w:cs="Arial"/>
          <w:b/>
          <w:bCs/>
        </w:rPr>
        <w:t>a</w:t>
      </w:r>
      <w:r w:rsidRPr="009C47E0">
        <w:rPr>
          <w:rFonts w:ascii="Arial" w:hAnsi="Arial" w:cs="Arial"/>
        </w:rPr>
        <w:t xml:space="preserve">) UMAP embeddings depicting </w:t>
      </w:r>
      <w:proofErr w:type="spellStart"/>
      <w:r w:rsidRPr="009C47E0">
        <w:rPr>
          <w:rFonts w:ascii="Arial" w:hAnsi="Arial" w:cs="Arial"/>
        </w:rPr>
        <w:t>pseudotime</w:t>
      </w:r>
      <w:proofErr w:type="spellEnd"/>
      <w:r w:rsidRPr="009C47E0">
        <w:rPr>
          <w:rFonts w:ascii="Arial" w:hAnsi="Arial" w:cs="Arial"/>
        </w:rPr>
        <w:t xml:space="preserve"> bins used for differential expression analysis in human (</w:t>
      </w:r>
      <w:r w:rsidRPr="009C47E0">
        <w:rPr>
          <w:rFonts w:ascii="Arial" w:hAnsi="Arial" w:cs="Arial"/>
          <w:b/>
          <w:bCs/>
        </w:rPr>
        <w:t>left</w:t>
      </w:r>
      <w:r w:rsidRPr="009C47E0">
        <w:rPr>
          <w:rFonts w:ascii="Arial" w:hAnsi="Arial" w:cs="Arial"/>
        </w:rPr>
        <w:t>) and canine (</w:t>
      </w:r>
      <w:r w:rsidRPr="009C47E0">
        <w:rPr>
          <w:rFonts w:ascii="Arial" w:hAnsi="Arial" w:cs="Arial"/>
          <w:b/>
          <w:bCs/>
        </w:rPr>
        <w:t>right</w:t>
      </w:r>
      <w:r w:rsidRPr="009C47E0">
        <w:rPr>
          <w:rFonts w:ascii="Arial" w:hAnsi="Arial" w:cs="Arial"/>
        </w:rPr>
        <w:t>) granulocytes. (</w:t>
      </w:r>
      <w:r w:rsidRPr="009C47E0">
        <w:rPr>
          <w:rFonts w:ascii="Arial" w:hAnsi="Arial" w:cs="Arial"/>
          <w:b/>
          <w:bCs/>
        </w:rPr>
        <w:t>b</w:t>
      </w:r>
      <w:r w:rsidRPr="009C47E0">
        <w:rPr>
          <w:rFonts w:ascii="Arial" w:hAnsi="Arial" w:cs="Arial"/>
        </w:rPr>
        <w:t xml:space="preserve">) Depiction of scaled expression over </w:t>
      </w:r>
      <w:proofErr w:type="spellStart"/>
      <w:r w:rsidRPr="009C47E0">
        <w:rPr>
          <w:rFonts w:ascii="Arial" w:hAnsi="Arial" w:cs="Arial"/>
        </w:rPr>
        <w:t>pseudotime</w:t>
      </w:r>
      <w:proofErr w:type="spellEnd"/>
      <w:r w:rsidRPr="009C47E0">
        <w:rPr>
          <w:rFonts w:ascii="Arial" w:hAnsi="Arial" w:cs="Arial"/>
        </w:rPr>
        <w:t xml:space="preserve"> for humans (blue) and dogs (red), as well as log normalized expression in the UMAP embeddings for conserved (CAMP, MMP8, LTF, CXCL8) features.</w:t>
      </w:r>
    </w:p>
    <w:p w14:paraId="2E34B502" w14:textId="77777777" w:rsidR="005D4972" w:rsidRPr="009C47E0" w:rsidRDefault="005D4972" w:rsidP="005D4972">
      <w:pPr>
        <w:spacing w:line="360" w:lineRule="auto"/>
        <w:contextualSpacing/>
        <w:rPr>
          <w:rFonts w:ascii="Arial" w:eastAsia="Arial" w:hAnsi="Arial" w:cs="Arial"/>
        </w:rPr>
      </w:pPr>
    </w:p>
    <w:p w14:paraId="2F2A8DCA" w14:textId="12730A96" w:rsidR="005D4972" w:rsidRDefault="005D4972" w:rsidP="005D4972">
      <w:pPr>
        <w:spacing w:line="360" w:lineRule="auto"/>
        <w:contextualSpacing/>
        <w:rPr>
          <w:rFonts w:ascii="Arial" w:eastAsia="Arial" w:hAnsi="Arial" w:cs="Arial"/>
          <w:b/>
          <w:bCs/>
        </w:rPr>
      </w:pPr>
      <w:r>
        <w:rPr>
          <w:rFonts w:ascii="Arial" w:eastAsia="Arial" w:hAnsi="Arial" w:cs="Arial"/>
          <w:b/>
          <w:bCs/>
          <w:noProof/>
        </w:rPr>
        <w:drawing>
          <wp:inline distT="0" distB="0" distL="0" distR="0" wp14:anchorId="1F6F8B0B" wp14:editId="7BF8CA3A">
            <wp:extent cx="5934075" cy="4086225"/>
            <wp:effectExtent l="0" t="0" r="9525" b="9525"/>
            <wp:docPr id="731505667"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934075" cy="4086225"/>
                    </a:xfrm>
                    <a:prstGeom prst="rect">
                      <a:avLst/>
                    </a:prstGeom>
                    <a:noFill/>
                    <a:ln>
                      <a:noFill/>
                    </a:ln>
                  </pic:spPr>
                </pic:pic>
              </a:graphicData>
            </a:graphic>
          </wp:inline>
        </w:drawing>
      </w:r>
    </w:p>
    <w:p w14:paraId="3710CD7E" w14:textId="5ADEC4A3" w:rsidR="005D4972" w:rsidRPr="009C47E0" w:rsidRDefault="005D4972" w:rsidP="005D4972">
      <w:pPr>
        <w:spacing w:line="360" w:lineRule="auto"/>
        <w:contextualSpacing/>
        <w:rPr>
          <w:rFonts w:ascii="Arial" w:eastAsia="Arial" w:hAnsi="Arial" w:cs="Arial"/>
          <w:b/>
          <w:bCs/>
        </w:rPr>
      </w:pPr>
      <w:r w:rsidRPr="009C47E0">
        <w:rPr>
          <w:rFonts w:ascii="Arial" w:eastAsia="Arial" w:hAnsi="Arial" w:cs="Arial"/>
          <w:b/>
          <w:bCs/>
        </w:rPr>
        <w:t xml:space="preserve">Supplemental Figure 8. </w:t>
      </w:r>
      <w:r w:rsidRPr="009C47E0">
        <w:rPr>
          <w:rFonts w:ascii="Arial" w:hAnsi="Arial" w:cs="Arial"/>
        </w:rPr>
        <w:t xml:space="preserve">Heatmap depicting smoothed (smoothing spline, </w:t>
      </w:r>
      <w:proofErr w:type="spellStart"/>
      <w:r w:rsidRPr="009C47E0">
        <w:rPr>
          <w:rFonts w:ascii="Arial" w:hAnsi="Arial" w:cs="Arial"/>
        </w:rPr>
        <w:t>df</w:t>
      </w:r>
      <w:proofErr w:type="spellEnd"/>
      <w:r w:rsidRPr="009C47E0">
        <w:rPr>
          <w:rFonts w:ascii="Arial" w:hAnsi="Arial" w:cs="Arial"/>
        </w:rPr>
        <w:t xml:space="preserve"> = 4), scaled gene expression of genes determined to be differentially expressed within the granulocytic lineage along </w:t>
      </w:r>
      <w:proofErr w:type="spellStart"/>
      <w:r w:rsidRPr="009C47E0">
        <w:rPr>
          <w:rFonts w:ascii="Arial" w:hAnsi="Arial" w:cs="Arial"/>
        </w:rPr>
        <w:t>pseudotime</w:t>
      </w:r>
      <w:proofErr w:type="spellEnd"/>
      <w:r w:rsidRPr="009C47E0">
        <w:rPr>
          <w:rFonts w:ascii="Arial" w:hAnsi="Arial" w:cs="Arial"/>
        </w:rPr>
        <w:t xml:space="preserve"> in either humans (left) or dogs (right). The heatmap depicts human-specific (</w:t>
      </w:r>
      <w:r w:rsidRPr="009C47E0">
        <w:rPr>
          <w:rFonts w:ascii="Arial" w:hAnsi="Arial" w:cs="Arial"/>
          <w:b/>
          <w:bCs/>
        </w:rPr>
        <w:t>top</w:t>
      </w:r>
      <w:r w:rsidRPr="009C47E0">
        <w:rPr>
          <w:rFonts w:ascii="Arial" w:hAnsi="Arial" w:cs="Arial"/>
        </w:rPr>
        <w:t>) and canine-specific (</w:t>
      </w:r>
      <w:r w:rsidRPr="009C47E0">
        <w:rPr>
          <w:rFonts w:ascii="Arial" w:hAnsi="Arial" w:cs="Arial"/>
          <w:b/>
          <w:bCs/>
        </w:rPr>
        <w:t>bottom</w:t>
      </w:r>
      <w:r w:rsidRPr="009C47E0">
        <w:rPr>
          <w:rFonts w:ascii="Arial" w:hAnsi="Arial" w:cs="Arial"/>
        </w:rPr>
        <w:t>) genes which were only differentially expressed along granulopoiesis in one of the respective species. Plotting on the right side of the heatmap depicts log normalized expression in UMAP embeddings for select human-specific (PDGFD, SGK1) and canine-specific (GZMB, LY9) features.</w:t>
      </w:r>
    </w:p>
    <w:p w14:paraId="329409BF" w14:textId="77777777" w:rsidR="005D4972" w:rsidRDefault="005D4972"/>
    <w:sectPr w:rsidR="005D497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D4972"/>
    <w:rsid w:val="005508FD"/>
    <w:rsid w:val="005D4972"/>
    <w:rsid w:val="007328D9"/>
    <w:rsid w:val="007D0926"/>
    <w:rsid w:val="00847190"/>
    <w:rsid w:val="0087108F"/>
    <w:rsid w:val="00943A8F"/>
    <w:rsid w:val="009A6767"/>
    <w:rsid w:val="00AE74C2"/>
    <w:rsid w:val="00B72CD8"/>
    <w:rsid w:val="00BE0C3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1EAEEE"/>
  <w15:chartTrackingRefBased/>
  <w15:docId w15:val="{A160318B-72B7-4417-BA2D-A58E099EDE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D497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D497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D497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D497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D497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D497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D497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D497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D497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D497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D497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D497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D497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D497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D497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D497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D497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D4972"/>
    <w:rPr>
      <w:rFonts w:eastAsiaTheme="majorEastAsia" w:cstheme="majorBidi"/>
      <w:color w:val="272727" w:themeColor="text1" w:themeTint="D8"/>
    </w:rPr>
  </w:style>
  <w:style w:type="paragraph" w:styleId="Title">
    <w:name w:val="Title"/>
    <w:basedOn w:val="Normal"/>
    <w:next w:val="Normal"/>
    <w:link w:val="TitleChar"/>
    <w:uiPriority w:val="10"/>
    <w:qFormat/>
    <w:rsid w:val="005D497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D497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D497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D497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D4972"/>
    <w:pPr>
      <w:spacing w:before="160"/>
      <w:jc w:val="center"/>
    </w:pPr>
    <w:rPr>
      <w:i/>
      <w:iCs/>
      <w:color w:val="404040" w:themeColor="text1" w:themeTint="BF"/>
    </w:rPr>
  </w:style>
  <w:style w:type="character" w:customStyle="1" w:styleId="QuoteChar">
    <w:name w:val="Quote Char"/>
    <w:basedOn w:val="DefaultParagraphFont"/>
    <w:link w:val="Quote"/>
    <w:uiPriority w:val="29"/>
    <w:rsid w:val="005D4972"/>
    <w:rPr>
      <w:i/>
      <w:iCs/>
      <w:color w:val="404040" w:themeColor="text1" w:themeTint="BF"/>
    </w:rPr>
  </w:style>
  <w:style w:type="paragraph" w:styleId="ListParagraph">
    <w:name w:val="List Paragraph"/>
    <w:basedOn w:val="Normal"/>
    <w:uiPriority w:val="34"/>
    <w:qFormat/>
    <w:rsid w:val="005D4972"/>
    <w:pPr>
      <w:ind w:left="720"/>
      <w:contextualSpacing/>
    </w:pPr>
  </w:style>
  <w:style w:type="character" w:styleId="IntenseEmphasis">
    <w:name w:val="Intense Emphasis"/>
    <w:basedOn w:val="DefaultParagraphFont"/>
    <w:uiPriority w:val="21"/>
    <w:qFormat/>
    <w:rsid w:val="005D4972"/>
    <w:rPr>
      <w:i/>
      <w:iCs/>
      <w:color w:val="0F4761" w:themeColor="accent1" w:themeShade="BF"/>
    </w:rPr>
  </w:style>
  <w:style w:type="paragraph" w:styleId="IntenseQuote">
    <w:name w:val="Intense Quote"/>
    <w:basedOn w:val="Normal"/>
    <w:next w:val="Normal"/>
    <w:link w:val="IntenseQuoteChar"/>
    <w:uiPriority w:val="30"/>
    <w:qFormat/>
    <w:rsid w:val="005D497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D4972"/>
    <w:rPr>
      <w:i/>
      <w:iCs/>
      <w:color w:val="0F4761" w:themeColor="accent1" w:themeShade="BF"/>
    </w:rPr>
  </w:style>
  <w:style w:type="character" w:styleId="IntenseReference">
    <w:name w:val="Intense Reference"/>
    <w:basedOn w:val="DefaultParagraphFont"/>
    <w:uiPriority w:val="32"/>
    <w:qFormat/>
    <w:rsid w:val="005D4972"/>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tiff"/><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4.tiff"/><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tiff"/><Relationship Id="rId5" Type="http://schemas.openxmlformats.org/officeDocument/2006/relationships/image" Target="media/image2.tiff"/><Relationship Id="rId10" Type="http://schemas.openxmlformats.org/officeDocument/2006/relationships/image" Target="media/image7.tiff"/><Relationship Id="rId4" Type="http://schemas.openxmlformats.org/officeDocument/2006/relationships/image" Target="media/image1.tiff"/><Relationship Id="rId9" Type="http://schemas.openxmlformats.org/officeDocument/2006/relationships/image" Target="media/image6.tif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8</Pages>
  <Words>746</Words>
  <Characters>4253</Characters>
  <Application>Microsoft Office Word</Application>
  <DocSecurity>0</DocSecurity>
  <Lines>35</Lines>
  <Paragraphs>9</Paragraphs>
  <ScaleCrop>false</ScaleCrop>
  <Company>CVMBS</Company>
  <LinksUpToDate>false</LinksUpToDate>
  <CharactersWithSpaces>4990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Harris,Adam</dc:creator>
  <cp:keywords/>
  <dc:description/>
  <cp:lastModifiedBy>Harris,Adam</cp:lastModifiedBy>
  <cp:revision>1</cp:revision>
  <dcterms:created xsi:type="dcterms:W3CDTF">2025-03-25T21:53:00Z</dcterms:created>
  <dcterms:modified xsi:type="dcterms:W3CDTF">2025-03-25T21:56:00Z</dcterms:modified>
</cp:coreProperties>
</file>