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EDD6E2" w14:textId="63FF83A5" w:rsidR="000734C1" w:rsidRDefault="000734C1" w:rsidP="000734C1">
      <w:pPr>
        <w:pStyle w:val="Heading3"/>
      </w:pPr>
      <w:r>
        <w:rPr>
          <w:rStyle w:val="Strong"/>
          <w:b/>
          <w:bCs/>
        </w:rPr>
        <w:t>Supplementary Materials</w:t>
      </w:r>
    </w:p>
    <w:p w14:paraId="6859EB1B" w14:textId="74B6420B" w:rsidR="000734C1" w:rsidRPr="004567DA" w:rsidRDefault="00A935FF" w:rsidP="00A935FF">
      <w:pPr>
        <w:pStyle w:val="NormalWeb"/>
        <w:rPr>
          <w:b/>
          <w:bCs/>
        </w:rPr>
      </w:pPr>
      <w:r w:rsidRPr="004567DA">
        <w:rPr>
          <w:b/>
          <w:bCs/>
        </w:rPr>
        <w:t>Introduction:</w:t>
      </w:r>
    </w:p>
    <w:p w14:paraId="29FE654E" w14:textId="08B85F3C" w:rsidR="00B22C5E" w:rsidRPr="00B22C5E" w:rsidRDefault="00B22C5E" w:rsidP="00AD4AF7">
      <w:pPr>
        <w:spacing w:before="100" w:beforeAutospacing="1" w:after="100" w:afterAutospacing="1" w:line="240" w:lineRule="auto"/>
        <w:rPr>
          <w:rFonts w:ascii="Times New Roman" w:eastAsia="Times New Roman" w:hAnsi="Times New Roman" w:cs="Times New Roman"/>
          <w:sz w:val="24"/>
          <w:szCs w:val="24"/>
        </w:rPr>
      </w:pPr>
      <w:r w:rsidRPr="00B22C5E">
        <w:rPr>
          <w:rFonts w:ascii="Times New Roman" w:eastAsia="Times New Roman" w:hAnsi="Times New Roman" w:cs="Times New Roman"/>
          <w:sz w:val="24"/>
          <w:szCs w:val="24"/>
        </w:rPr>
        <w:t>This supplementary section expands on the methodology and secondary analyses that underpin the primary findings, addressing word count constraints in the main manuscript. Key details, including dataset composition, model selection, calibration techniques, and AI-driven personalization, are presented to ensure transparency and reproducibility. The inclusion of diverse datasets from ICU-based electronic health records (EHRs) and regional population cohorts enhances external validation, minimizing single-center study biases.</w:t>
      </w:r>
      <w:r>
        <w:rPr>
          <w:rFonts w:ascii="Times New Roman" w:eastAsia="Times New Roman" w:hAnsi="Times New Roman" w:cs="Times New Roman"/>
          <w:sz w:val="24"/>
          <w:szCs w:val="24"/>
        </w:rPr>
        <w:t xml:space="preserve"> </w:t>
      </w:r>
      <w:r w:rsidRPr="00B22C5E">
        <w:rPr>
          <w:rFonts w:ascii="Times New Roman" w:eastAsia="Times New Roman" w:hAnsi="Times New Roman" w:cs="Times New Roman"/>
          <w:sz w:val="24"/>
          <w:szCs w:val="24"/>
        </w:rPr>
        <w:t>The study integrates both structured data (e.g., demographics, lab results, medication history) and unstructured data (e.g., imaging reports, physician notes, ECG timestamps) to refine AI-guided dual antiplatelet therapy (DAPT) recommendations. While structured data offers measurable clinical variables, unstructured data boosts predictive accuracy through deep learning models. Regional variations in cardiovascular disease and treatment outcomes necessitate an adaptive, AI-driven framework to address both patient-specific and population-level differences.</w:t>
      </w:r>
      <w:r>
        <w:rPr>
          <w:rFonts w:ascii="Times New Roman" w:eastAsia="Times New Roman" w:hAnsi="Times New Roman" w:cs="Times New Roman"/>
          <w:sz w:val="24"/>
          <w:szCs w:val="24"/>
        </w:rPr>
        <w:t xml:space="preserve"> </w:t>
      </w:r>
      <w:r w:rsidRPr="00B22C5E">
        <w:rPr>
          <w:rFonts w:ascii="Times New Roman" w:eastAsia="Times New Roman" w:hAnsi="Times New Roman" w:cs="Times New Roman"/>
          <w:sz w:val="24"/>
          <w:szCs w:val="24"/>
        </w:rPr>
        <w:t>A cohort of 5,000 patients was analyzed, with 3,500 drawn from ICU-based registries (MIMIC-IV PhysioNet) and 1,500 from the UAE’s Bayanat Open Data Portal. This design ensures external validation across varied genetic backgrounds and treatment protocols, enhancing geographic and demographic applicability. The resulting risk prediction framework effectively balances ischemic and bleeding risks to personalize therapy.</w:t>
      </w:r>
    </w:p>
    <w:p w14:paraId="1F813B1A" w14:textId="74593761" w:rsidR="00B22C5E" w:rsidRPr="00AD4AF7" w:rsidRDefault="00B22C5E" w:rsidP="00B22C5E">
      <w:pPr>
        <w:spacing w:before="100" w:beforeAutospacing="1" w:after="100" w:afterAutospacing="1" w:line="240" w:lineRule="auto"/>
        <w:rPr>
          <w:rFonts w:ascii="Times New Roman" w:eastAsia="Times New Roman" w:hAnsi="Times New Roman" w:cs="Times New Roman"/>
          <w:b/>
          <w:bCs/>
          <w:sz w:val="24"/>
          <w:szCs w:val="24"/>
        </w:rPr>
      </w:pPr>
      <w:r w:rsidRPr="00AD4AF7">
        <w:rPr>
          <w:rFonts w:ascii="Times New Roman" w:eastAsia="Times New Roman" w:hAnsi="Times New Roman" w:cs="Times New Roman"/>
          <w:b/>
          <w:bCs/>
          <w:sz w:val="24"/>
          <w:szCs w:val="24"/>
        </w:rPr>
        <w:t xml:space="preserve">1. Medical Phenotypes and Endpoints  </w:t>
      </w:r>
    </w:p>
    <w:p w14:paraId="3BC51F26" w14:textId="4BCDECC7" w:rsidR="00B22C5E" w:rsidRPr="00B22C5E" w:rsidRDefault="00B22C5E" w:rsidP="00B22C5E">
      <w:pPr>
        <w:spacing w:before="100" w:beforeAutospacing="1" w:after="100" w:afterAutospacing="1" w:line="240" w:lineRule="auto"/>
        <w:rPr>
          <w:rFonts w:ascii="Times New Roman" w:eastAsia="Times New Roman" w:hAnsi="Times New Roman" w:cs="Times New Roman"/>
          <w:sz w:val="24"/>
          <w:szCs w:val="24"/>
        </w:rPr>
      </w:pPr>
      <w:r w:rsidRPr="00B22C5E">
        <w:rPr>
          <w:rFonts w:ascii="Times New Roman" w:eastAsia="Times New Roman" w:hAnsi="Times New Roman" w:cs="Times New Roman"/>
          <w:sz w:val="24"/>
          <w:szCs w:val="24"/>
        </w:rPr>
        <w:t xml:space="preserve">1.1 Standardized Definitions and Reproducibility  </w:t>
      </w:r>
    </w:p>
    <w:p w14:paraId="1448D251" w14:textId="77777777" w:rsidR="00B22C5E" w:rsidRPr="00B22C5E" w:rsidRDefault="00B22C5E" w:rsidP="00B22C5E">
      <w:pPr>
        <w:spacing w:before="100" w:beforeAutospacing="1" w:after="100" w:afterAutospacing="1" w:line="240" w:lineRule="auto"/>
        <w:rPr>
          <w:rFonts w:ascii="Times New Roman" w:eastAsia="Times New Roman" w:hAnsi="Times New Roman" w:cs="Times New Roman"/>
          <w:sz w:val="24"/>
          <w:szCs w:val="24"/>
        </w:rPr>
      </w:pPr>
      <w:r w:rsidRPr="00B22C5E">
        <w:rPr>
          <w:rFonts w:ascii="Times New Roman" w:eastAsia="Times New Roman" w:hAnsi="Times New Roman" w:cs="Times New Roman"/>
          <w:sz w:val="24"/>
          <w:szCs w:val="24"/>
        </w:rPr>
        <w:t xml:space="preserve">Standardized endpoint definitions, widely accepted in cardiovascular research, were used to ensure clinical validity and reproducibility. Validated phenotypes enhance the precision of AI-based risk stratification.  </w:t>
      </w:r>
    </w:p>
    <w:p w14:paraId="48B93B47" w14:textId="7B0D5ED7" w:rsidR="00B22C5E" w:rsidRPr="00B22C5E" w:rsidRDefault="00AD4AF7" w:rsidP="00B22C5E">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B22C5E" w:rsidRPr="00B22C5E">
        <w:rPr>
          <w:rFonts w:ascii="Times New Roman" w:eastAsia="Times New Roman" w:hAnsi="Times New Roman" w:cs="Times New Roman"/>
          <w:sz w:val="24"/>
          <w:szCs w:val="24"/>
        </w:rPr>
        <w:t>- Ischemic Endpoints (Major Adverse Cardiovascular Events, MACE):</w:t>
      </w:r>
    </w:p>
    <w:p w14:paraId="0523E212" w14:textId="77777777" w:rsidR="00B22C5E" w:rsidRPr="00B22C5E" w:rsidRDefault="00B22C5E" w:rsidP="00B22C5E">
      <w:pPr>
        <w:spacing w:before="100" w:beforeAutospacing="1" w:after="100" w:afterAutospacing="1" w:line="240" w:lineRule="auto"/>
        <w:rPr>
          <w:rFonts w:ascii="Times New Roman" w:eastAsia="Times New Roman" w:hAnsi="Times New Roman" w:cs="Times New Roman"/>
          <w:sz w:val="24"/>
          <w:szCs w:val="24"/>
        </w:rPr>
      </w:pPr>
      <w:r w:rsidRPr="00B22C5E">
        <w:rPr>
          <w:rFonts w:ascii="Times New Roman" w:eastAsia="Times New Roman" w:hAnsi="Times New Roman" w:cs="Times New Roman"/>
          <w:sz w:val="24"/>
          <w:szCs w:val="24"/>
        </w:rPr>
        <w:t xml:space="preserve">  - Myocardial infarction (MI)  </w:t>
      </w:r>
    </w:p>
    <w:p w14:paraId="4CA486C2" w14:textId="77777777" w:rsidR="00B22C5E" w:rsidRPr="00B22C5E" w:rsidRDefault="00B22C5E" w:rsidP="00B22C5E">
      <w:pPr>
        <w:spacing w:before="100" w:beforeAutospacing="1" w:after="100" w:afterAutospacing="1" w:line="240" w:lineRule="auto"/>
        <w:rPr>
          <w:rFonts w:ascii="Times New Roman" w:eastAsia="Times New Roman" w:hAnsi="Times New Roman" w:cs="Times New Roman"/>
          <w:sz w:val="24"/>
          <w:szCs w:val="24"/>
        </w:rPr>
      </w:pPr>
      <w:r w:rsidRPr="00B22C5E">
        <w:rPr>
          <w:rFonts w:ascii="Times New Roman" w:eastAsia="Times New Roman" w:hAnsi="Times New Roman" w:cs="Times New Roman"/>
          <w:sz w:val="24"/>
          <w:szCs w:val="24"/>
        </w:rPr>
        <w:t xml:space="preserve">  - Definite/probable stent thrombosis  </w:t>
      </w:r>
    </w:p>
    <w:p w14:paraId="5ED29F7C" w14:textId="77777777" w:rsidR="00B22C5E" w:rsidRPr="00B22C5E" w:rsidRDefault="00B22C5E" w:rsidP="00B22C5E">
      <w:pPr>
        <w:spacing w:before="100" w:beforeAutospacing="1" w:after="100" w:afterAutospacing="1" w:line="240" w:lineRule="auto"/>
        <w:rPr>
          <w:rFonts w:ascii="Times New Roman" w:eastAsia="Times New Roman" w:hAnsi="Times New Roman" w:cs="Times New Roman"/>
          <w:sz w:val="24"/>
          <w:szCs w:val="24"/>
        </w:rPr>
      </w:pPr>
      <w:r w:rsidRPr="00B22C5E">
        <w:rPr>
          <w:rFonts w:ascii="Times New Roman" w:eastAsia="Times New Roman" w:hAnsi="Times New Roman" w:cs="Times New Roman"/>
          <w:sz w:val="24"/>
          <w:szCs w:val="24"/>
        </w:rPr>
        <w:t xml:space="preserve">  - Stroke or transient ischemic attack (TIA)  </w:t>
      </w:r>
    </w:p>
    <w:p w14:paraId="513D3E2C" w14:textId="77777777" w:rsidR="00B22C5E" w:rsidRPr="00B22C5E" w:rsidRDefault="00B22C5E" w:rsidP="00B22C5E">
      <w:pPr>
        <w:spacing w:before="100" w:beforeAutospacing="1" w:after="100" w:afterAutospacing="1" w:line="240" w:lineRule="auto"/>
        <w:rPr>
          <w:rFonts w:ascii="Times New Roman" w:eastAsia="Times New Roman" w:hAnsi="Times New Roman" w:cs="Times New Roman"/>
          <w:sz w:val="24"/>
          <w:szCs w:val="24"/>
        </w:rPr>
      </w:pPr>
      <w:r w:rsidRPr="00B22C5E">
        <w:rPr>
          <w:rFonts w:ascii="Times New Roman" w:eastAsia="Times New Roman" w:hAnsi="Times New Roman" w:cs="Times New Roman"/>
          <w:sz w:val="24"/>
          <w:szCs w:val="24"/>
        </w:rPr>
        <w:t xml:space="preserve">  - Cardiovascular mortality  </w:t>
      </w:r>
    </w:p>
    <w:p w14:paraId="35870DEE" w14:textId="77777777" w:rsidR="00B22C5E" w:rsidRPr="00B22C5E" w:rsidRDefault="00B22C5E" w:rsidP="00B22C5E">
      <w:pPr>
        <w:spacing w:before="100" w:beforeAutospacing="1" w:after="100" w:afterAutospacing="1" w:line="240" w:lineRule="auto"/>
        <w:rPr>
          <w:rFonts w:ascii="Times New Roman" w:eastAsia="Times New Roman" w:hAnsi="Times New Roman" w:cs="Times New Roman"/>
          <w:sz w:val="24"/>
          <w:szCs w:val="24"/>
        </w:rPr>
      </w:pPr>
      <w:r w:rsidRPr="00B22C5E">
        <w:rPr>
          <w:rFonts w:ascii="Times New Roman" w:eastAsia="Times New Roman" w:hAnsi="Times New Roman" w:cs="Times New Roman"/>
          <w:sz w:val="24"/>
          <w:szCs w:val="24"/>
        </w:rPr>
        <w:t xml:space="preserve">- *Bleeding Endpoints (BARC Classification):*  </w:t>
      </w:r>
    </w:p>
    <w:p w14:paraId="192E252D" w14:textId="77777777" w:rsidR="00B22C5E" w:rsidRPr="00B22C5E" w:rsidRDefault="00B22C5E" w:rsidP="00B22C5E">
      <w:pPr>
        <w:spacing w:before="100" w:beforeAutospacing="1" w:after="100" w:afterAutospacing="1" w:line="240" w:lineRule="auto"/>
        <w:rPr>
          <w:rFonts w:ascii="Times New Roman" w:eastAsia="Times New Roman" w:hAnsi="Times New Roman" w:cs="Times New Roman"/>
          <w:sz w:val="24"/>
          <w:szCs w:val="24"/>
        </w:rPr>
      </w:pPr>
      <w:r w:rsidRPr="00B22C5E">
        <w:rPr>
          <w:rFonts w:ascii="Times New Roman" w:eastAsia="Times New Roman" w:hAnsi="Times New Roman" w:cs="Times New Roman"/>
          <w:sz w:val="24"/>
          <w:szCs w:val="24"/>
        </w:rPr>
        <w:t xml:space="preserve">  - BARC Type 2: Bleeding requiring medical intervention  </w:t>
      </w:r>
    </w:p>
    <w:p w14:paraId="45970DF6" w14:textId="77777777" w:rsidR="00AD4AF7" w:rsidRDefault="00B22C5E" w:rsidP="00AD4AF7">
      <w:pPr>
        <w:spacing w:before="100" w:beforeAutospacing="1" w:after="100" w:afterAutospacing="1" w:line="240" w:lineRule="auto"/>
        <w:rPr>
          <w:rFonts w:ascii="Times New Roman" w:eastAsia="Times New Roman" w:hAnsi="Times New Roman" w:cs="Times New Roman"/>
          <w:sz w:val="24"/>
          <w:szCs w:val="24"/>
        </w:rPr>
      </w:pPr>
      <w:r w:rsidRPr="00B22C5E">
        <w:rPr>
          <w:rFonts w:ascii="Times New Roman" w:eastAsia="Times New Roman" w:hAnsi="Times New Roman" w:cs="Times New Roman"/>
          <w:sz w:val="24"/>
          <w:szCs w:val="24"/>
        </w:rPr>
        <w:t xml:space="preserve">  - BARC Types 3–5: Major complications, including fatal bleeding  </w:t>
      </w:r>
    </w:p>
    <w:p w14:paraId="4692E3A7" w14:textId="02F329CB" w:rsidR="00B22C5E" w:rsidRPr="00B22C5E" w:rsidRDefault="00B22C5E" w:rsidP="00AD4AF7">
      <w:pPr>
        <w:spacing w:before="100" w:beforeAutospacing="1" w:after="100" w:afterAutospacing="1" w:line="240" w:lineRule="auto"/>
        <w:rPr>
          <w:rFonts w:ascii="Times New Roman" w:eastAsia="Times New Roman" w:hAnsi="Times New Roman" w:cs="Times New Roman"/>
          <w:sz w:val="24"/>
          <w:szCs w:val="24"/>
        </w:rPr>
      </w:pPr>
      <w:r w:rsidRPr="00B22C5E">
        <w:rPr>
          <w:rFonts w:ascii="Times New Roman" w:eastAsia="Times New Roman" w:hAnsi="Times New Roman" w:cs="Times New Roman"/>
          <w:sz w:val="24"/>
          <w:szCs w:val="24"/>
        </w:rPr>
        <w:lastRenderedPageBreak/>
        <w:t>These phenotypes were curated using ICD-10, SNOMED CT, and EHR clinical documentation to standardize classifications across datasets. AI-driven phenotypic stratification allows for dynamic DAPT adjustments tailored to individual risk profiles.</w:t>
      </w:r>
    </w:p>
    <w:p w14:paraId="03E0A8D8" w14:textId="1E647035" w:rsidR="00AD4AF7" w:rsidRPr="00AD4AF7" w:rsidRDefault="00AD4AF7" w:rsidP="00AD4AF7">
      <w:pPr>
        <w:spacing w:before="100" w:beforeAutospacing="1" w:after="100" w:afterAutospacing="1" w:line="240" w:lineRule="auto"/>
        <w:rPr>
          <w:rFonts w:ascii="Times New Roman" w:eastAsia="Times New Roman" w:hAnsi="Times New Roman" w:cs="Times New Roman"/>
          <w:b/>
          <w:bCs/>
          <w:sz w:val="24"/>
          <w:szCs w:val="24"/>
        </w:rPr>
      </w:pPr>
      <w:r w:rsidRPr="00AD4AF7">
        <w:rPr>
          <w:rFonts w:ascii="Times New Roman" w:eastAsia="Times New Roman" w:hAnsi="Times New Roman" w:cs="Times New Roman"/>
          <w:b/>
          <w:bCs/>
          <w:sz w:val="24"/>
          <w:szCs w:val="24"/>
        </w:rPr>
        <w:t xml:space="preserve">2. Risk Factors and Comorbidities </w:t>
      </w:r>
    </w:p>
    <w:p w14:paraId="5CBA270E" w14:textId="7B563A8C" w:rsidR="00AD4AF7" w:rsidRPr="00AD4AF7" w:rsidRDefault="00AD4AF7" w:rsidP="00AD4AF7">
      <w:pPr>
        <w:spacing w:before="100" w:beforeAutospacing="1" w:after="100" w:afterAutospacing="1" w:line="240" w:lineRule="auto"/>
        <w:rPr>
          <w:rFonts w:ascii="Times New Roman" w:eastAsia="Times New Roman" w:hAnsi="Times New Roman" w:cs="Times New Roman"/>
          <w:sz w:val="24"/>
          <w:szCs w:val="24"/>
        </w:rPr>
      </w:pPr>
      <w:r w:rsidRPr="00AD4AF7">
        <w:rPr>
          <w:rFonts w:ascii="Times New Roman" w:eastAsia="Times New Roman" w:hAnsi="Times New Roman" w:cs="Times New Roman"/>
          <w:sz w:val="24"/>
          <w:szCs w:val="24"/>
        </w:rPr>
        <w:t xml:space="preserve">2.1 Types of Risk Factors and Their Integration </w:t>
      </w:r>
    </w:p>
    <w:p w14:paraId="6C7933F4" w14:textId="77777777" w:rsidR="00AD4AF7" w:rsidRPr="00AD4AF7" w:rsidRDefault="00AD4AF7" w:rsidP="00AD4AF7">
      <w:pPr>
        <w:spacing w:before="100" w:beforeAutospacing="1" w:after="100" w:afterAutospacing="1" w:line="240" w:lineRule="auto"/>
        <w:rPr>
          <w:rFonts w:ascii="Times New Roman" w:eastAsia="Times New Roman" w:hAnsi="Times New Roman" w:cs="Times New Roman"/>
          <w:sz w:val="24"/>
          <w:szCs w:val="24"/>
        </w:rPr>
      </w:pPr>
      <w:r w:rsidRPr="00AD4AF7">
        <w:rPr>
          <w:rFonts w:ascii="Times New Roman" w:eastAsia="Times New Roman" w:hAnsi="Times New Roman" w:cs="Times New Roman"/>
          <w:sz w:val="24"/>
          <w:szCs w:val="24"/>
        </w:rPr>
        <w:t xml:space="preserve">The AI model incorporated diverse risk categories to enhance stratification:  </w:t>
      </w:r>
    </w:p>
    <w:p w14:paraId="00CAF8C0" w14:textId="55F29063" w:rsidR="00AD4AF7" w:rsidRPr="00AD4AF7" w:rsidRDefault="00AD4AF7" w:rsidP="00AD4AF7">
      <w:pPr>
        <w:spacing w:before="100" w:beforeAutospacing="1" w:after="100" w:afterAutospacing="1" w:line="240" w:lineRule="auto"/>
        <w:rPr>
          <w:rFonts w:ascii="Times New Roman" w:eastAsia="Times New Roman" w:hAnsi="Times New Roman" w:cs="Times New Roman"/>
          <w:sz w:val="24"/>
          <w:szCs w:val="24"/>
        </w:rPr>
      </w:pPr>
      <w:r w:rsidRPr="00AD4AF7">
        <w:rPr>
          <w:rFonts w:ascii="Times New Roman" w:eastAsia="Times New Roman" w:hAnsi="Times New Roman" w:cs="Times New Roman"/>
          <w:sz w:val="24"/>
          <w:szCs w:val="24"/>
        </w:rPr>
        <w:t xml:space="preserve">1. Demographic Risks: Age, gender, ethnicity (Arab vs. non-Arab), and geographic variations in prevalence.  </w:t>
      </w:r>
    </w:p>
    <w:p w14:paraId="05B5A0D1" w14:textId="3BC7D997" w:rsidR="00AD4AF7" w:rsidRPr="00AD4AF7" w:rsidRDefault="00AD4AF7" w:rsidP="00AD4AF7">
      <w:pPr>
        <w:spacing w:before="100" w:beforeAutospacing="1" w:after="100" w:afterAutospacing="1" w:line="240" w:lineRule="auto"/>
        <w:rPr>
          <w:rFonts w:ascii="Times New Roman" w:eastAsia="Times New Roman" w:hAnsi="Times New Roman" w:cs="Times New Roman"/>
          <w:sz w:val="24"/>
          <w:szCs w:val="24"/>
        </w:rPr>
      </w:pPr>
      <w:r w:rsidRPr="00AD4AF7">
        <w:rPr>
          <w:rFonts w:ascii="Times New Roman" w:eastAsia="Times New Roman" w:hAnsi="Times New Roman" w:cs="Times New Roman"/>
          <w:sz w:val="24"/>
          <w:szCs w:val="24"/>
        </w:rPr>
        <w:t xml:space="preserve">2. Metabolic Risks: Hypertension, diabetes, obesity, and dyslipidemia.  </w:t>
      </w:r>
    </w:p>
    <w:p w14:paraId="23E714D8" w14:textId="2963BD82" w:rsidR="00AD4AF7" w:rsidRPr="00AD4AF7" w:rsidRDefault="00AD4AF7" w:rsidP="00AD4AF7">
      <w:pPr>
        <w:spacing w:before="100" w:beforeAutospacing="1" w:after="100" w:afterAutospacing="1" w:line="240" w:lineRule="auto"/>
        <w:rPr>
          <w:rFonts w:ascii="Times New Roman" w:eastAsia="Times New Roman" w:hAnsi="Times New Roman" w:cs="Times New Roman"/>
          <w:sz w:val="24"/>
          <w:szCs w:val="24"/>
        </w:rPr>
      </w:pPr>
      <w:r w:rsidRPr="00AD4AF7">
        <w:rPr>
          <w:rFonts w:ascii="Times New Roman" w:eastAsia="Times New Roman" w:hAnsi="Times New Roman" w:cs="Times New Roman"/>
          <w:sz w:val="24"/>
          <w:szCs w:val="24"/>
        </w:rPr>
        <w:t xml:space="preserve">3. Cardiac Comorbidities: Prior ischemic heart disease (IHD), myocardial infarction (MI), atrial fibrillation (AFib), and congestive heart failure (CHF).  </w:t>
      </w:r>
    </w:p>
    <w:p w14:paraId="73177A2A" w14:textId="2158C14E" w:rsidR="00AD4AF7" w:rsidRPr="00AD4AF7" w:rsidRDefault="00AD4AF7" w:rsidP="00AD4AF7">
      <w:pPr>
        <w:spacing w:before="100" w:beforeAutospacing="1" w:after="100" w:afterAutospacing="1" w:line="240" w:lineRule="auto"/>
        <w:rPr>
          <w:rFonts w:ascii="Times New Roman" w:eastAsia="Times New Roman" w:hAnsi="Times New Roman" w:cs="Times New Roman"/>
          <w:sz w:val="24"/>
          <w:szCs w:val="24"/>
        </w:rPr>
      </w:pPr>
      <w:r w:rsidRPr="00AD4AF7">
        <w:rPr>
          <w:rFonts w:ascii="Times New Roman" w:eastAsia="Times New Roman" w:hAnsi="Times New Roman" w:cs="Times New Roman"/>
          <w:sz w:val="24"/>
          <w:szCs w:val="24"/>
        </w:rPr>
        <w:t xml:space="preserve">4. Lifestyle Factors: Smoking status (current, former, never).  </w:t>
      </w:r>
    </w:p>
    <w:p w14:paraId="0640BF77" w14:textId="77777777" w:rsidR="00AD4AF7" w:rsidRPr="00AD4AF7" w:rsidRDefault="00AD4AF7" w:rsidP="00AD4AF7">
      <w:pPr>
        <w:spacing w:before="100" w:beforeAutospacing="1" w:after="100" w:afterAutospacing="1" w:line="240" w:lineRule="auto"/>
        <w:rPr>
          <w:rFonts w:ascii="Times New Roman" w:eastAsia="Times New Roman" w:hAnsi="Times New Roman" w:cs="Times New Roman"/>
          <w:sz w:val="24"/>
          <w:szCs w:val="24"/>
        </w:rPr>
      </w:pPr>
      <w:r w:rsidRPr="00AD4AF7">
        <w:rPr>
          <w:rFonts w:ascii="Times New Roman" w:eastAsia="Times New Roman" w:hAnsi="Times New Roman" w:cs="Times New Roman"/>
          <w:sz w:val="24"/>
          <w:szCs w:val="24"/>
        </w:rPr>
        <w:t>These variables were dynamically integrated to ensure ischemic protection was balanced without increasing bleeding risks.</w:t>
      </w:r>
    </w:p>
    <w:p w14:paraId="341772A0" w14:textId="7BB6B6CB" w:rsidR="00AD4AF7" w:rsidRPr="00AD4AF7" w:rsidRDefault="00AD4AF7" w:rsidP="00AD4AF7">
      <w:pPr>
        <w:spacing w:before="100" w:beforeAutospacing="1" w:after="100" w:afterAutospacing="1" w:line="240" w:lineRule="auto"/>
        <w:rPr>
          <w:rFonts w:ascii="Times New Roman" w:eastAsia="Times New Roman" w:hAnsi="Times New Roman" w:cs="Times New Roman"/>
          <w:b/>
          <w:bCs/>
          <w:sz w:val="24"/>
          <w:szCs w:val="24"/>
        </w:rPr>
      </w:pPr>
      <w:r w:rsidRPr="00AD4AF7">
        <w:rPr>
          <w:rFonts w:ascii="Times New Roman" w:eastAsia="Times New Roman" w:hAnsi="Times New Roman" w:cs="Times New Roman"/>
          <w:b/>
          <w:bCs/>
          <w:sz w:val="24"/>
          <w:szCs w:val="24"/>
        </w:rPr>
        <w:t xml:space="preserve">3. Post-PCI Pharmacological Intervention  </w:t>
      </w:r>
    </w:p>
    <w:p w14:paraId="029536ED" w14:textId="5D384CA0" w:rsidR="00AD4AF7" w:rsidRPr="00AD4AF7" w:rsidRDefault="00AD4AF7" w:rsidP="00AD4AF7">
      <w:pPr>
        <w:spacing w:before="100" w:beforeAutospacing="1" w:after="100" w:afterAutospacing="1" w:line="240" w:lineRule="auto"/>
        <w:rPr>
          <w:rFonts w:ascii="Times New Roman" w:eastAsia="Times New Roman" w:hAnsi="Times New Roman" w:cs="Times New Roman"/>
          <w:sz w:val="24"/>
          <w:szCs w:val="24"/>
        </w:rPr>
      </w:pPr>
      <w:r w:rsidRPr="00AD4AF7">
        <w:rPr>
          <w:rFonts w:ascii="Times New Roman" w:eastAsia="Times New Roman" w:hAnsi="Times New Roman" w:cs="Times New Roman"/>
          <w:sz w:val="24"/>
          <w:szCs w:val="24"/>
        </w:rPr>
        <w:t xml:space="preserve">3.1 DAPT Regimens and Adjunct Therapies  </w:t>
      </w:r>
    </w:p>
    <w:p w14:paraId="3168CA8F" w14:textId="77777777" w:rsidR="00AD4AF7" w:rsidRPr="00AD4AF7" w:rsidRDefault="00AD4AF7" w:rsidP="00AD4AF7">
      <w:pPr>
        <w:spacing w:before="100" w:beforeAutospacing="1" w:after="100" w:afterAutospacing="1" w:line="240" w:lineRule="auto"/>
        <w:rPr>
          <w:rFonts w:ascii="Times New Roman" w:eastAsia="Times New Roman" w:hAnsi="Times New Roman" w:cs="Times New Roman"/>
          <w:sz w:val="24"/>
          <w:szCs w:val="24"/>
        </w:rPr>
      </w:pPr>
      <w:r w:rsidRPr="00AD4AF7">
        <w:rPr>
          <w:rFonts w:ascii="Times New Roman" w:eastAsia="Times New Roman" w:hAnsi="Times New Roman" w:cs="Times New Roman"/>
          <w:sz w:val="24"/>
          <w:szCs w:val="24"/>
        </w:rPr>
        <w:t>The study evaluated DAPT strategies, targeting ischemic and bleeding risk modulation for high- and low-risk groups, tailoring therapy duration based on AI-driven insights.</w:t>
      </w:r>
    </w:p>
    <w:p w14:paraId="6C100D5D" w14:textId="01266FA6" w:rsidR="00AD4AF7" w:rsidRPr="00AD4AF7" w:rsidRDefault="00AD4AF7" w:rsidP="00AD4AF7">
      <w:pPr>
        <w:spacing w:before="100" w:beforeAutospacing="1" w:after="100" w:afterAutospacing="1" w:line="240" w:lineRule="auto"/>
        <w:rPr>
          <w:rFonts w:ascii="Times New Roman" w:eastAsia="Times New Roman" w:hAnsi="Times New Roman" w:cs="Times New Roman"/>
          <w:sz w:val="24"/>
          <w:szCs w:val="24"/>
        </w:rPr>
      </w:pPr>
      <w:r w:rsidRPr="00AD4AF7">
        <w:rPr>
          <w:rFonts w:ascii="Times New Roman" w:eastAsia="Times New Roman" w:hAnsi="Times New Roman" w:cs="Times New Roman"/>
          <w:sz w:val="24"/>
          <w:szCs w:val="24"/>
        </w:rPr>
        <w:t xml:space="preserve">3.2 Primary DAPT Combinations  </w:t>
      </w:r>
    </w:p>
    <w:p w14:paraId="3EDDA9F6" w14:textId="1F4E000B" w:rsidR="00AD4AF7" w:rsidRPr="00AD4AF7" w:rsidRDefault="00AD4AF7" w:rsidP="00AD4AF7">
      <w:pPr>
        <w:spacing w:before="100" w:beforeAutospacing="1" w:after="100" w:afterAutospacing="1" w:line="240" w:lineRule="auto"/>
        <w:rPr>
          <w:rFonts w:ascii="Times New Roman" w:eastAsia="Times New Roman" w:hAnsi="Times New Roman" w:cs="Times New Roman"/>
          <w:sz w:val="24"/>
          <w:szCs w:val="24"/>
        </w:rPr>
      </w:pPr>
      <w:r w:rsidRPr="00AD4AF7">
        <w:rPr>
          <w:rFonts w:ascii="Times New Roman" w:eastAsia="Times New Roman" w:hAnsi="Times New Roman" w:cs="Times New Roman"/>
          <w:sz w:val="24"/>
          <w:szCs w:val="24"/>
        </w:rPr>
        <w:t xml:space="preserve">- Ticagrelor + Aspirin: Recommended for high ischemic-risk patients due to strong thrombotic event prevention.  </w:t>
      </w:r>
    </w:p>
    <w:p w14:paraId="58CE21E6" w14:textId="44957766" w:rsidR="00AD4AF7" w:rsidRPr="00AD4AF7" w:rsidRDefault="00AD4AF7" w:rsidP="00AD4AF7">
      <w:pPr>
        <w:spacing w:before="100" w:beforeAutospacing="1" w:after="100" w:afterAutospacing="1" w:line="240" w:lineRule="auto"/>
        <w:rPr>
          <w:rFonts w:ascii="Times New Roman" w:eastAsia="Times New Roman" w:hAnsi="Times New Roman" w:cs="Times New Roman"/>
          <w:sz w:val="24"/>
          <w:szCs w:val="24"/>
        </w:rPr>
      </w:pPr>
      <w:r w:rsidRPr="00AD4AF7">
        <w:rPr>
          <w:rFonts w:ascii="Times New Roman" w:eastAsia="Times New Roman" w:hAnsi="Times New Roman" w:cs="Times New Roman"/>
          <w:sz w:val="24"/>
          <w:szCs w:val="24"/>
        </w:rPr>
        <w:t xml:space="preserve">- Clopidogrel + Aspirin: Preferred for patients with elevated bleeding risks or CYP2C19 polymorphisms affecting metabolism.  </w:t>
      </w:r>
    </w:p>
    <w:p w14:paraId="76F76518" w14:textId="77BD7360" w:rsidR="00AD4AF7" w:rsidRPr="00AD4AF7" w:rsidRDefault="00AD4AF7" w:rsidP="00AD4AF7">
      <w:pPr>
        <w:spacing w:before="100" w:beforeAutospacing="1" w:after="100" w:afterAutospacing="1" w:line="240" w:lineRule="auto"/>
        <w:rPr>
          <w:rFonts w:ascii="Times New Roman" w:eastAsia="Times New Roman" w:hAnsi="Times New Roman" w:cs="Times New Roman"/>
          <w:sz w:val="24"/>
          <w:szCs w:val="24"/>
        </w:rPr>
      </w:pPr>
      <w:r w:rsidRPr="00AD4AF7">
        <w:rPr>
          <w:rFonts w:ascii="Times New Roman" w:eastAsia="Times New Roman" w:hAnsi="Times New Roman" w:cs="Times New Roman"/>
          <w:sz w:val="24"/>
          <w:szCs w:val="24"/>
        </w:rPr>
        <w:t>- Prasugrel + Aspirin: Suitable for younger patients without stroke history, offering enhanced platelet inhibition.</w:t>
      </w:r>
    </w:p>
    <w:p w14:paraId="4E94001F" w14:textId="4395C8E6" w:rsidR="00AD4AF7" w:rsidRPr="00AD4AF7" w:rsidRDefault="00AD4AF7" w:rsidP="00AD4AF7">
      <w:pPr>
        <w:spacing w:before="100" w:beforeAutospacing="1" w:after="100" w:afterAutospacing="1" w:line="240" w:lineRule="auto"/>
        <w:rPr>
          <w:rFonts w:ascii="Times New Roman" w:eastAsia="Times New Roman" w:hAnsi="Times New Roman" w:cs="Times New Roman"/>
          <w:sz w:val="24"/>
          <w:szCs w:val="24"/>
        </w:rPr>
      </w:pPr>
      <w:r w:rsidRPr="00AD4AF7">
        <w:rPr>
          <w:rFonts w:ascii="Times New Roman" w:eastAsia="Times New Roman" w:hAnsi="Times New Roman" w:cs="Times New Roman"/>
          <w:sz w:val="24"/>
          <w:szCs w:val="24"/>
        </w:rPr>
        <w:t>3.3 Adjunctive Therapies</w:t>
      </w:r>
    </w:p>
    <w:p w14:paraId="3ACDCF6B" w14:textId="12B79A14" w:rsidR="00AD4AF7" w:rsidRDefault="00AD4AF7" w:rsidP="00AD4AF7">
      <w:pPr>
        <w:spacing w:before="100" w:beforeAutospacing="1" w:after="100" w:afterAutospacing="1" w:line="240" w:lineRule="auto"/>
        <w:rPr>
          <w:rFonts w:ascii="Times New Roman" w:eastAsia="Times New Roman" w:hAnsi="Times New Roman" w:cs="Times New Roman"/>
          <w:sz w:val="24"/>
          <w:szCs w:val="24"/>
        </w:rPr>
      </w:pPr>
      <w:r w:rsidRPr="00AD4AF7">
        <w:rPr>
          <w:rFonts w:ascii="Times New Roman" w:eastAsia="Times New Roman" w:hAnsi="Times New Roman" w:cs="Times New Roman"/>
          <w:sz w:val="24"/>
          <w:szCs w:val="24"/>
        </w:rPr>
        <w:t xml:space="preserve">Medications, such as beta-blockers, ACE inhibitors, NSAIDs, corticosteroids, and anticoagulants, were incorporated into the AI model to dynamically adjust risk scores based on </w:t>
      </w:r>
      <w:r w:rsidRPr="00AD4AF7">
        <w:rPr>
          <w:rFonts w:ascii="Times New Roman" w:eastAsia="Times New Roman" w:hAnsi="Times New Roman" w:cs="Times New Roman"/>
          <w:sz w:val="24"/>
          <w:szCs w:val="24"/>
        </w:rPr>
        <w:lastRenderedPageBreak/>
        <w:t>drug interactions.</w:t>
      </w:r>
      <w:r>
        <w:rPr>
          <w:rFonts w:ascii="Times New Roman" w:eastAsia="Times New Roman" w:hAnsi="Times New Roman" w:cs="Times New Roman"/>
          <w:sz w:val="24"/>
          <w:szCs w:val="24"/>
        </w:rPr>
        <w:t xml:space="preserve"> </w:t>
      </w:r>
      <w:r w:rsidRPr="00AD4AF7">
        <w:rPr>
          <w:rFonts w:ascii="Times New Roman" w:eastAsia="Times New Roman" w:hAnsi="Times New Roman" w:cs="Times New Roman"/>
          <w:sz w:val="24"/>
          <w:szCs w:val="24"/>
        </w:rPr>
        <w:t>This structured, AI-guided approach supports precision medicine by tailoring DAPT duration to each patient’s ischemic and bleeding profile, optimizing outcomes.</w:t>
      </w:r>
    </w:p>
    <w:p w14:paraId="7D6B7AA8" w14:textId="68A44D1D" w:rsidR="00A935FF" w:rsidRPr="00ED59F6" w:rsidRDefault="00E50A51" w:rsidP="00E50A51">
      <w:pPr>
        <w:spacing w:after="0" w:line="240" w:lineRule="auto"/>
        <w:rPr>
          <w:rFonts w:asciiTheme="majorBidi" w:hAnsiTheme="majorBidi" w:cstheme="majorBidi"/>
          <w:b/>
          <w:bCs/>
          <w:sz w:val="24"/>
          <w:szCs w:val="24"/>
        </w:rPr>
      </w:pPr>
      <w:r w:rsidRPr="00ED59F6">
        <w:rPr>
          <w:rFonts w:asciiTheme="majorBidi" w:hAnsiTheme="majorBidi" w:cstheme="majorBidi"/>
          <w:b/>
          <w:bCs/>
          <w:sz w:val="24"/>
          <w:szCs w:val="24"/>
        </w:rPr>
        <w:t>4.</w:t>
      </w:r>
      <w:r w:rsidR="00A935FF" w:rsidRPr="00ED59F6">
        <w:rPr>
          <w:rFonts w:asciiTheme="majorBidi" w:hAnsiTheme="majorBidi" w:cstheme="majorBidi"/>
          <w:b/>
          <w:bCs/>
          <w:sz w:val="24"/>
          <w:szCs w:val="24"/>
        </w:rPr>
        <w:t>AI Model Development and Risk Stratification</w:t>
      </w:r>
    </w:p>
    <w:p w14:paraId="2E476A7E" w14:textId="77777777" w:rsidR="00BB73A3" w:rsidRDefault="00BB73A3" w:rsidP="00A935FF">
      <w:pPr>
        <w:spacing w:after="0" w:line="240" w:lineRule="auto"/>
        <w:rPr>
          <w:rFonts w:asciiTheme="majorBidi" w:hAnsiTheme="majorBidi" w:cstheme="majorBidi"/>
          <w:b/>
          <w:bCs/>
          <w:sz w:val="24"/>
          <w:szCs w:val="24"/>
        </w:rPr>
      </w:pPr>
    </w:p>
    <w:p w14:paraId="6690C4D7" w14:textId="6F6DBF8B" w:rsidR="00A935FF" w:rsidRPr="00227CA9" w:rsidRDefault="00A935FF" w:rsidP="009D5FD8">
      <w:pPr>
        <w:pStyle w:val="ListParagraph"/>
        <w:numPr>
          <w:ilvl w:val="1"/>
          <w:numId w:val="3"/>
        </w:numPr>
        <w:spacing w:after="0" w:line="240" w:lineRule="auto"/>
        <w:rPr>
          <w:rFonts w:ascii="Times New Roman" w:hAnsi="Times New Roman" w:cs="Times New Roman"/>
          <w:b/>
          <w:bCs/>
          <w:sz w:val="28"/>
          <w:szCs w:val="28"/>
        </w:rPr>
      </w:pPr>
      <w:r w:rsidRPr="00227CA9">
        <w:rPr>
          <w:rFonts w:ascii="Times New Roman" w:hAnsi="Times New Roman" w:cs="Times New Roman"/>
          <w:sz w:val="24"/>
          <w:szCs w:val="24"/>
        </w:rPr>
        <w:t>Machine Learning Models Applied for Event Prediction</w:t>
      </w:r>
    </w:p>
    <w:p w14:paraId="22287C7D" w14:textId="39A2B6BD" w:rsidR="00A935FF" w:rsidRPr="00227CA9" w:rsidRDefault="00A935FF" w:rsidP="00A935FF">
      <w:pPr>
        <w:spacing w:after="0" w:line="240" w:lineRule="auto"/>
        <w:rPr>
          <w:rFonts w:ascii="Times New Roman" w:eastAsia="Times New Roman" w:hAnsi="Times New Roman" w:cs="Times New Roman"/>
          <w:sz w:val="28"/>
          <w:szCs w:val="28"/>
        </w:rPr>
      </w:pPr>
    </w:p>
    <w:p w14:paraId="39243341" w14:textId="6A0C90B5" w:rsidR="00AD4AF7" w:rsidRPr="00AD4AF7" w:rsidRDefault="00AD4AF7" w:rsidP="00AD4AF7">
      <w:pPr>
        <w:spacing w:after="0" w:line="240" w:lineRule="auto"/>
        <w:rPr>
          <w:rFonts w:ascii="Times New Roman" w:hAnsi="Times New Roman" w:cs="Times New Roman"/>
          <w:sz w:val="24"/>
          <w:szCs w:val="24"/>
        </w:rPr>
      </w:pPr>
      <w:r w:rsidRPr="00AD4AF7">
        <w:rPr>
          <w:rFonts w:ascii="Times New Roman" w:hAnsi="Times New Roman" w:cs="Times New Roman"/>
          <w:sz w:val="24"/>
          <w:szCs w:val="24"/>
        </w:rPr>
        <w:t>Various machine learning techniques were utilized for training and validating risk prediction models, encompassing both primary and secondary analyses.</w:t>
      </w:r>
    </w:p>
    <w:p w14:paraId="45FCC2B2" w14:textId="77777777" w:rsidR="00227CA9" w:rsidRPr="00227CA9" w:rsidRDefault="00227CA9" w:rsidP="00A935FF">
      <w:pPr>
        <w:spacing w:after="0" w:line="240" w:lineRule="auto"/>
        <w:rPr>
          <w:rFonts w:ascii="Times New Roman" w:hAnsi="Times New Roman" w:cs="Times New Roman"/>
          <w:b/>
          <w:bCs/>
          <w:sz w:val="24"/>
          <w:szCs w:val="24"/>
        </w:rPr>
      </w:pPr>
    </w:p>
    <w:tbl>
      <w:tblPr>
        <w:tblW w:w="5000" w:type="pct"/>
        <w:tblCellMar>
          <w:left w:w="0" w:type="dxa"/>
          <w:right w:w="0" w:type="dxa"/>
        </w:tblCellMar>
        <w:tblLook w:val="0420" w:firstRow="1" w:lastRow="0" w:firstColumn="0" w:lastColumn="0" w:noHBand="0" w:noVBand="1"/>
      </w:tblPr>
      <w:tblGrid>
        <w:gridCol w:w="3112"/>
        <w:gridCol w:w="3114"/>
        <w:gridCol w:w="3114"/>
      </w:tblGrid>
      <w:tr w:rsidR="00BB73A3" w:rsidRPr="00BB73A3" w14:paraId="277675FC" w14:textId="77777777" w:rsidTr="002C3C74">
        <w:trPr>
          <w:trHeight w:val="943"/>
        </w:trPr>
        <w:tc>
          <w:tcPr>
            <w:tcW w:w="1666" w:type="pc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1B0B72D" w14:textId="77777777" w:rsidR="00BB73A3" w:rsidRPr="00BB73A3" w:rsidRDefault="00BB73A3" w:rsidP="00BB73A3">
            <w:pPr>
              <w:spacing w:after="0" w:line="240" w:lineRule="auto"/>
              <w:jc w:val="center"/>
              <w:rPr>
                <w:rFonts w:ascii="Arial" w:eastAsia="Times New Roman" w:hAnsi="Arial" w:cs="Arial"/>
                <w:sz w:val="36"/>
                <w:szCs w:val="36"/>
              </w:rPr>
            </w:pPr>
            <w:r w:rsidRPr="00BB73A3">
              <w:rPr>
                <w:rFonts w:ascii="Times New Roman" w:eastAsia="Times New Roman" w:hAnsi="Times New Roman" w:cs="Times New Roman"/>
                <w:b/>
                <w:bCs/>
                <w:color w:val="000000" w:themeColor="text1"/>
                <w:kern w:val="24"/>
                <w:sz w:val="24"/>
                <w:szCs w:val="24"/>
              </w:rPr>
              <w:t>Model</w:t>
            </w:r>
          </w:p>
        </w:tc>
        <w:tc>
          <w:tcPr>
            <w:tcW w:w="1667" w:type="pc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37021CD" w14:textId="77777777" w:rsidR="00BB73A3" w:rsidRPr="00BB73A3" w:rsidRDefault="00BB73A3" w:rsidP="00BB73A3">
            <w:pPr>
              <w:spacing w:after="0" w:line="240" w:lineRule="auto"/>
              <w:jc w:val="center"/>
              <w:rPr>
                <w:rFonts w:ascii="Arial" w:eastAsia="Times New Roman" w:hAnsi="Arial" w:cs="Arial"/>
                <w:sz w:val="36"/>
                <w:szCs w:val="36"/>
              </w:rPr>
            </w:pPr>
            <w:r w:rsidRPr="00BB73A3">
              <w:rPr>
                <w:rFonts w:ascii="Times New Roman" w:eastAsia="Times New Roman" w:hAnsi="Times New Roman" w:cs="Times New Roman"/>
                <w:b/>
                <w:bCs/>
                <w:color w:val="000000" w:themeColor="text1"/>
                <w:kern w:val="24"/>
                <w:sz w:val="24"/>
                <w:szCs w:val="24"/>
              </w:rPr>
              <w:t>Primary Objective</w:t>
            </w:r>
          </w:p>
        </w:tc>
        <w:tc>
          <w:tcPr>
            <w:tcW w:w="1667" w:type="pc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FCD710B" w14:textId="77777777" w:rsidR="00BB73A3" w:rsidRPr="00BB73A3" w:rsidRDefault="00BB73A3" w:rsidP="00BB73A3">
            <w:pPr>
              <w:spacing w:after="0" w:line="240" w:lineRule="auto"/>
              <w:jc w:val="center"/>
              <w:rPr>
                <w:rFonts w:ascii="Arial" w:eastAsia="Times New Roman" w:hAnsi="Arial" w:cs="Arial"/>
                <w:sz w:val="36"/>
                <w:szCs w:val="36"/>
              </w:rPr>
            </w:pPr>
            <w:r w:rsidRPr="00BB73A3">
              <w:rPr>
                <w:rFonts w:ascii="Times New Roman" w:eastAsia="Times New Roman" w:hAnsi="Times New Roman" w:cs="Times New Roman"/>
                <w:b/>
                <w:bCs/>
                <w:color w:val="000000" w:themeColor="text1"/>
                <w:kern w:val="24"/>
                <w:sz w:val="24"/>
                <w:szCs w:val="24"/>
              </w:rPr>
              <w:t>Performance Metric</w:t>
            </w:r>
          </w:p>
        </w:tc>
      </w:tr>
      <w:tr w:rsidR="00BB73A3" w:rsidRPr="00BB73A3" w14:paraId="20261EAD" w14:textId="77777777" w:rsidTr="002C3C74">
        <w:trPr>
          <w:trHeight w:val="584"/>
        </w:trPr>
        <w:tc>
          <w:tcPr>
            <w:tcW w:w="1666" w:type="pc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327C8A8" w14:textId="77777777" w:rsidR="00BB73A3" w:rsidRPr="00BB73A3" w:rsidRDefault="00BB73A3" w:rsidP="00BB73A3">
            <w:pPr>
              <w:spacing w:after="0" w:line="240" w:lineRule="auto"/>
              <w:rPr>
                <w:rFonts w:ascii="Arial" w:eastAsia="Times New Roman" w:hAnsi="Arial" w:cs="Arial"/>
                <w:sz w:val="36"/>
                <w:szCs w:val="36"/>
              </w:rPr>
            </w:pPr>
            <w:r w:rsidRPr="00BB73A3">
              <w:rPr>
                <w:rFonts w:ascii="Times New Roman" w:eastAsia="Times New Roman" w:hAnsi="Times New Roman" w:cs="Times New Roman"/>
                <w:b/>
                <w:bCs/>
                <w:color w:val="000000" w:themeColor="text1"/>
                <w:kern w:val="24"/>
                <w:sz w:val="24"/>
                <w:szCs w:val="24"/>
              </w:rPr>
              <w:t>Random Forest</w:t>
            </w:r>
          </w:p>
        </w:tc>
        <w:tc>
          <w:tcPr>
            <w:tcW w:w="1667" w:type="pc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849BA08" w14:textId="77777777" w:rsidR="00BB73A3" w:rsidRPr="00BB73A3" w:rsidRDefault="00BB73A3" w:rsidP="00BB73A3">
            <w:pPr>
              <w:spacing w:after="0" w:line="240" w:lineRule="auto"/>
              <w:rPr>
                <w:rFonts w:ascii="Arial" w:eastAsia="Times New Roman" w:hAnsi="Arial" w:cs="Arial"/>
                <w:sz w:val="36"/>
                <w:szCs w:val="36"/>
              </w:rPr>
            </w:pPr>
            <w:r w:rsidRPr="00BB73A3">
              <w:rPr>
                <w:rFonts w:ascii="Times New Roman" w:eastAsia="Times New Roman" w:hAnsi="Times New Roman" w:cs="Times New Roman"/>
                <w:color w:val="000000" w:themeColor="text1"/>
                <w:kern w:val="24"/>
                <w:sz w:val="24"/>
                <w:szCs w:val="24"/>
              </w:rPr>
              <w:t>Feature selection &amp; ranking</w:t>
            </w:r>
          </w:p>
        </w:tc>
        <w:tc>
          <w:tcPr>
            <w:tcW w:w="1667" w:type="pc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F72BF69" w14:textId="77777777" w:rsidR="00BB73A3" w:rsidRPr="00BB73A3" w:rsidRDefault="00BB73A3" w:rsidP="00BB73A3">
            <w:pPr>
              <w:spacing w:after="0" w:line="240" w:lineRule="auto"/>
              <w:rPr>
                <w:rFonts w:ascii="Arial" w:eastAsia="Times New Roman" w:hAnsi="Arial" w:cs="Arial"/>
                <w:sz w:val="36"/>
                <w:szCs w:val="36"/>
              </w:rPr>
            </w:pPr>
            <w:r w:rsidRPr="00BB73A3">
              <w:rPr>
                <w:rFonts w:ascii="Times New Roman" w:eastAsia="Times New Roman" w:hAnsi="Times New Roman" w:cs="Times New Roman"/>
                <w:color w:val="000000" w:themeColor="text1"/>
                <w:kern w:val="24"/>
                <w:sz w:val="24"/>
                <w:szCs w:val="24"/>
              </w:rPr>
              <w:t>SHAP Feature Importance</w:t>
            </w:r>
          </w:p>
        </w:tc>
      </w:tr>
      <w:tr w:rsidR="00BB73A3" w:rsidRPr="00BB73A3" w14:paraId="70A78342" w14:textId="77777777" w:rsidTr="002C3C74">
        <w:trPr>
          <w:trHeight w:val="584"/>
        </w:trPr>
        <w:tc>
          <w:tcPr>
            <w:tcW w:w="1666" w:type="pc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1738C51" w14:textId="77777777" w:rsidR="00BB73A3" w:rsidRPr="00BB73A3" w:rsidRDefault="00BB73A3" w:rsidP="00BB73A3">
            <w:pPr>
              <w:spacing w:after="0" w:line="240" w:lineRule="auto"/>
              <w:rPr>
                <w:rFonts w:ascii="Arial" w:eastAsia="Times New Roman" w:hAnsi="Arial" w:cs="Arial"/>
                <w:sz w:val="36"/>
                <w:szCs w:val="36"/>
              </w:rPr>
            </w:pPr>
            <w:r w:rsidRPr="00BB73A3">
              <w:rPr>
                <w:rFonts w:ascii="Times New Roman" w:eastAsia="Times New Roman" w:hAnsi="Times New Roman" w:cs="Times New Roman"/>
                <w:b/>
                <w:bCs/>
                <w:color w:val="000000" w:themeColor="text1"/>
                <w:kern w:val="24"/>
                <w:sz w:val="24"/>
                <w:szCs w:val="24"/>
              </w:rPr>
              <w:t>Neural Networks (ANNs)</w:t>
            </w:r>
          </w:p>
        </w:tc>
        <w:tc>
          <w:tcPr>
            <w:tcW w:w="1667" w:type="pc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8DAE57A" w14:textId="77777777" w:rsidR="00BB73A3" w:rsidRPr="00BB73A3" w:rsidRDefault="00BB73A3" w:rsidP="00BB73A3">
            <w:pPr>
              <w:spacing w:after="0" w:line="240" w:lineRule="auto"/>
              <w:rPr>
                <w:rFonts w:ascii="Arial" w:eastAsia="Times New Roman" w:hAnsi="Arial" w:cs="Arial"/>
                <w:sz w:val="36"/>
                <w:szCs w:val="36"/>
              </w:rPr>
            </w:pPr>
            <w:r w:rsidRPr="00BB73A3">
              <w:rPr>
                <w:rFonts w:ascii="Times New Roman" w:eastAsia="Times New Roman" w:hAnsi="Times New Roman" w:cs="Times New Roman"/>
                <w:color w:val="000000" w:themeColor="text1"/>
                <w:kern w:val="24"/>
                <w:sz w:val="24"/>
                <w:szCs w:val="24"/>
              </w:rPr>
              <w:t>Deep learning-based non-linear risk modeling</w:t>
            </w:r>
          </w:p>
        </w:tc>
        <w:tc>
          <w:tcPr>
            <w:tcW w:w="1667" w:type="pc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0A26273" w14:textId="77777777" w:rsidR="00BB73A3" w:rsidRPr="00BB73A3" w:rsidRDefault="00BB73A3" w:rsidP="00BB73A3">
            <w:pPr>
              <w:spacing w:after="0" w:line="240" w:lineRule="auto"/>
              <w:rPr>
                <w:rFonts w:ascii="Arial" w:eastAsia="Times New Roman" w:hAnsi="Arial" w:cs="Arial"/>
                <w:sz w:val="36"/>
                <w:szCs w:val="36"/>
              </w:rPr>
            </w:pPr>
            <w:r w:rsidRPr="00BB73A3">
              <w:rPr>
                <w:rFonts w:ascii="Times New Roman" w:eastAsia="Times New Roman" w:hAnsi="Times New Roman" w:cs="Times New Roman"/>
                <w:color w:val="000000" w:themeColor="text1"/>
                <w:kern w:val="24"/>
                <w:sz w:val="24"/>
                <w:szCs w:val="24"/>
              </w:rPr>
              <w:t>Calibration &amp; Accuracy</w:t>
            </w:r>
          </w:p>
        </w:tc>
      </w:tr>
      <w:tr w:rsidR="00AD4AF7" w:rsidRPr="00BB73A3" w14:paraId="4F9CA677" w14:textId="77777777" w:rsidTr="002C3C74">
        <w:trPr>
          <w:trHeight w:val="584"/>
        </w:trPr>
        <w:tc>
          <w:tcPr>
            <w:tcW w:w="1666" w:type="pc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14:paraId="62443ED9" w14:textId="03718624" w:rsidR="00AD4AF7" w:rsidRPr="00BB73A3" w:rsidRDefault="00AD4AF7" w:rsidP="00BB73A3">
            <w:pPr>
              <w:spacing w:after="0" w:line="240" w:lineRule="auto"/>
              <w:rPr>
                <w:rFonts w:ascii="Times New Roman" w:eastAsia="Times New Roman" w:hAnsi="Times New Roman" w:cs="Times New Roman"/>
                <w:b/>
                <w:bCs/>
                <w:color w:val="000000" w:themeColor="text1"/>
                <w:kern w:val="24"/>
                <w:sz w:val="24"/>
                <w:szCs w:val="24"/>
              </w:rPr>
            </w:pPr>
            <w:r w:rsidRPr="00BB73A3">
              <w:rPr>
                <w:rFonts w:ascii="Times New Roman" w:eastAsia="Times New Roman" w:hAnsi="Times New Roman" w:cs="Times New Roman"/>
                <w:b/>
                <w:bCs/>
                <w:color w:val="000000" w:themeColor="text1"/>
                <w:kern w:val="24"/>
                <w:sz w:val="24"/>
                <w:szCs w:val="24"/>
              </w:rPr>
              <w:t>LightGBM (Weighted LGBM)</w:t>
            </w:r>
          </w:p>
        </w:tc>
        <w:tc>
          <w:tcPr>
            <w:tcW w:w="1667" w:type="pc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14:paraId="6F2BFB99" w14:textId="54E8FDEC" w:rsidR="00AD4AF7" w:rsidRPr="00BB73A3" w:rsidRDefault="00AD4AF7" w:rsidP="00BB73A3">
            <w:pPr>
              <w:spacing w:after="0" w:line="240" w:lineRule="auto"/>
              <w:rPr>
                <w:rFonts w:ascii="Times New Roman" w:eastAsia="Times New Roman" w:hAnsi="Times New Roman" w:cs="Times New Roman"/>
                <w:color w:val="000000" w:themeColor="text1"/>
                <w:kern w:val="24"/>
                <w:sz w:val="24"/>
                <w:szCs w:val="24"/>
              </w:rPr>
            </w:pPr>
            <w:r w:rsidRPr="00BB73A3">
              <w:rPr>
                <w:rFonts w:ascii="Times New Roman" w:eastAsia="Times New Roman" w:hAnsi="Times New Roman" w:cs="Times New Roman"/>
                <w:color w:val="000000" w:themeColor="text1"/>
                <w:kern w:val="24"/>
                <w:sz w:val="24"/>
                <w:szCs w:val="24"/>
              </w:rPr>
              <w:t>Captures non-linear ischemic/bleeding risk interactions</w:t>
            </w:r>
          </w:p>
        </w:tc>
        <w:tc>
          <w:tcPr>
            <w:tcW w:w="1667" w:type="pc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14:paraId="05600496" w14:textId="1516A612" w:rsidR="00AD4AF7" w:rsidRPr="00BB73A3" w:rsidRDefault="00AD4AF7" w:rsidP="00BB73A3">
            <w:pPr>
              <w:spacing w:after="0" w:line="240" w:lineRule="auto"/>
              <w:rPr>
                <w:rFonts w:ascii="Times New Roman" w:eastAsia="Times New Roman" w:hAnsi="Times New Roman" w:cs="Times New Roman"/>
                <w:color w:val="000000" w:themeColor="text1"/>
                <w:kern w:val="24"/>
                <w:sz w:val="24"/>
                <w:szCs w:val="24"/>
              </w:rPr>
            </w:pPr>
            <w:r w:rsidRPr="00BB73A3">
              <w:rPr>
                <w:rFonts w:ascii="Times New Roman" w:eastAsia="Times New Roman" w:hAnsi="Times New Roman" w:cs="Times New Roman"/>
                <w:color w:val="000000" w:themeColor="text1"/>
                <w:kern w:val="24"/>
                <w:sz w:val="24"/>
                <w:szCs w:val="24"/>
              </w:rPr>
              <w:t>AUROC &amp; AUPRC</w:t>
            </w:r>
          </w:p>
        </w:tc>
      </w:tr>
      <w:tr w:rsidR="00BB73A3" w:rsidRPr="00BB73A3" w14:paraId="260CE969" w14:textId="77777777" w:rsidTr="002C3C74">
        <w:trPr>
          <w:trHeight w:val="584"/>
        </w:trPr>
        <w:tc>
          <w:tcPr>
            <w:tcW w:w="1666" w:type="pc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5635EA1" w14:textId="77777777" w:rsidR="00BB73A3" w:rsidRPr="00BB73A3" w:rsidRDefault="00BB73A3" w:rsidP="00BB73A3">
            <w:pPr>
              <w:spacing w:after="0" w:line="240" w:lineRule="auto"/>
              <w:rPr>
                <w:rFonts w:ascii="Arial" w:eastAsia="Times New Roman" w:hAnsi="Arial" w:cs="Arial"/>
                <w:sz w:val="36"/>
                <w:szCs w:val="36"/>
              </w:rPr>
            </w:pPr>
            <w:r w:rsidRPr="00BB73A3">
              <w:rPr>
                <w:rFonts w:ascii="Times New Roman" w:eastAsia="Times New Roman" w:hAnsi="Times New Roman" w:cs="Times New Roman"/>
                <w:b/>
                <w:bCs/>
                <w:color w:val="000000" w:themeColor="text1"/>
                <w:kern w:val="24"/>
                <w:sz w:val="24"/>
                <w:szCs w:val="24"/>
              </w:rPr>
              <w:t>Logistic Regression</w:t>
            </w:r>
          </w:p>
        </w:tc>
        <w:tc>
          <w:tcPr>
            <w:tcW w:w="1667" w:type="pc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0324232" w14:textId="77777777" w:rsidR="00BB73A3" w:rsidRPr="00BB73A3" w:rsidRDefault="00BB73A3" w:rsidP="00BB73A3">
            <w:pPr>
              <w:spacing w:after="0" w:line="240" w:lineRule="auto"/>
              <w:rPr>
                <w:rFonts w:ascii="Arial" w:eastAsia="Times New Roman" w:hAnsi="Arial" w:cs="Arial"/>
                <w:sz w:val="36"/>
                <w:szCs w:val="36"/>
              </w:rPr>
            </w:pPr>
            <w:r w:rsidRPr="00BB73A3">
              <w:rPr>
                <w:rFonts w:ascii="Times New Roman" w:eastAsia="Times New Roman" w:hAnsi="Times New Roman" w:cs="Times New Roman"/>
                <w:color w:val="000000" w:themeColor="text1"/>
                <w:kern w:val="24"/>
                <w:sz w:val="24"/>
                <w:szCs w:val="24"/>
              </w:rPr>
              <w:t>Baseline comparison</w:t>
            </w:r>
          </w:p>
        </w:tc>
        <w:tc>
          <w:tcPr>
            <w:tcW w:w="1667" w:type="pc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3224DBC" w14:textId="77777777" w:rsidR="00BB73A3" w:rsidRPr="00BB73A3" w:rsidRDefault="00BB73A3" w:rsidP="00BB73A3">
            <w:pPr>
              <w:spacing w:after="0" w:line="240" w:lineRule="auto"/>
              <w:rPr>
                <w:rFonts w:ascii="Arial" w:eastAsia="Times New Roman" w:hAnsi="Arial" w:cs="Arial"/>
                <w:sz w:val="36"/>
                <w:szCs w:val="36"/>
              </w:rPr>
            </w:pPr>
            <w:r w:rsidRPr="00BB73A3">
              <w:rPr>
                <w:rFonts w:ascii="Times New Roman" w:eastAsia="Times New Roman" w:hAnsi="Times New Roman" w:cs="Times New Roman"/>
                <w:color w:val="000000" w:themeColor="text1"/>
                <w:kern w:val="24"/>
                <w:sz w:val="24"/>
                <w:szCs w:val="24"/>
              </w:rPr>
              <w:t>Concordance Index (C-Index)</w:t>
            </w:r>
          </w:p>
        </w:tc>
      </w:tr>
    </w:tbl>
    <w:p w14:paraId="264866D0" w14:textId="77777777" w:rsidR="00BB73A3" w:rsidRPr="00A935FF" w:rsidRDefault="00BB73A3" w:rsidP="00A935FF">
      <w:pPr>
        <w:spacing w:after="0" w:line="240" w:lineRule="auto"/>
        <w:rPr>
          <w:rFonts w:ascii="Times New Roman" w:eastAsia="Times New Roman" w:hAnsi="Times New Roman" w:cs="Times New Roman"/>
          <w:sz w:val="24"/>
          <w:szCs w:val="24"/>
        </w:rPr>
      </w:pPr>
    </w:p>
    <w:p w14:paraId="186D8D10" w14:textId="5B998C15" w:rsidR="00AD4AF7" w:rsidRPr="00ED59F6" w:rsidRDefault="00AD4AF7" w:rsidP="008F67D1">
      <w:pPr>
        <w:spacing w:before="100" w:beforeAutospacing="1" w:after="100" w:afterAutospacing="1" w:line="240" w:lineRule="auto"/>
        <w:outlineLvl w:val="2"/>
        <w:rPr>
          <w:rFonts w:ascii="Times New Roman" w:hAnsi="Times New Roman" w:cs="Times New Roman"/>
          <w:b/>
          <w:bCs/>
          <w:sz w:val="24"/>
          <w:szCs w:val="24"/>
        </w:rPr>
      </w:pPr>
      <w:r w:rsidRPr="00AD4AF7">
        <w:rPr>
          <w:rFonts w:ascii="Times New Roman" w:hAnsi="Times New Roman" w:cs="Times New Roman"/>
          <w:sz w:val="24"/>
          <w:szCs w:val="24"/>
        </w:rPr>
        <w:t xml:space="preserve">Through model comparisons, LightGBM emerged as the top performer, offering enhanced </w:t>
      </w:r>
      <w:r w:rsidRPr="00ED59F6">
        <w:rPr>
          <w:rFonts w:ascii="Times New Roman" w:hAnsi="Times New Roman" w:cs="Times New Roman"/>
          <w:sz w:val="24"/>
          <w:szCs w:val="24"/>
        </w:rPr>
        <w:t>predictive accuracy and better interpretability compared to traditional approaches.</w:t>
      </w:r>
    </w:p>
    <w:p w14:paraId="7F0DBCCB" w14:textId="54B25BE5" w:rsidR="002C3C74" w:rsidRPr="00ED59F6" w:rsidRDefault="00AD4AF7" w:rsidP="00AD4AF7">
      <w:pPr>
        <w:spacing w:before="100" w:beforeAutospacing="1" w:after="100" w:afterAutospacing="1" w:line="240" w:lineRule="auto"/>
        <w:outlineLvl w:val="3"/>
        <w:rPr>
          <w:rFonts w:ascii="Times New Roman" w:eastAsia="Times New Roman" w:hAnsi="Times New Roman" w:cs="Times New Roman"/>
          <w:b/>
          <w:bCs/>
          <w:sz w:val="24"/>
          <w:szCs w:val="24"/>
        </w:rPr>
      </w:pPr>
      <w:r w:rsidRPr="00ED59F6">
        <w:rPr>
          <w:rFonts w:ascii="Times New Roman" w:eastAsia="Times New Roman" w:hAnsi="Times New Roman" w:cs="Times New Roman"/>
          <w:b/>
          <w:bCs/>
          <w:sz w:val="24"/>
          <w:szCs w:val="24"/>
        </w:rPr>
        <w:t>5.</w:t>
      </w:r>
      <w:r w:rsidR="002C3C74" w:rsidRPr="00ED59F6">
        <w:rPr>
          <w:rFonts w:ascii="Times New Roman" w:eastAsia="Times New Roman" w:hAnsi="Times New Roman" w:cs="Times New Roman"/>
          <w:b/>
          <w:bCs/>
          <w:sz w:val="24"/>
          <w:szCs w:val="24"/>
        </w:rPr>
        <w:t>Data Preprocessing</w:t>
      </w:r>
    </w:p>
    <w:p w14:paraId="3B4CFA33" w14:textId="7C6CD569" w:rsidR="00AD4AF7" w:rsidRPr="00AD4AF7" w:rsidRDefault="00AD4AF7" w:rsidP="00AD4AF7">
      <w:pPr>
        <w:spacing w:before="100" w:beforeAutospacing="1" w:after="100" w:afterAutospacing="1" w:line="240" w:lineRule="auto"/>
        <w:outlineLvl w:val="4"/>
        <w:rPr>
          <w:rFonts w:ascii="Times New Roman" w:eastAsia="Times New Roman" w:hAnsi="Times New Roman" w:cs="Times New Roman"/>
          <w:sz w:val="24"/>
          <w:szCs w:val="24"/>
        </w:rPr>
      </w:pPr>
      <w:r w:rsidRPr="00AD4AF7">
        <w:rPr>
          <w:rFonts w:ascii="Times New Roman" w:eastAsia="Times New Roman" w:hAnsi="Times New Roman" w:cs="Times New Roman"/>
          <w:sz w:val="24"/>
          <w:szCs w:val="24"/>
        </w:rPr>
        <w:t>5.1 Data Sources</w:t>
      </w:r>
    </w:p>
    <w:p w14:paraId="132746EE" w14:textId="3FC09A8F" w:rsidR="00AD4AF7" w:rsidRPr="00AD4AF7" w:rsidRDefault="00AD4AF7" w:rsidP="00AD4AF7">
      <w:pPr>
        <w:spacing w:before="100" w:beforeAutospacing="1" w:after="100" w:afterAutospacing="1" w:line="240" w:lineRule="auto"/>
        <w:outlineLvl w:val="4"/>
        <w:rPr>
          <w:rFonts w:ascii="Times New Roman" w:eastAsia="Times New Roman" w:hAnsi="Times New Roman" w:cs="Times New Roman"/>
          <w:sz w:val="24"/>
          <w:szCs w:val="24"/>
        </w:rPr>
      </w:pPr>
      <w:r w:rsidRPr="00AD4AF7">
        <w:rPr>
          <w:rFonts w:ascii="Times New Roman" w:eastAsia="Times New Roman" w:hAnsi="Times New Roman" w:cs="Times New Roman"/>
          <w:sz w:val="24"/>
          <w:szCs w:val="24"/>
        </w:rPr>
        <w:t xml:space="preserve">- Electronic Health Records (EHRs): Data on demographics, clinical history, comorbidities, and lab parameters were sourced from UAE healthcare centers.  </w:t>
      </w:r>
    </w:p>
    <w:p w14:paraId="64D8C81D" w14:textId="30A12840" w:rsidR="00AD4AF7" w:rsidRPr="00AD4AF7" w:rsidRDefault="00AD4AF7" w:rsidP="00AD4AF7">
      <w:pPr>
        <w:spacing w:before="100" w:beforeAutospacing="1" w:after="100" w:afterAutospacing="1" w:line="240" w:lineRule="auto"/>
        <w:outlineLvl w:val="4"/>
        <w:rPr>
          <w:rFonts w:ascii="Times New Roman" w:eastAsia="Times New Roman" w:hAnsi="Times New Roman" w:cs="Times New Roman"/>
          <w:sz w:val="24"/>
          <w:szCs w:val="24"/>
        </w:rPr>
      </w:pPr>
      <w:r w:rsidRPr="00AD4AF7">
        <w:rPr>
          <w:rFonts w:ascii="Times New Roman" w:eastAsia="Times New Roman" w:hAnsi="Times New Roman" w:cs="Times New Roman"/>
          <w:sz w:val="24"/>
          <w:szCs w:val="24"/>
        </w:rPr>
        <w:t xml:space="preserve">- Procedural Data: Details on stent type, lesion complexity (e.g., SYNTAX score), and procedural success rates were extracted from PCI registries.  </w:t>
      </w:r>
    </w:p>
    <w:p w14:paraId="6B81EE74" w14:textId="0EAA5CAC" w:rsidR="00AD4AF7" w:rsidRPr="00AD4AF7" w:rsidRDefault="00AD4AF7" w:rsidP="00AD4AF7">
      <w:pPr>
        <w:spacing w:before="100" w:beforeAutospacing="1" w:after="100" w:afterAutospacing="1" w:line="240" w:lineRule="auto"/>
        <w:outlineLvl w:val="4"/>
        <w:rPr>
          <w:rFonts w:ascii="Times New Roman" w:eastAsia="Times New Roman" w:hAnsi="Times New Roman" w:cs="Times New Roman"/>
          <w:sz w:val="24"/>
          <w:szCs w:val="24"/>
        </w:rPr>
      </w:pPr>
      <w:r w:rsidRPr="00AD4AF7">
        <w:rPr>
          <w:rFonts w:ascii="Times New Roman" w:eastAsia="Times New Roman" w:hAnsi="Times New Roman" w:cs="Times New Roman"/>
          <w:sz w:val="24"/>
          <w:szCs w:val="24"/>
        </w:rPr>
        <w:t xml:space="preserve">- Genetic Data: CYP2C19 polymorphisms and other genetic markers were obtained through targeted genotyping.  </w:t>
      </w:r>
    </w:p>
    <w:p w14:paraId="5C58BD18" w14:textId="38B1F15A" w:rsidR="00AD4AF7" w:rsidRPr="00AD4AF7" w:rsidRDefault="00AD4AF7" w:rsidP="00ED59F6">
      <w:pPr>
        <w:spacing w:before="100" w:beforeAutospacing="1" w:after="100" w:afterAutospacing="1" w:line="240" w:lineRule="auto"/>
        <w:outlineLvl w:val="4"/>
        <w:rPr>
          <w:rFonts w:ascii="Times New Roman" w:eastAsia="Times New Roman" w:hAnsi="Times New Roman" w:cs="Times New Roman"/>
          <w:sz w:val="24"/>
          <w:szCs w:val="24"/>
        </w:rPr>
      </w:pPr>
      <w:r w:rsidRPr="00AD4AF7">
        <w:rPr>
          <w:rFonts w:ascii="Times New Roman" w:eastAsia="Times New Roman" w:hAnsi="Times New Roman" w:cs="Times New Roman"/>
          <w:sz w:val="24"/>
          <w:szCs w:val="24"/>
        </w:rPr>
        <w:t xml:space="preserve">- Lifestyle Data: Information on diet, physical activity, and smoking status was gathered using standardized questionnaires.  </w:t>
      </w:r>
    </w:p>
    <w:p w14:paraId="535B35A2" w14:textId="3EDA3B9A" w:rsidR="00AD4AF7" w:rsidRPr="00AD4AF7" w:rsidRDefault="00AD4AF7" w:rsidP="00AD4AF7">
      <w:pPr>
        <w:spacing w:before="100" w:beforeAutospacing="1" w:after="100" w:afterAutospacing="1" w:line="240" w:lineRule="auto"/>
        <w:outlineLvl w:val="4"/>
        <w:rPr>
          <w:rFonts w:ascii="Times New Roman" w:eastAsia="Times New Roman" w:hAnsi="Times New Roman" w:cs="Times New Roman"/>
          <w:sz w:val="24"/>
          <w:szCs w:val="24"/>
        </w:rPr>
      </w:pPr>
      <w:r w:rsidRPr="00AD4AF7">
        <w:rPr>
          <w:rFonts w:ascii="Times New Roman" w:eastAsia="Times New Roman" w:hAnsi="Times New Roman" w:cs="Times New Roman"/>
          <w:sz w:val="24"/>
          <w:szCs w:val="24"/>
        </w:rPr>
        <w:lastRenderedPageBreak/>
        <w:t xml:space="preserve">5.2 Data Cleaning </w:t>
      </w:r>
    </w:p>
    <w:p w14:paraId="6D25619D" w14:textId="6EB9ED6C" w:rsidR="00AD4AF7" w:rsidRPr="00AD4AF7" w:rsidRDefault="00AD4AF7" w:rsidP="00AD4AF7">
      <w:pPr>
        <w:spacing w:before="100" w:beforeAutospacing="1" w:after="100" w:afterAutospacing="1" w:line="240" w:lineRule="auto"/>
        <w:outlineLvl w:val="4"/>
        <w:rPr>
          <w:rFonts w:ascii="Times New Roman" w:eastAsia="Times New Roman" w:hAnsi="Times New Roman" w:cs="Times New Roman"/>
          <w:sz w:val="24"/>
          <w:szCs w:val="24"/>
        </w:rPr>
      </w:pPr>
      <w:r w:rsidRPr="00AD4AF7">
        <w:rPr>
          <w:rFonts w:ascii="Times New Roman" w:eastAsia="Times New Roman" w:hAnsi="Times New Roman" w:cs="Times New Roman"/>
          <w:sz w:val="24"/>
          <w:szCs w:val="24"/>
        </w:rPr>
        <w:t xml:space="preserve">- Handling Missing Values: Multiple imputation techniques were used to minimize dataset bias.  </w:t>
      </w:r>
    </w:p>
    <w:p w14:paraId="4E1EB51A" w14:textId="52ADE3ED" w:rsidR="00AD4AF7" w:rsidRPr="00AD4AF7" w:rsidRDefault="00AD4AF7" w:rsidP="00AD4AF7">
      <w:pPr>
        <w:spacing w:before="100" w:beforeAutospacing="1" w:after="100" w:afterAutospacing="1" w:line="240" w:lineRule="auto"/>
        <w:outlineLvl w:val="4"/>
        <w:rPr>
          <w:rFonts w:ascii="Times New Roman" w:eastAsia="Times New Roman" w:hAnsi="Times New Roman" w:cs="Times New Roman"/>
          <w:sz w:val="24"/>
          <w:szCs w:val="24"/>
        </w:rPr>
      </w:pPr>
      <w:r w:rsidRPr="00AD4AF7">
        <w:rPr>
          <w:rFonts w:ascii="Times New Roman" w:eastAsia="Times New Roman" w:hAnsi="Times New Roman" w:cs="Times New Roman"/>
          <w:sz w:val="24"/>
          <w:szCs w:val="24"/>
        </w:rPr>
        <w:t xml:space="preserve">- Normalization: Continuous variables (e.g., platelet count, creatinine levels) were scaled to a standard range (mean = 0, SD = 1).  </w:t>
      </w:r>
    </w:p>
    <w:p w14:paraId="79D3FBB9" w14:textId="19B8BFFD" w:rsidR="00AD4AF7" w:rsidRPr="00AD4AF7" w:rsidRDefault="00AD4AF7" w:rsidP="00ED59F6">
      <w:pPr>
        <w:spacing w:before="100" w:beforeAutospacing="1" w:after="100" w:afterAutospacing="1" w:line="240" w:lineRule="auto"/>
        <w:outlineLvl w:val="4"/>
        <w:rPr>
          <w:rFonts w:ascii="Times New Roman" w:eastAsia="Times New Roman" w:hAnsi="Times New Roman" w:cs="Times New Roman"/>
          <w:sz w:val="24"/>
          <w:szCs w:val="24"/>
        </w:rPr>
      </w:pPr>
      <w:r w:rsidRPr="00AD4AF7">
        <w:rPr>
          <w:rFonts w:ascii="Times New Roman" w:eastAsia="Times New Roman" w:hAnsi="Times New Roman" w:cs="Times New Roman"/>
          <w:sz w:val="24"/>
          <w:szCs w:val="24"/>
        </w:rPr>
        <w:t xml:space="preserve">- Outlier Detection: Outliers were managed using the interquartile range (IQR) method and winsorization.  </w:t>
      </w:r>
    </w:p>
    <w:p w14:paraId="546CD9B9" w14:textId="5FD56CB8" w:rsidR="00AD4AF7" w:rsidRPr="00AD4AF7" w:rsidRDefault="00AD4AF7" w:rsidP="00AD4AF7">
      <w:pPr>
        <w:spacing w:before="100" w:beforeAutospacing="1" w:after="100" w:afterAutospacing="1" w:line="240" w:lineRule="auto"/>
        <w:outlineLvl w:val="4"/>
        <w:rPr>
          <w:rFonts w:ascii="Times New Roman" w:eastAsia="Times New Roman" w:hAnsi="Times New Roman" w:cs="Times New Roman"/>
          <w:sz w:val="24"/>
          <w:szCs w:val="24"/>
        </w:rPr>
      </w:pPr>
      <w:r w:rsidRPr="00AD4AF7">
        <w:rPr>
          <w:rFonts w:ascii="Times New Roman" w:eastAsia="Times New Roman" w:hAnsi="Times New Roman" w:cs="Times New Roman"/>
          <w:sz w:val="24"/>
          <w:szCs w:val="24"/>
        </w:rPr>
        <w:t xml:space="preserve">5.3 Feature Engineering </w:t>
      </w:r>
    </w:p>
    <w:p w14:paraId="6EE96F3D" w14:textId="4EBA1253" w:rsidR="00AD4AF7" w:rsidRPr="00AD4AF7" w:rsidRDefault="00AD4AF7" w:rsidP="00AD4AF7">
      <w:pPr>
        <w:spacing w:before="100" w:beforeAutospacing="1" w:after="100" w:afterAutospacing="1" w:line="240" w:lineRule="auto"/>
        <w:outlineLvl w:val="4"/>
        <w:rPr>
          <w:rFonts w:ascii="Times New Roman" w:eastAsia="Times New Roman" w:hAnsi="Times New Roman" w:cs="Times New Roman"/>
          <w:sz w:val="24"/>
          <w:szCs w:val="24"/>
        </w:rPr>
      </w:pPr>
      <w:r w:rsidRPr="00AD4AF7">
        <w:rPr>
          <w:rFonts w:ascii="Times New Roman" w:eastAsia="Times New Roman" w:hAnsi="Times New Roman" w:cs="Times New Roman"/>
          <w:sz w:val="24"/>
          <w:szCs w:val="24"/>
        </w:rPr>
        <w:t xml:space="preserve">- Derived Variables: New features captured interactions between variables, such as diabetes and stent type.  </w:t>
      </w:r>
    </w:p>
    <w:p w14:paraId="0C5D599F" w14:textId="5832AD9B" w:rsidR="00AD4AF7" w:rsidRPr="00AD4AF7" w:rsidRDefault="00AD4AF7" w:rsidP="00AD4AF7">
      <w:pPr>
        <w:spacing w:before="100" w:beforeAutospacing="1" w:after="100" w:afterAutospacing="1" w:line="240" w:lineRule="auto"/>
        <w:outlineLvl w:val="4"/>
        <w:rPr>
          <w:rFonts w:ascii="Times New Roman" w:eastAsia="Times New Roman" w:hAnsi="Times New Roman" w:cs="Times New Roman"/>
          <w:sz w:val="24"/>
          <w:szCs w:val="24"/>
        </w:rPr>
      </w:pPr>
      <w:r w:rsidRPr="00AD4AF7">
        <w:rPr>
          <w:rFonts w:ascii="Times New Roman" w:eastAsia="Times New Roman" w:hAnsi="Times New Roman" w:cs="Times New Roman"/>
          <w:sz w:val="24"/>
          <w:szCs w:val="24"/>
        </w:rPr>
        <w:t xml:space="preserve">- Categorical Encoding: Variables like stent type were converted using one-hot encoding for compatibility with machine learning algorithms.  </w:t>
      </w:r>
    </w:p>
    <w:p w14:paraId="688D770A" w14:textId="72DFEEFB" w:rsidR="00AD4AF7" w:rsidRPr="00ED59F6" w:rsidRDefault="00AD4AF7" w:rsidP="00AD4AF7">
      <w:pPr>
        <w:spacing w:before="100" w:beforeAutospacing="1" w:after="100" w:afterAutospacing="1" w:line="240" w:lineRule="auto"/>
        <w:outlineLvl w:val="4"/>
        <w:rPr>
          <w:rFonts w:ascii="Times New Roman" w:eastAsia="Times New Roman" w:hAnsi="Times New Roman" w:cs="Times New Roman"/>
          <w:b/>
          <w:bCs/>
          <w:sz w:val="24"/>
          <w:szCs w:val="24"/>
        </w:rPr>
      </w:pPr>
      <w:r w:rsidRPr="00ED59F6">
        <w:rPr>
          <w:rFonts w:ascii="Times New Roman" w:eastAsia="Times New Roman" w:hAnsi="Times New Roman" w:cs="Times New Roman"/>
          <w:b/>
          <w:bCs/>
          <w:sz w:val="24"/>
          <w:szCs w:val="24"/>
        </w:rPr>
        <w:t xml:space="preserve">6. AI Model Specifications  </w:t>
      </w:r>
    </w:p>
    <w:p w14:paraId="161CABDA" w14:textId="2CEDCF8F" w:rsidR="00AD4AF7" w:rsidRPr="00AD4AF7" w:rsidRDefault="00AD4AF7" w:rsidP="00AD4AF7">
      <w:pPr>
        <w:spacing w:before="100" w:beforeAutospacing="1" w:after="100" w:afterAutospacing="1" w:line="240" w:lineRule="auto"/>
        <w:outlineLvl w:val="4"/>
        <w:rPr>
          <w:rFonts w:ascii="Times New Roman" w:eastAsia="Times New Roman" w:hAnsi="Times New Roman" w:cs="Times New Roman"/>
          <w:sz w:val="24"/>
          <w:szCs w:val="24"/>
        </w:rPr>
      </w:pPr>
      <w:r w:rsidRPr="00AD4AF7">
        <w:rPr>
          <w:rFonts w:ascii="Times New Roman" w:eastAsia="Times New Roman" w:hAnsi="Times New Roman" w:cs="Times New Roman"/>
          <w:sz w:val="24"/>
          <w:szCs w:val="24"/>
        </w:rPr>
        <w:t xml:space="preserve">6.1 Model Architecture  </w:t>
      </w:r>
    </w:p>
    <w:p w14:paraId="64F98F47" w14:textId="34A80C4B" w:rsidR="00AD4AF7" w:rsidRPr="00AD4AF7" w:rsidRDefault="00AD4AF7" w:rsidP="00AD4AF7">
      <w:pPr>
        <w:spacing w:before="100" w:beforeAutospacing="1" w:after="100" w:afterAutospacing="1" w:line="240" w:lineRule="auto"/>
        <w:outlineLvl w:val="4"/>
        <w:rPr>
          <w:rFonts w:ascii="Times New Roman" w:eastAsia="Times New Roman" w:hAnsi="Times New Roman" w:cs="Times New Roman"/>
          <w:sz w:val="24"/>
          <w:szCs w:val="24"/>
        </w:rPr>
      </w:pPr>
      <w:r w:rsidRPr="00AD4AF7">
        <w:rPr>
          <w:rFonts w:ascii="Times New Roman" w:eastAsia="Times New Roman" w:hAnsi="Times New Roman" w:cs="Times New Roman"/>
          <w:sz w:val="24"/>
          <w:szCs w:val="24"/>
        </w:rPr>
        <w:t xml:space="preserve">- Random Forests: Constructed with 500 trees and a maximum depth of 10 to mitigate overfitting.  </w:t>
      </w:r>
    </w:p>
    <w:p w14:paraId="54FA82C4" w14:textId="505D62E6" w:rsidR="00AD4AF7" w:rsidRPr="00AD4AF7" w:rsidRDefault="00AD4AF7" w:rsidP="00AD4AF7">
      <w:pPr>
        <w:spacing w:before="100" w:beforeAutospacing="1" w:after="100" w:afterAutospacing="1" w:line="240" w:lineRule="auto"/>
        <w:outlineLvl w:val="4"/>
        <w:rPr>
          <w:rFonts w:ascii="Times New Roman" w:eastAsia="Times New Roman" w:hAnsi="Times New Roman" w:cs="Times New Roman"/>
          <w:sz w:val="24"/>
          <w:szCs w:val="24"/>
        </w:rPr>
      </w:pPr>
      <w:r w:rsidRPr="00AD4AF7">
        <w:rPr>
          <w:rFonts w:ascii="Times New Roman" w:eastAsia="Times New Roman" w:hAnsi="Times New Roman" w:cs="Times New Roman"/>
          <w:sz w:val="24"/>
          <w:szCs w:val="24"/>
        </w:rPr>
        <w:t xml:space="preserve">- Gradient Boosting Machines (GBM): Configured with a 0.1 learning rate and 1000 estimators for optimal performance.  </w:t>
      </w:r>
    </w:p>
    <w:p w14:paraId="2977693A" w14:textId="45DC5690" w:rsidR="00AD4AF7" w:rsidRPr="00AD4AF7" w:rsidRDefault="00AD4AF7" w:rsidP="00AD4AF7">
      <w:pPr>
        <w:spacing w:before="100" w:beforeAutospacing="1" w:after="100" w:afterAutospacing="1" w:line="240" w:lineRule="auto"/>
        <w:outlineLvl w:val="4"/>
        <w:rPr>
          <w:rFonts w:ascii="Times New Roman" w:eastAsia="Times New Roman" w:hAnsi="Times New Roman" w:cs="Times New Roman"/>
          <w:sz w:val="24"/>
          <w:szCs w:val="24"/>
        </w:rPr>
      </w:pPr>
      <w:r w:rsidRPr="00AD4AF7">
        <w:rPr>
          <w:rFonts w:ascii="Times New Roman" w:eastAsia="Times New Roman" w:hAnsi="Times New Roman" w:cs="Times New Roman"/>
          <w:sz w:val="24"/>
          <w:szCs w:val="24"/>
        </w:rPr>
        <w:t xml:space="preserve">- Deep Neural Networks (DNNs): Implemented a three-layer setup with 128, 64, and 32 neurons per layer using TensorFlow.  </w:t>
      </w:r>
    </w:p>
    <w:p w14:paraId="32B9CFD6" w14:textId="515DD7B3" w:rsidR="00AD4AF7" w:rsidRPr="00AD4AF7" w:rsidRDefault="00AD4AF7" w:rsidP="00AD4AF7">
      <w:pPr>
        <w:spacing w:before="100" w:beforeAutospacing="1" w:after="100" w:afterAutospacing="1" w:line="240" w:lineRule="auto"/>
        <w:outlineLvl w:val="4"/>
        <w:rPr>
          <w:rFonts w:ascii="Times New Roman" w:eastAsia="Times New Roman" w:hAnsi="Times New Roman" w:cs="Times New Roman"/>
          <w:sz w:val="24"/>
          <w:szCs w:val="24"/>
        </w:rPr>
      </w:pPr>
      <w:r w:rsidRPr="00AD4AF7">
        <w:rPr>
          <w:rFonts w:ascii="Times New Roman" w:eastAsia="Times New Roman" w:hAnsi="Times New Roman" w:cs="Times New Roman"/>
          <w:sz w:val="24"/>
          <w:szCs w:val="24"/>
        </w:rPr>
        <w:t xml:space="preserve">6.2 Hyperparameter Tuning  </w:t>
      </w:r>
    </w:p>
    <w:p w14:paraId="1D670841" w14:textId="6FEA4F85" w:rsidR="00AD4AF7" w:rsidRPr="00AD4AF7" w:rsidRDefault="00AD4AF7" w:rsidP="00AD4AF7">
      <w:pPr>
        <w:spacing w:before="100" w:beforeAutospacing="1" w:after="100" w:afterAutospacing="1" w:line="240" w:lineRule="auto"/>
        <w:outlineLvl w:val="4"/>
        <w:rPr>
          <w:rFonts w:ascii="Times New Roman" w:eastAsia="Times New Roman" w:hAnsi="Times New Roman" w:cs="Times New Roman"/>
          <w:sz w:val="24"/>
          <w:szCs w:val="24"/>
        </w:rPr>
      </w:pPr>
      <w:r w:rsidRPr="00AD4AF7">
        <w:rPr>
          <w:rFonts w:ascii="Times New Roman" w:eastAsia="Times New Roman" w:hAnsi="Times New Roman" w:cs="Times New Roman"/>
          <w:sz w:val="24"/>
          <w:szCs w:val="24"/>
        </w:rPr>
        <w:t>- Grid Search:</w:t>
      </w:r>
      <w:r w:rsidR="00ED59F6">
        <w:rPr>
          <w:rFonts w:ascii="Times New Roman" w:eastAsia="Times New Roman" w:hAnsi="Times New Roman" w:cs="Times New Roman"/>
          <w:sz w:val="24"/>
          <w:szCs w:val="24"/>
        </w:rPr>
        <w:t xml:space="preserve"> </w:t>
      </w:r>
      <w:r w:rsidRPr="00AD4AF7">
        <w:rPr>
          <w:rFonts w:ascii="Times New Roman" w:eastAsia="Times New Roman" w:hAnsi="Times New Roman" w:cs="Times New Roman"/>
          <w:sz w:val="24"/>
          <w:szCs w:val="24"/>
        </w:rPr>
        <w:t xml:space="preserve">Utilized to identify optimal hyperparameters for each model.  </w:t>
      </w:r>
    </w:p>
    <w:p w14:paraId="14B47258" w14:textId="79F0DF30" w:rsidR="00AD4AF7" w:rsidRPr="00AD4AF7" w:rsidRDefault="00AD4AF7" w:rsidP="00AD4AF7">
      <w:pPr>
        <w:spacing w:before="100" w:beforeAutospacing="1" w:after="100" w:afterAutospacing="1" w:line="240" w:lineRule="auto"/>
        <w:outlineLvl w:val="4"/>
        <w:rPr>
          <w:rFonts w:ascii="Times New Roman" w:eastAsia="Times New Roman" w:hAnsi="Times New Roman" w:cs="Times New Roman"/>
          <w:sz w:val="24"/>
          <w:szCs w:val="24"/>
        </w:rPr>
      </w:pPr>
      <w:r w:rsidRPr="00AD4AF7">
        <w:rPr>
          <w:rFonts w:ascii="Times New Roman" w:eastAsia="Times New Roman" w:hAnsi="Times New Roman" w:cs="Times New Roman"/>
          <w:sz w:val="24"/>
          <w:szCs w:val="24"/>
        </w:rPr>
        <w:t xml:space="preserve">- Cross-Validation: 5-fold cross-validation ensured robust performance evaluations.  </w:t>
      </w:r>
    </w:p>
    <w:p w14:paraId="530EE016" w14:textId="293A44C7" w:rsidR="00AD4AF7" w:rsidRPr="00AD4AF7" w:rsidRDefault="00AD4AF7" w:rsidP="00AD4AF7">
      <w:pPr>
        <w:spacing w:before="100" w:beforeAutospacing="1" w:after="100" w:afterAutospacing="1" w:line="240" w:lineRule="auto"/>
        <w:outlineLvl w:val="4"/>
        <w:rPr>
          <w:rFonts w:ascii="Times New Roman" w:eastAsia="Times New Roman" w:hAnsi="Times New Roman" w:cs="Times New Roman"/>
          <w:sz w:val="24"/>
          <w:szCs w:val="24"/>
        </w:rPr>
      </w:pPr>
      <w:r w:rsidRPr="00AD4AF7">
        <w:rPr>
          <w:rFonts w:ascii="Times New Roman" w:eastAsia="Times New Roman" w:hAnsi="Times New Roman" w:cs="Times New Roman"/>
          <w:sz w:val="24"/>
          <w:szCs w:val="24"/>
        </w:rPr>
        <w:t xml:space="preserve">6.3 Explainable AI (XAI) Techniques  </w:t>
      </w:r>
    </w:p>
    <w:p w14:paraId="7CB78561" w14:textId="48A7C577" w:rsidR="00AD4AF7" w:rsidRPr="00AD4AF7" w:rsidRDefault="00AD4AF7" w:rsidP="00AD4AF7">
      <w:pPr>
        <w:spacing w:before="100" w:beforeAutospacing="1" w:after="100" w:afterAutospacing="1" w:line="240" w:lineRule="auto"/>
        <w:outlineLvl w:val="4"/>
        <w:rPr>
          <w:rFonts w:ascii="Times New Roman" w:eastAsia="Times New Roman" w:hAnsi="Times New Roman" w:cs="Times New Roman"/>
          <w:sz w:val="24"/>
          <w:szCs w:val="24"/>
        </w:rPr>
      </w:pPr>
      <w:r w:rsidRPr="00AD4AF7">
        <w:rPr>
          <w:rFonts w:ascii="Times New Roman" w:eastAsia="Times New Roman" w:hAnsi="Times New Roman" w:cs="Times New Roman"/>
          <w:sz w:val="24"/>
          <w:szCs w:val="24"/>
        </w:rPr>
        <w:t xml:space="preserve">- SHAP Values: Applied to quantify each feature's contribution to predictions.  </w:t>
      </w:r>
    </w:p>
    <w:p w14:paraId="58F7CE29" w14:textId="07A90E04" w:rsidR="00AD4AF7" w:rsidRPr="00AD4AF7" w:rsidRDefault="00AD4AF7" w:rsidP="006E3DC9">
      <w:pPr>
        <w:spacing w:before="100" w:beforeAutospacing="1" w:after="100" w:afterAutospacing="1" w:line="240" w:lineRule="auto"/>
        <w:outlineLvl w:val="4"/>
        <w:rPr>
          <w:rFonts w:ascii="Times New Roman" w:eastAsia="Times New Roman" w:hAnsi="Times New Roman" w:cs="Times New Roman"/>
          <w:sz w:val="24"/>
          <w:szCs w:val="24"/>
          <w:highlight w:val="yellow"/>
        </w:rPr>
      </w:pPr>
      <w:r w:rsidRPr="00AD4AF7">
        <w:rPr>
          <w:rFonts w:ascii="Times New Roman" w:eastAsia="Times New Roman" w:hAnsi="Times New Roman" w:cs="Times New Roman"/>
          <w:sz w:val="24"/>
          <w:szCs w:val="24"/>
        </w:rPr>
        <w:t xml:space="preserve">- LIME: Used to generate instance-level explanations, enhancing model interpretability.  </w:t>
      </w:r>
    </w:p>
    <w:p w14:paraId="44247AB6" w14:textId="2AE19623" w:rsidR="00ED59F6" w:rsidRPr="00111086" w:rsidRDefault="00ED59F6" w:rsidP="00111086">
      <w:pPr>
        <w:spacing w:before="100" w:beforeAutospacing="1" w:after="100" w:afterAutospacing="1" w:line="240" w:lineRule="auto"/>
        <w:outlineLvl w:val="3"/>
        <w:rPr>
          <w:rFonts w:ascii="Times New Roman" w:eastAsia="Times New Roman" w:hAnsi="Times New Roman" w:cs="Times New Roman"/>
          <w:sz w:val="24"/>
          <w:szCs w:val="24"/>
        </w:rPr>
      </w:pPr>
      <w:r w:rsidRPr="00ED59F6">
        <w:rPr>
          <w:rFonts w:ascii="Times New Roman" w:eastAsia="Times New Roman" w:hAnsi="Times New Roman" w:cs="Times New Roman"/>
          <w:b/>
          <w:bCs/>
          <w:sz w:val="24"/>
          <w:szCs w:val="24"/>
        </w:rPr>
        <w:t xml:space="preserve">7. Training, Testing, and Validation  </w:t>
      </w:r>
    </w:p>
    <w:p w14:paraId="46846585" w14:textId="200D8602" w:rsidR="00ED59F6" w:rsidRPr="00ED59F6" w:rsidRDefault="00ED59F6" w:rsidP="00ED59F6">
      <w:pPr>
        <w:spacing w:before="100" w:beforeAutospacing="1" w:after="100" w:afterAutospacing="1" w:line="240" w:lineRule="auto"/>
        <w:rPr>
          <w:rFonts w:ascii="Times New Roman" w:eastAsia="Times New Roman" w:hAnsi="Times New Roman" w:cs="Times New Roman"/>
          <w:sz w:val="24"/>
          <w:szCs w:val="24"/>
        </w:rPr>
      </w:pPr>
      <w:r w:rsidRPr="00ED59F6">
        <w:rPr>
          <w:rFonts w:ascii="Times New Roman" w:eastAsia="Times New Roman" w:hAnsi="Times New Roman" w:cs="Times New Roman"/>
          <w:sz w:val="24"/>
          <w:szCs w:val="24"/>
        </w:rPr>
        <w:lastRenderedPageBreak/>
        <w:t xml:space="preserve">- Training and Testing: The dataset was divided into training (70%) and testing (30%) subsets. Performance metrics, including accuracy, precision, recall, F1-score, and AUC-ROC, were calculated for each model.  </w:t>
      </w:r>
    </w:p>
    <w:p w14:paraId="60376B24" w14:textId="45965F22" w:rsidR="00ED59F6" w:rsidRPr="00ED59F6" w:rsidRDefault="00ED59F6" w:rsidP="00ED59F6">
      <w:pPr>
        <w:spacing w:before="100" w:beforeAutospacing="1" w:after="100" w:afterAutospacing="1" w:line="240" w:lineRule="auto"/>
        <w:rPr>
          <w:rFonts w:ascii="Times New Roman" w:eastAsia="Times New Roman" w:hAnsi="Times New Roman" w:cs="Times New Roman"/>
          <w:sz w:val="24"/>
          <w:szCs w:val="24"/>
        </w:rPr>
      </w:pPr>
      <w:r w:rsidRPr="00ED59F6">
        <w:rPr>
          <w:rFonts w:ascii="Times New Roman" w:eastAsia="Times New Roman" w:hAnsi="Times New Roman" w:cs="Times New Roman"/>
          <w:sz w:val="24"/>
          <w:szCs w:val="24"/>
        </w:rPr>
        <w:t xml:space="preserve">- External Validation: Independent data from two UAE healthcare centers was used for validation. Model performance was compared across internal and external datasets to assess generalizability.  </w:t>
      </w:r>
    </w:p>
    <w:p w14:paraId="49163D63" w14:textId="1AA066B9" w:rsidR="00ED59F6" w:rsidRPr="00ED59F6" w:rsidRDefault="00ED59F6" w:rsidP="00ED59F6">
      <w:pPr>
        <w:spacing w:before="100" w:beforeAutospacing="1" w:after="100" w:afterAutospacing="1" w:line="240" w:lineRule="auto"/>
        <w:rPr>
          <w:rFonts w:ascii="Times New Roman" w:eastAsia="Times New Roman" w:hAnsi="Times New Roman" w:cs="Times New Roman"/>
          <w:sz w:val="24"/>
          <w:szCs w:val="24"/>
        </w:rPr>
      </w:pPr>
      <w:r w:rsidRPr="00ED59F6">
        <w:rPr>
          <w:rFonts w:ascii="Times New Roman" w:eastAsia="Times New Roman" w:hAnsi="Times New Roman" w:cs="Times New Roman"/>
          <w:sz w:val="24"/>
          <w:szCs w:val="24"/>
        </w:rPr>
        <w:t xml:space="preserve">- Expert Validation: Local clinical experts reviewed the predictions for clinical relevance, and the model was refined based on their feedback to align with real-world practices.  </w:t>
      </w:r>
    </w:p>
    <w:p w14:paraId="61234376" w14:textId="24350947" w:rsidR="00ED59F6" w:rsidRPr="00ED59F6" w:rsidRDefault="00ED59F6" w:rsidP="00ED59F6">
      <w:pPr>
        <w:spacing w:before="100" w:beforeAutospacing="1" w:after="100" w:afterAutospacing="1" w:line="240" w:lineRule="auto"/>
        <w:rPr>
          <w:rFonts w:ascii="Times New Roman" w:eastAsia="Times New Roman" w:hAnsi="Times New Roman" w:cs="Times New Roman"/>
          <w:b/>
          <w:bCs/>
          <w:sz w:val="24"/>
          <w:szCs w:val="24"/>
        </w:rPr>
      </w:pPr>
      <w:r w:rsidRPr="00ED59F6">
        <w:rPr>
          <w:rFonts w:ascii="Times New Roman" w:eastAsia="Times New Roman" w:hAnsi="Times New Roman" w:cs="Times New Roman"/>
          <w:b/>
          <w:bCs/>
          <w:sz w:val="24"/>
          <w:szCs w:val="24"/>
        </w:rPr>
        <w:t xml:space="preserve">8. Integration into CDSS for Personalized Therapy </w:t>
      </w:r>
    </w:p>
    <w:p w14:paraId="20DFFE6E" w14:textId="77777777" w:rsidR="00ED59F6" w:rsidRPr="00ED59F6" w:rsidRDefault="00ED59F6" w:rsidP="00ED59F6">
      <w:pPr>
        <w:spacing w:before="100" w:beforeAutospacing="1" w:after="100" w:afterAutospacing="1" w:line="240" w:lineRule="auto"/>
        <w:rPr>
          <w:rFonts w:ascii="Times New Roman" w:eastAsia="Times New Roman" w:hAnsi="Times New Roman" w:cs="Times New Roman"/>
          <w:sz w:val="24"/>
          <w:szCs w:val="24"/>
        </w:rPr>
      </w:pPr>
      <w:r w:rsidRPr="00ED59F6">
        <w:rPr>
          <w:rFonts w:ascii="Times New Roman" w:eastAsia="Times New Roman" w:hAnsi="Times New Roman" w:cs="Times New Roman"/>
          <w:sz w:val="24"/>
          <w:szCs w:val="24"/>
        </w:rPr>
        <w:t xml:space="preserve">The AI model was incorporated into a clinical decision support system (CDSS) for real-time and automated adjustments in DAPT recommendations:  </w:t>
      </w:r>
    </w:p>
    <w:p w14:paraId="4C307F67" w14:textId="77777777" w:rsidR="00ED59F6" w:rsidRPr="00ED59F6" w:rsidRDefault="00ED59F6" w:rsidP="00ED59F6">
      <w:pPr>
        <w:spacing w:before="100" w:beforeAutospacing="1" w:after="100" w:afterAutospacing="1" w:line="240" w:lineRule="auto"/>
        <w:rPr>
          <w:rFonts w:ascii="Times New Roman" w:eastAsia="Times New Roman" w:hAnsi="Times New Roman" w:cs="Times New Roman"/>
          <w:sz w:val="24"/>
          <w:szCs w:val="24"/>
        </w:rPr>
      </w:pPr>
      <w:r w:rsidRPr="00ED59F6">
        <w:rPr>
          <w:rFonts w:ascii="Times New Roman" w:eastAsia="Times New Roman" w:hAnsi="Times New Roman" w:cs="Times New Roman"/>
          <w:sz w:val="24"/>
          <w:szCs w:val="24"/>
        </w:rPr>
        <w:t xml:space="preserve">- The model dynamically monitored risk scores, modifying DAPT strategies as patient data evolved.  </w:t>
      </w:r>
    </w:p>
    <w:p w14:paraId="7B946A28" w14:textId="77777777" w:rsidR="00ED59F6" w:rsidRPr="00ED59F6" w:rsidRDefault="00ED59F6" w:rsidP="00ED59F6">
      <w:pPr>
        <w:spacing w:before="100" w:beforeAutospacing="1" w:after="100" w:afterAutospacing="1" w:line="240" w:lineRule="auto"/>
        <w:rPr>
          <w:rFonts w:ascii="Times New Roman" w:eastAsia="Times New Roman" w:hAnsi="Times New Roman" w:cs="Times New Roman"/>
          <w:sz w:val="24"/>
          <w:szCs w:val="24"/>
        </w:rPr>
      </w:pPr>
      <w:r w:rsidRPr="00ED59F6">
        <w:rPr>
          <w:rFonts w:ascii="Times New Roman" w:eastAsia="Times New Roman" w:hAnsi="Times New Roman" w:cs="Times New Roman"/>
          <w:sz w:val="24"/>
          <w:szCs w:val="24"/>
        </w:rPr>
        <w:t xml:space="preserve">- AI-derived probability scores guided therapy decisions to balance ischemic and bleeding risks in high-risk patients.  </w:t>
      </w:r>
    </w:p>
    <w:p w14:paraId="70D4B1E7" w14:textId="2527860E" w:rsidR="00ED59F6" w:rsidRPr="00ED59F6" w:rsidRDefault="00ED59F6" w:rsidP="00ED59F6">
      <w:pPr>
        <w:spacing w:before="100" w:beforeAutospacing="1" w:after="100" w:afterAutospacing="1" w:line="240" w:lineRule="auto"/>
        <w:rPr>
          <w:rFonts w:ascii="Times New Roman" w:eastAsia="Times New Roman" w:hAnsi="Times New Roman" w:cs="Times New Roman"/>
          <w:b/>
          <w:bCs/>
          <w:sz w:val="24"/>
          <w:szCs w:val="24"/>
        </w:rPr>
      </w:pPr>
      <w:r w:rsidRPr="00ED59F6">
        <w:rPr>
          <w:rFonts w:ascii="Times New Roman" w:eastAsia="Times New Roman" w:hAnsi="Times New Roman" w:cs="Times New Roman"/>
          <w:b/>
          <w:bCs/>
          <w:sz w:val="24"/>
          <w:szCs w:val="24"/>
        </w:rPr>
        <w:t xml:space="preserve">9. Calibration and Probability Thresholds  </w:t>
      </w:r>
    </w:p>
    <w:p w14:paraId="2AB9E2F4" w14:textId="4472C6F1" w:rsidR="00ED59F6" w:rsidRPr="00ED59F6" w:rsidRDefault="00ED59F6" w:rsidP="00ED59F6">
      <w:pPr>
        <w:spacing w:before="100" w:beforeAutospacing="1" w:after="100" w:afterAutospacing="1" w:line="240" w:lineRule="auto"/>
        <w:rPr>
          <w:rFonts w:ascii="Times New Roman" w:eastAsia="Times New Roman" w:hAnsi="Times New Roman" w:cs="Times New Roman"/>
          <w:sz w:val="24"/>
          <w:szCs w:val="24"/>
        </w:rPr>
      </w:pPr>
      <w:r w:rsidRPr="00ED59F6">
        <w:rPr>
          <w:rFonts w:ascii="Times New Roman" w:eastAsia="Times New Roman" w:hAnsi="Times New Roman" w:cs="Times New Roman"/>
          <w:sz w:val="24"/>
          <w:szCs w:val="24"/>
        </w:rPr>
        <w:t xml:space="preserve">- Calibration:  </w:t>
      </w:r>
    </w:p>
    <w:p w14:paraId="3844842E" w14:textId="77777777" w:rsidR="00ED59F6" w:rsidRPr="00ED59F6" w:rsidRDefault="00ED59F6" w:rsidP="00ED59F6">
      <w:pPr>
        <w:spacing w:before="100" w:beforeAutospacing="1" w:after="100" w:afterAutospacing="1" w:line="240" w:lineRule="auto"/>
        <w:rPr>
          <w:rFonts w:ascii="Times New Roman" w:eastAsia="Times New Roman" w:hAnsi="Times New Roman" w:cs="Times New Roman"/>
          <w:sz w:val="24"/>
          <w:szCs w:val="24"/>
        </w:rPr>
      </w:pPr>
      <w:r w:rsidRPr="00ED59F6">
        <w:rPr>
          <w:rFonts w:ascii="Times New Roman" w:eastAsia="Times New Roman" w:hAnsi="Times New Roman" w:cs="Times New Roman"/>
          <w:sz w:val="24"/>
          <w:szCs w:val="24"/>
        </w:rPr>
        <w:t xml:space="preserve">  - Model 1 overestimated ischemic risks (15–25%) during the 6–12 month period.  </w:t>
      </w:r>
    </w:p>
    <w:p w14:paraId="378FB4E0" w14:textId="77777777" w:rsidR="00ED59F6" w:rsidRPr="00ED59F6" w:rsidRDefault="00ED59F6" w:rsidP="00ED59F6">
      <w:pPr>
        <w:spacing w:before="100" w:beforeAutospacing="1" w:after="100" w:afterAutospacing="1" w:line="240" w:lineRule="auto"/>
        <w:rPr>
          <w:rFonts w:ascii="Times New Roman" w:eastAsia="Times New Roman" w:hAnsi="Times New Roman" w:cs="Times New Roman"/>
          <w:sz w:val="24"/>
          <w:szCs w:val="24"/>
        </w:rPr>
      </w:pPr>
      <w:r w:rsidRPr="00ED59F6">
        <w:rPr>
          <w:rFonts w:ascii="Times New Roman" w:eastAsia="Times New Roman" w:hAnsi="Times New Roman" w:cs="Times New Roman"/>
          <w:sz w:val="24"/>
          <w:szCs w:val="24"/>
        </w:rPr>
        <w:t xml:space="preserve">  - Model 2 achieved better accuracy, aligning observed and predicted risks within a 10% variance.  </w:t>
      </w:r>
    </w:p>
    <w:p w14:paraId="1F1AB8E3" w14:textId="4B60F763" w:rsidR="00ED59F6" w:rsidRPr="00ED59F6" w:rsidRDefault="00ED59F6" w:rsidP="00ED59F6">
      <w:pPr>
        <w:spacing w:before="100" w:beforeAutospacing="1" w:after="100" w:afterAutospacing="1" w:line="240" w:lineRule="auto"/>
        <w:rPr>
          <w:rFonts w:ascii="Times New Roman" w:eastAsia="Times New Roman" w:hAnsi="Times New Roman" w:cs="Times New Roman"/>
          <w:sz w:val="24"/>
          <w:szCs w:val="24"/>
        </w:rPr>
      </w:pPr>
      <w:r w:rsidRPr="00ED59F6">
        <w:rPr>
          <w:rFonts w:ascii="Times New Roman" w:eastAsia="Times New Roman" w:hAnsi="Times New Roman" w:cs="Times New Roman"/>
          <w:sz w:val="24"/>
          <w:szCs w:val="24"/>
        </w:rPr>
        <w:t xml:space="preserve">- Risk Thresholds: </w:t>
      </w:r>
    </w:p>
    <w:p w14:paraId="5F33A931" w14:textId="11DB3B23" w:rsidR="00ED59F6" w:rsidRPr="00ED59F6" w:rsidRDefault="00ED59F6" w:rsidP="00ED59F6">
      <w:pPr>
        <w:spacing w:before="100" w:beforeAutospacing="1" w:after="100" w:afterAutospacing="1" w:line="240" w:lineRule="auto"/>
        <w:rPr>
          <w:rFonts w:ascii="Times New Roman" w:eastAsia="Times New Roman" w:hAnsi="Times New Roman" w:cs="Times New Roman"/>
          <w:sz w:val="24"/>
          <w:szCs w:val="24"/>
        </w:rPr>
      </w:pPr>
      <w:r w:rsidRPr="00ED59F6">
        <w:rPr>
          <w:rFonts w:ascii="Times New Roman" w:eastAsia="Times New Roman" w:hAnsi="Times New Roman" w:cs="Times New Roman"/>
          <w:sz w:val="24"/>
          <w:szCs w:val="24"/>
        </w:rPr>
        <w:t xml:space="preserve">  - Ischemic Risk: A threshold of 15% prompted prolonged DAPT.  </w:t>
      </w:r>
    </w:p>
    <w:p w14:paraId="5BEE96A3" w14:textId="38E3E4C5" w:rsidR="00ED59F6" w:rsidRPr="00ED59F6" w:rsidRDefault="00ED59F6" w:rsidP="00ED59F6">
      <w:pPr>
        <w:spacing w:before="100" w:beforeAutospacing="1" w:after="100" w:afterAutospacing="1" w:line="240" w:lineRule="auto"/>
        <w:rPr>
          <w:rFonts w:ascii="Times New Roman" w:eastAsia="Times New Roman" w:hAnsi="Times New Roman" w:cs="Times New Roman"/>
          <w:sz w:val="24"/>
          <w:szCs w:val="24"/>
        </w:rPr>
      </w:pPr>
      <w:r w:rsidRPr="00ED59F6">
        <w:rPr>
          <w:rFonts w:ascii="Times New Roman" w:eastAsia="Times New Roman" w:hAnsi="Times New Roman" w:cs="Times New Roman"/>
          <w:sz w:val="24"/>
          <w:szCs w:val="24"/>
        </w:rPr>
        <w:t xml:space="preserve">  - Bleeding Risk: A threshold of 10% suggested DAPT de-escalation.  </w:t>
      </w:r>
    </w:p>
    <w:p w14:paraId="6B15E33F" w14:textId="77777777" w:rsidR="00ED59F6" w:rsidRPr="00ED59F6" w:rsidRDefault="00ED59F6" w:rsidP="00ED59F6">
      <w:pPr>
        <w:spacing w:before="100" w:beforeAutospacing="1" w:after="100" w:afterAutospacing="1" w:line="240" w:lineRule="auto"/>
        <w:rPr>
          <w:rFonts w:ascii="Times New Roman" w:eastAsia="Times New Roman" w:hAnsi="Times New Roman" w:cs="Times New Roman"/>
          <w:sz w:val="24"/>
          <w:szCs w:val="24"/>
        </w:rPr>
      </w:pPr>
      <w:r w:rsidRPr="00ED59F6">
        <w:rPr>
          <w:rFonts w:ascii="Times New Roman" w:eastAsia="Times New Roman" w:hAnsi="Times New Roman" w:cs="Times New Roman"/>
          <w:sz w:val="24"/>
          <w:szCs w:val="24"/>
        </w:rPr>
        <w:t xml:space="preserve">  Thresholds were determined using Youden’s Index and Decision Curve Analysis to optimize clinical decisions and avoid unnecessary complications.  </w:t>
      </w:r>
    </w:p>
    <w:p w14:paraId="60B24CE0" w14:textId="5DEFBF7C" w:rsidR="00ED59F6" w:rsidRPr="00ED59F6" w:rsidRDefault="00ED59F6" w:rsidP="00ED59F6">
      <w:pPr>
        <w:spacing w:before="100" w:beforeAutospacing="1" w:after="100" w:afterAutospacing="1" w:line="240" w:lineRule="auto"/>
        <w:rPr>
          <w:rFonts w:ascii="Times New Roman" w:eastAsia="Times New Roman" w:hAnsi="Times New Roman" w:cs="Times New Roman"/>
          <w:b/>
          <w:bCs/>
          <w:sz w:val="24"/>
          <w:szCs w:val="24"/>
        </w:rPr>
      </w:pPr>
      <w:r w:rsidRPr="00ED59F6">
        <w:rPr>
          <w:rFonts w:ascii="Times New Roman" w:eastAsia="Times New Roman" w:hAnsi="Times New Roman" w:cs="Times New Roman"/>
          <w:b/>
          <w:bCs/>
          <w:sz w:val="24"/>
          <w:szCs w:val="24"/>
        </w:rPr>
        <w:t xml:space="preserve">10. Genetic Risk Stratification and Secondary Analysis  </w:t>
      </w:r>
    </w:p>
    <w:p w14:paraId="333C2676" w14:textId="0A5F2500" w:rsidR="00ED59F6" w:rsidRPr="00ED59F6" w:rsidRDefault="00ED59F6" w:rsidP="00ED59F6">
      <w:pPr>
        <w:spacing w:before="100" w:beforeAutospacing="1" w:after="100" w:afterAutospacing="1" w:line="240" w:lineRule="auto"/>
        <w:rPr>
          <w:rFonts w:ascii="Times New Roman" w:eastAsia="Times New Roman" w:hAnsi="Times New Roman" w:cs="Times New Roman"/>
          <w:sz w:val="24"/>
          <w:szCs w:val="24"/>
        </w:rPr>
      </w:pPr>
      <w:r w:rsidRPr="00ED59F6">
        <w:rPr>
          <w:rFonts w:ascii="Times New Roman" w:eastAsia="Times New Roman" w:hAnsi="Times New Roman" w:cs="Times New Roman"/>
          <w:sz w:val="24"/>
          <w:szCs w:val="24"/>
        </w:rPr>
        <w:t xml:space="preserve">- CYP2C19*2 Polymorphisms: Urban patients with this genetic variant faced an 18–25% higher ischemic risk due to poor clopidogrel metabolism.  </w:t>
      </w:r>
    </w:p>
    <w:p w14:paraId="259C44BA" w14:textId="4417A08B" w:rsidR="00ED59F6" w:rsidRPr="00ED59F6" w:rsidRDefault="00ED59F6" w:rsidP="00ED59F6">
      <w:pPr>
        <w:spacing w:before="100" w:beforeAutospacing="1" w:after="100" w:afterAutospacing="1" w:line="240" w:lineRule="auto"/>
        <w:rPr>
          <w:rFonts w:ascii="Times New Roman" w:eastAsia="Times New Roman" w:hAnsi="Times New Roman" w:cs="Times New Roman"/>
          <w:sz w:val="24"/>
          <w:szCs w:val="24"/>
        </w:rPr>
      </w:pPr>
      <w:r w:rsidRPr="00ED59F6">
        <w:rPr>
          <w:rFonts w:ascii="Times New Roman" w:eastAsia="Times New Roman" w:hAnsi="Times New Roman" w:cs="Times New Roman"/>
          <w:sz w:val="24"/>
          <w:szCs w:val="24"/>
        </w:rPr>
        <w:lastRenderedPageBreak/>
        <w:t xml:space="preserve">- Ethnic Risk Variability: Unique pharmacokinetics in Arab populations required AI model recalibration for tailored DAPT strategies.  </w:t>
      </w:r>
    </w:p>
    <w:p w14:paraId="7E6B8640" w14:textId="219FFC3B" w:rsidR="00ED59F6" w:rsidRDefault="00ED59F6" w:rsidP="00ED59F6">
      <w:pPr>
        <w:spacing w:before="100" w:beforeAutospacing="1" w:after="100" w:afterAutospacing="1" w:line="240" w:lineRule="auto"/>
        <w:rPr>
          <w:rFonts w:ascii="Times New Roman" w:eastAsia="Times New Roman" w:hAnsi="Times New Roman" w:cs="Times New Roman"/>
          <w:sz w:val="24"/>
          <w:szCs w:val="24"/>
        </w:rPr>
      </w:pPr>
      <w:r w:rsidRPr="00ED59F6">
        <w:rPr>
          <w:rFonts w:ascii="Times New Roman" w:eastAsia="Times New Roman" w:hAnsi="Times New Roman" w:cs="Times New Roman"/>
          <w:sz w:val="24"/>
          <w:szCs w:val="24"/>
        </w:rPr>
        <w:t>These findings underscore the importance of ethnic-specific risk stratification to improve the applicability and effectiveness of AI-driven DAPT personalization.</w:t>
      </w:r>
    </w:p>
    <w:p w14:paraId="5CEC9BBB" w14:textId="77777777" w:rsidR="00AC415B" w:rsidRDefault="00AC415B" w:rsidP="004567DA">
      <w:pPr>
        <w:spacing w:before="100" w:beforeAutospacing="1" w:after="100" w:afterAutospacing="1" w:line="240" w:lineRule="auto"/>
        <w:outlineLvl w:val="3"/>
        <w:rPr>
          <w:rFonts w:ascii="Times New Roman" w:eastAsia="Times New Roman" w:hAnsi="Times New Roman" w:cs="Times New Roman"/>
          <w:sz w:val="24"/>
          <w:szCs w:val="24"/>
        </w:rPr>
      </w:pPr>
    </w:p>
    <w:p w14:paraId="6BAD79DF" w14:textId="7B8B5C7B" w:rsidR="004567DA" w:rsidRDefault="00E50A51" w:rsidP="004567DA">
      <w:pPr>
        <w:spacing w:before="100" w:beforeAutospacing="1" w:after="100" w:afterAutospacing="1" w:line="240" w:lineRule="auto"/>
        <w:outlineLvl w:val="3"/>
        <w:rPr>
          <w:rFonts w:ascii="Times New Roman" w:eastAsia="Times New Roman" w:hAnsi="Times New Roman" w:cs="Times New Roman"/>
          <w:b/>
          <w:bCs/>
          <w:sz w:val="24"/>
          <w:szCs w:val="24"/>
        </w:rPr>
      </w:pPr>
      <w:r w:rsidRPr="00111086">
        <w:rPr>
          <w:rFonts w:ascii="Times New Roman" w:eastAsia="Times New Roman" w:hAnsi="Times New Roman" w:cs="Times New Roman"/>
          <w:b/>
          <w:bCs/>
          <w:sz w:val="24"/>
          <w:szCs w:val="24"/>
        </w:rPr>
        <w:t xml:space="preserve">12. </w:t>
      </w:r>
      <w:r w:rsidR="004567DA" w:rsidRPr="006E3DC9">
        <w:rPr>
          <w:rFonts w:ascii="Times New Roman" w:eastAsia="Times New Roman" w:hAnsi="Times New Roman" w:cs="Times New Roman"/>
          <w:b/>
          <w:bCs/>
          <w:sz w:val="24"/>
          <w:szCs w:val="24"/>
        </w:rPr>
        <w:t>Supplementary Results</w:t>
      </w:r>
    </w:p>
    <w:p w14:paraId="75B3B6D8" w14:textId="77777777" w:rsidR="006E3DC9" w:rsidRPr="00531B7B" w:rsidRDefault="006E3DC9" w:rsidP="006E3DC9">
      <w:pPr>
        <w:spacing w:before="100" w:beforeAutospacing="1" w:after="100" w:afterAutospacing="1" w:line="240" w:lineRule="auto"/>
        <w:rPr>
          <w:rFonts w:ascii="Times New Roman" w:eastAsia="Times New Roman" w:hAnsi="Times New Roman" w:cs="Times New Roman"/>
          <w:sz w:val="24"/>
          <w:szCs w:val="24"/>
        </w:rPr>
      </w:pPr>
      <w:r w:rsidRPr="00531B7B">
        <w:rPr>
          <w:rFonts w:ascii="Times New Roman" w:eastAsia="Times New Roman" w:hAnsi="Times New Roman" w:cs="Times New Roman"/>
          <w:b/>
          <w:bCs/>
          <w:sz w:val="24"/>
          <w:szCs w:val="24"/>
        </w:rPr>
        <w:t>Supplementary Tables:</w:t>
      </w:r>
    </w:p>
    <w:p w14:paraId="0A7A6CB7" w14:textId="77777777" w:rsidR="006E3DC9" w:rsidRPr="00531B7B" w:rsidRDefault="006E3DC9" w:rsidP="006E3DC9">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531B7B">
        <w:rPr>
          <w:rFonts w:ascii="Times New Roman" w:eastAsia="Times New Roman" w:hAnsi="Times New Roman" w:cs="Times New Roman"/>
          <w:b/>
          <w:bCs/>
          <w:sz w:val="24"/>
          <w:szCs w:val="24"/>
        </w:rPr>
        <w:t>S1:</w:t>
      </w:r>
      <w:r w:rsidRPr="00531B7B">
        <w:rPr>
          <w:rFonts w:ascii="Times New Roman" w:eastAsia="Times New Roman" w:hAnsi="Times New Roman" w:cs="Times New Roman"/>
          <w:sz w:val="24"/>
          <w:szCs w:val="24"/>
        </w:rPr>
        <w:t xml:space="preserve"> Provides detailed coding classifications for ischemic and bleeding endpoints, ensuring data accuracy and standardized event identification.</w:t>
      </w:r>
    </w:p>
    <w:p w14:paraId="15A95FDB" w14:textId="77777777" w:rsidR="006E3DC9" w:rsidRPr="00531B7B" w:rsidRDefault="006E3DC9" w:rsidP="006E3DC9">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531B7B">
        <w:rPr>
          <w:rFonts w:ascii="Times New Roman" w:eastAsia="Times New Roman" w:hAnsi="Times New Roman" w:cs="Times New Roman"/>
          <w:b/>
          <w:bCs/>
          <w:sz w:val="24"/>
          <w:szCs w:val="24"/>
        </w:rPr>
        <w:t>S2:</w:t>
      </w:r>
      <w:r w:rsidRPr="00531B7B">
        <w:rPr>
          <w:rFonts w:ascii="Times New Roman" w:eastAsia="Times New Roman" w:hAnsi="Times New Roman" w:cs="Times New Roman"/>
          <w:sz w:val="24"/>
          <w:szCs w:val="24"/>
        </w:rPr>
        <w:t xml:space="preserve"> Expands on DAPT and co-medications, essential for understanding pharmacologic interactions affecting ischemic and bleeding risks.</w:t>
      </w:r>
    </w:p>
    <w:p w14:paraId="1DCF10F4" w14:textId="77777777" w:rsidR="006E3DC9" w:rsidRPr="00531B7B" w:rsidRDefault="006E3DC9" w:rsidP="006E3DC9">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531B7B">
        <w:rPr>
          <w:rFonts w:ascii="Times New Roman" w:eastAsia="Times New Roman" w:hAnsi="Times New Roman" w:cs="Times New Roman"/>
          <w:b/>
          <w:bCs/>
          <w:sz w:val="24"/>
          <w:szCs w:val="24"/>
        </w:rPr>
        <w:t>S3:</w:t>
      </w:r>
      <w:r w:rsidRPr="00531B7B">
        <w:rPr>
          <w:rFonts w:ascii="Times New Roman" w:eastAsia="Times New Roman" w:hAnsi="Times New Roman" w:cs="Times New Roman"/>
          <w:sz w:val="24"/>
          <w:szCs w:val="24"/>
        </w:rPr>
        <w:t xml:space="preserve"> Lists standardized medical codes for drug-eluting stent implantation, which is critical for linking procedural details to clinical outcomes.</w:t>
      </w:r>
    </w:p>
    <w:p w14:paraId="2BCA238E" w14:textId="77777777" w:rsidR="006E3DC9" w:rsidRPr="00531B7B" w:rsidRDefault="006E3DC9" w:rsidP="006E3DC9">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531B7B">
        <w:rPr>
          <w:rFonts w:ascii="Times New Roman" w:eastAsia="Times New Roman" w:hAnsi="Times New Roman" w:cs="Times New Roman"/>
          <w:b/>
          <w:bCs/>
          <w:sz w:val="24"/>
          <w:szCs w:val="24"/>
        </w:rPr>
        <w:t>S4:</w:t>
      </w:r>
      <w:r w:rsidRPr="00531B7B">
        <w:rPr>
          <w:rFonts w:ascii="Times New Roman" w:eastAsia="Times New Roman" w:hAnsi="Times New Roman" w:cs="Times New Roman"/>
          <w:sz w:val="24"/>
          <w:szCs w:val="24"/>
        </w:rPr>
        <w:t xml:space="preserve"> Compares AI-DAPT models against baseline models, supporting the validity of AI-driven risk prediction.</w:t>
      </w:r>
    </w:p>
    <w:p w14:paraId="04C2B9EF" w14:textId="77777777" w:rsidR="006E3DC9" w:rsidRPr="00531B7B" w:rsidRDefault="006E3DC9" w:rsidP="006E3DC9">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531B7B">
        <w:rPr>
          <w:rFonts w:ascii="Times New Roman" w:eastAsia="Times New Roman" w:hAnsi="Times New Roman" w:cs="Times New Roman"/>
          <w:b/>
          <w:bCs/>
          <w:sz w:val="24"/>
          <w:szCs w:val="24"/>
        </w:rPr>
        <w:t>S5:</w:t>
      </w:r>
      <w:r w:rsidRPr="00531B7B">
        <w:rPr>
          <w:rFonts w:ascii="Times New Roman" w:eastAsia="Times New Roman" w:hAnsi="Times New Roman" w:cs="Times New Roman"/>
          <w:sz w:val="24"/>
          <w:szCs w:val="24"/>
        </w:rPr>
        <w:t xml:space="preserve"> Identifies the top 20 comorbidities influencing ischemic and bleeding risks, reinforcing the role of patient-specific risk stratification.</w:t>
      </w:r>
    </w:p>
    <w:p w14:paraId="3D63B3E8" w14:textId="77777777" w:rsidR="006E3DC9" w:rsidRPr="00531B7B" w:rsidRDefault="006E3DC9" w:rsidP="006E3DC9">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531B7B">
        <w:rPr>
          <w:rFonts w:ascii="Times New Roman" w:eastAsia="Times New Roman" w:hAnsi="Times New Roman" w:cs="Times New Roman"/>
          <w:b/>
          <w:bCs/>
          <w:sz w:val="24"/>
          <w:szCs w:val="24"/>
        </w:rPr>
        <w:t>S6:</w:t>
      </w:r>
      <w:r w:rsidRPr="00531B7B">
        <w:rPr>
          <w:rFonts w:ascii="Times New Roman" w:eastAsia="Times New Roman" w:hAnsi="Times New Roman" w:cs="Times New Roman"/>
          <w:sz w:val="24"/>
          <w:szCs w:val="24"/>
        </w:rPr>
        <w:t xml:space="preserve"> Presents model performance metrics, offering transparency on AI model efficacy beyond the primary analysis.</w:t>
      </w:r>
    </w:p>
    <w:p w14:paraId="34F999F5" w14:textId="77777777" w:rsidR="006E3DC9" w:rsidRPr="00531B7B" w:rsidRDefault="006E3DC9" w:rsidP="006E3DC9">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531B7B">
        <w:rPr>
          <w:rFonts w:ascii="Times New Roman" w:eastAsia="Times New Roman" w:hAnsi="Times New Roman" w:cs="Times New Roman"/>
          <w:b/>
          <w:bCs/>
          <w:sz w:val="24"/>
          <w:szCs w:val="24"/>
        </w:rPr>
        <w:t>S7:</w:t>
      </w:r>
      <w:r w:rsidRPr="00531B7B">
        <w:rPr>
          <w:rFonts w:ascii="Times New Roman" w:eastAsia="Times New Roman" w:hAnsi="Times New Roman" w:cs="Times New Roman"/>
          <w:sz w:val="24"/>
          <w:szCs w:val="24"/>
        </w:rPr>
        <w:t xml:space="preserve"> Evaluates survival differences between stratified groups, providing supplementary validation for Kaplan-Meier analysis.</w:t>
      </w:r>
    </w:p>
    <w:p w14:paraId="66941B33" w14:textId="77777777" w:rsidR="006E3DC9" w:rsidRPr="00531B7B" w:rsidRDefault="006E3DC9" w:rsidP="006E3DC9">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531B7B">
        <w:rPr>
          <w:rFonts w:ascii="Times New Roman" w:eastAsia="Times New Roman" w:hAnsi="Times New Roman" w:cs="Times New Roman"/>
          <w:b/>
          <w:bCs/>
          <w:sz w:val="24"/>
          <w:szCs w:val="24"/>
        </w:rPr>
        <w:t>S8:</w:t>
      </w:r>
      <w:r w:rsidRPr="00531B7B">
        <w:rPr>
          <w:rFonts w:ascii="Times New Roman" w:eastAsia="Times New Roman" w:hAnsi="Times New Roman" w:cs="Times New Roman"/>
          <w:sz w:val="24"/>
          <w:szCs w:val="24"/>
        </w:rPr>
        <w:t xml:space="preserve"> Examines geographic and genetic polymorphism factors, highlighting regional variations in ischemic and bleeding risks.</w:t>
      </w:r>
    </w:p>
    <w:p w14:paraId="5AE47381" w14:textId="77777777" w:rsidR="006E3DC9" w:rsidRPr="00531B7B" w:rsidRDefault="006E3DC9" w:rsidP="006E3DC9">
      <w:pPr>
        <w:spacing w:before="100" w:beforeAutospacing="1" w:after="100" w:afterAutospacing="1" w:line="240" w:lineRule="auto"/>
        <w:rPr>
          <w:rFonts w:ascii="Times New Roman" w:eastAsia="Times New Roman" w:hAnsi="Times New Roman" w:cs="Times New Roman"/>
          <w:sz w:val="24"/>
          <w:szCs w:val="24"/>
        </w:rPr>
      </w:pPr>
      <w:r w:rsidRPr="00531B7B">
        <w:rPr>
          <w:rFonts w:ascii="Times New Roman" w:eastAsia="Times New Roman" w:hAnsi="Times New Roman" w:cs="Times New Roman"/>
          <w:b/>
          <w:bCs/>
          <w:sz w:val="24"/>
          <w:szCs w:val="24"/>
        </w:rPr>
        <w:t>Supplementary Figures:</w:t>
      </w:r>
    </w:p>
    <w:p w14:paraId="092FFEFF" w14:textId="77777777" w:rsidR="006E3DC9" w:rsidRPr="00531B7B" w:rsidRDefault="006E3DC9" w:rsidP="006E3DC9">
      <w:pPr>
        <w:numPr>
          <w:ilvl w:val="0"/>
          <w:numId w:val="20"/>
        </w:numPr>
        <w:spacing w:before="100" w:beforeAutospacing="1" w:after="100" w:afterAutospacing="1" w:line="240" w:lineRule="auto"/>
        <w:rPr>
          <w:rFonts w:ascii="Times New Roman" w:eastAsia="Times New Roman" w:hAnsi="Times New Roman" w:cs="Times New Roman"/>
          <w:sz w:val="24"/>
          <w:szCs w:val="24"/>
        </w:rPr>
      </w:pPr>
      <w:r w:rsidRPr="00531B7B">
        <w:rPr>
          <w:rFonts w:ascii="Times New Roman" w:eastAsia="Times New Roman" w:hAnsi="Times New Roman" w:cs="Times New Roman"/>
          <w:b/>
          <w:bCs/>
          <w:sz w:val="24"/>
          <w:szCs w:val="24"/>
        </w:rPr>
        <w:t>S1:</w:t>
      </w:r>
      <w:r w:rsidRPr="00531B7B">
        <w:rPr>
          <w:rFonts w:ascii="Times New Roman" w:eastAsia="Times New Roman" w:hAnsi="Times New Roman" w:cs="Times New Roman"/>
          <w:sz w:val="24"/>
          <w:szCs w:val="24"/>
        </w:rPr>
        <w:t xml:space="preserve"> Visualizes the correlation between resting heart rate and heart rate variability, offering insights into autonomic function and ischemic risk.</w:t>
      </w:r>
    </w:p>
    <w:p w14:paraId="11563C07" w14:textId="77777777" w:rsidR="006E3DC9" w:rsidRPr="00531B7B" w:rsidRDefault="006E3DC9" w:rsidP="006E3DC9">
      <w:pPr>
        <w:numPr>
          <w:ilvl w:val="0"/>
          <w:numId w:val="20"/>
        </w:numPr>
        <w:spacing w:before="100" w:beforeAutospacing="1" w:after="100" w:afterAutospacing="1" w:line="240" w:lineRule="auto"/>
        <w:rPr>
          <w:rFonts w:ascii="Times New Roman" w:eastAsia="Times New Roman" w:hAnsi="Times New Roman" w:cs="Times New Roman"/>
          <w:sz w:val="24"/>
          <w:szCs w:val="24"/>
        </w:rPr>
      </w:pPr>
      <w:r w:rsidRPr="00531B7B">
        <w:rPr>
          <w:rFonts w:ascii="Times New Roman" w:eastAsia="Times New Roman" w:hAnsi="Times New Roman" w:cs="Times New Roman"/>
          <w:b/>
          <w:bCs/>
          <w:sz w:val="24"/>
          <w:szCs w:val="24"/>
        </w:rPr>
        <w:t>S2:</w:t>
      </w:r>
      <w:r w:rsidRPr="00531B7B">
        <w:rPr>
          <w:rFonts w:ascii="Times New Roman" w:eastAsia="Times New Roman" w:hAnsi="Times New Roman" w:cs="Times New Roman"/>
          <w:sz w:val="24"/>
          <w:szCs w:val="24"/>
        </w:rPr>
        <w:t xml:space="preserve"> Demonstrates the dynamic prediction of ischemic and bleeding risks over time, validating AI-based decision-making.</w:t>
      </w:r>
    </w:p>
    <w:p w14:paraId="3449A5A5" w14:textId="77777777" w:rsidR="006E3DC9" w:rsidRPr="00531B7B" w:rsidRDefault="006E3DC9" w:rsidP="006E3DC9">
      <w:pPr>
        <w:numPr>
          <w:ilvl w:val="0"/>
          <w:numId w:val="20"/>
        </w:numPr>
        <w:spacing w:before="100" w:beforeAutospacing="1" w:after="100" w:afterAutospacing="1" w:line="240" w:lineRule="auto"/>
        <w:rPr>
          <w:rFonts w:ascii="Times New Roman" w:eastAsia="Times New Roman" w:hAnsi="Times New Roman" w:cs="Times New Roman"/>
          <w:sz w:val="24"/>
          <w:szCs w:val="24"/>
        </w:rPr>
      </w:pPr>
      <w:r w:rsidRPr="00531B7B">
        <w:rPr>
          <w:rFonts w:ascii="Times New Roman" w:eastAsia="Times New Roman" w:hAnsi="Times New Roman" w:cs="Times New Roman"/>
          <w:b/>
          <w:bCs/>
          <w:sz w:val="24"/>
          <w:szCs w:val="24"/>
        </w:rPr>
        <w:t>S3:</w:t>
      </w:r>
      <w:r w:rsidRPr="00531B7B">
        <w:rPr>
          <w:rFonts w:ascii="Times New Roman" w:eastAsia="Times New Roman" w:hAnsi="Times New Roman" w:cs="Times New Roman"/>
          <w:sz w:val="24"/>
          <w:szCs w:val="24"/>
        </w:rPr>
        <w:t xml:space="preserve"> Time-series plots of heart rate trends differentiate obese and non-obese patients, supporting secondary analyses.</w:t>
      </w:r>
    </w:p>
    <w:p w14:paraId="08648143" w14:textId="77777777" w:rsidR="006E3DC9" w:rsidRPr="00531B7B" w:rsidRDefault="006E3DC9" w:rsidP="006E3DC9">
      <w:pPr>
        <w:numPr>
          <w:ilvl w:val="0"/>
          <w:numId w:val="20"/>
        </w:numPr>
        <w:spacing w:before="100" w:beforeAutospacing="1" w:after="100" w:afterAutospacing="1" w:line="240" w:lineRule="auto"/>
        <w:rPr>
          <w:rFonts w:ascii="Times New Roman" w:eastAsia="Times New Roman" w:hAnsi="Times New Roman" w:cs="Times New Roman"/>
          <w:sz w:val="24"/>
          <w:szCs w:val="24"/>
        </w:rPr>
      </w:pPr>
      <w:r w:rsidRPr="00531B7B">
        <w:rPr>
          <w:rFonts w:ascii="Times New Roman" w:eastAsia="Times New Roman" w:hAnsi="Times New Roman" w:cs="Times New Roman"/>
          <w:b/>
          <w:bCs/>
          <w:sz w:val="24"/>
          <w:szCs w:val="24"/>
        </w:rPr>
        <w:t>S4:</w:t>
      </w:r>
      <w:r w:rsidRPr="00531B7B">
        <w:rPr>
          <w:rFonts w:ascii="Times New Roman" w:eastAsia="Times New Roman" w:hAnsi="Times New Roman" w:cs="Times New Roman"/>
          <w:sz w:val="24"/>
          <w:szCs w:val="24"/>
        </w:rPr>
        <w:t xml:space="preserve"> Illustrates the time-to-event stratification by DAPT regimen, reinforcing Kaplan-Meier analysis results.</w:t>
      </w:r>
    </w:p>
    <w:p w14:paraId="12BFA469" w14:textId="77777777" w:rsidR="006E3DC9" w:rsidRPr="00531B7B" w:rsidRDefault="006E3DC9" w:rsidP="006E3DC9">
      <w:pPr>
        <w:numPr>
          <w:ilvl w:val="0"/>
          <w:numId w:val="20"/>
        </w:numPr>
        <w:spacing w:before="100" w:beforeAutospacing="1" w:after="100" w:afterAutospacing="1" w:line="240" w:lineRule="auto"/>
        <w:rPr>
          <w:rFonts w:ascii="Times New Roman" w:eastAsia="Times New Roman" w:hAnsi="Times New Roman" w:cs="Times New Roman"/>
          <w:sz w:val="24"/>
          <w:szCs w:val="24"/>
        </w:rPr>
      </w:pPr>
      <w:r w:rsidRPr="00531B7B">
        <w:rPr>
          <w:rFonts w:ascii="Times New Roman" w:eastAsia="Times New Roman" w:hAnsi="Times New Roman" w:cs="Times New Roman"/>
          <w:b/>
          <w:bCs/>
          <w:sz w:val="24"/>
          <w:szCs w:val="24"/>
        </w:rPr>
        <w:t>S5:</w:t>
      </w:r>
      <w:r w:rsidRPr="00531B7B">
        <w:rPr>
          <w:rFonts w:ascii="Times New Roman" w:eastAsia="Times New Roman" w:hAnsi="Times New Roman" w:cs="Times New Roman"/>
          <w:sz w:val="24"/>
          <w:szCs w:val="24"/>
        </w:rPr>
        <w:t xml:space="preserve"> Overlapping histograms for age and BMI distribution (Panel A), medication adherence rates (Panel B), and genetic risk score distributions (Panel C) validate key study variables.</w:t>
      </w:r>
    </w:p>
    <w:p w14:paraId="5D13050B" w14:textId="77777777" w:rsidR="006E3DC9" w:rsidRPr="00531B7B" w:rsidRDefault="006E3DC9" w:rsidP="006E3DC9">
      <w:pPr>
        <w:numPr>
          <w:ilvl w:val="0"/>
          <w:numId w:val="20"/>
        </w:numPr>
        <w:spacing w:before="100" w:beforeAutospacing="1" w:after="100" w:afterAutospacing="1" w:line="240" w:lineRule="auto"/>
        <w:rPr>
          <w:rFonts w:ascii="Times New Roman" w:eastAsia="Times New Roman" w:hAnsi="Times New Roman" w:cs="Times New Roman"/>
          <w:sz w:val="24"/>
          <w:szCs w:val="24"/>
        </w:rPr>
      </w:pPr>
      <w:r w:rsidRPr="00531B7B">
        <w:rPr>
          <w:rFonts w:ascii="Times New Roman" w:eastAsia="Times New Roman" w:hAnsi="Times New Roman" w:cs="Times New Roman"/>
          <w:b/>
          <w:bCs/>
          <w:sz w:val="24"/>
          <w:szCs w:val="24"/>
        </w:rPr>
        <w:t>S6:</w:t>
      </w:r>
      <w:r w:rsidRPr="00531B7B">
        <w:rPr>
          <w:rFonts w:ascii="Times New Roman" w:eastAsia="Times New Roman" w:hAnsi="Times New Roman" w:cs="Times New Roman"/>
          <w:sz w:val="24"/>
          <w:szCs w:val="24"/>
        </w:rPr>
        <w:t xml:space="preserve"> Correlation heatmap highlights clinical and demographic associations with ischemic and bleeding outcomes.</w:t>
      </w:r>
    </w:p>
    <w:p w14:paraId="2BC0280B" w14:textId="00358B67" w:rsidR="00531B7B" w:rsidRDefault="006E3DC9" w:rsidP="00531B7B">
      <w:pPr>
        <w:numPr>
          <w:ilvl w:val="0"/>
          <w:numId w:val="20"/>
        </w:numPr>
        <w:spacing w:before="100" w:beforeAutospacing="1" w:after="100" w:afterAutospacing="1" w:line="240" w:lineRule="auto"/>
        <w:rPr>
          <w:rFonts w:ascii="Times New Roman" w:eastAsia="Times New Roman" w:hAnsi="Times New Roman" w:cs="Times New Roman"/>
          <w:sz w:val="24"/>
          <w:szCs w:val="24"/>
        </w:rPr>
      </w:pPr>
      <w:r w:rsidRPr="00531B7B">
        <w:rPr>
          <w:rFonts w:ascii="Times New Roman" w:eastAsia="Times New Roman" w:hAnsi="Times New Roman" w:cs="Times New Roman"/>
          <w:b/>
          <w:bCs/>
          <w:sz w:val="24"/>
          <w:szCs w:val="24"/>
        </w:rPr>
        <w:t>S7:</w:t>
      </w:r>
      <w:r w:rsidRPr="00531B7B">
        <w:rPr>
          <w:rFonts w:ascii="Times New Roman" w:eastAsia="Times New Roman" w:hAnsi="Times New Roman" w:cs="Times New Roman"/>
          <w:sz w:val="24"/>
          <w:szCs w:val="24"/>
        </w:rPr>
        <w:t xml:space="preserve"> AI model learning curves assess training performance, ensuring model stability and optimization.</w:t>
      </w:r>
    </w:p>
    <w:p w14:paraId="2131A844" w14:textId="77777777" w:rsidR="00531B7B" w:rsidRPr="00531B7B" w:rsidRDefault="00531B7B" w:rsidP="00531B7B">
      <w:pPr>
        <w:spacing w:before="100" w:beforeAutospacing="1" w:after="100" w:afterAutospacing="1" w:line="240" w:lineRule="auto"/>
        <w:rPr>
          <w:rFonts w:ascii="Times New Roman" w:eastAsia="Times New Roman" w:hAnsi="Times New Roman" w:cs="Times New Roman"/>
          <w:sz w:val="24"/>
          <w:szCs w:val="24"/>
        </w:rPr>
      </w:pPr>
    </w:p>
    <w:p w14:paraId="5A153138" w14:textId="3759E779" w:rsidR="006E3DC9" w:rsidRPr="006E3DC9" w:rsidRDefault="006E3DC9" w:rsidP="00F563B2">
      <w:pPr>
        <w:pStyle w:val="Heading3"/>
        <w:rPr>
          <w:rStyle w:val="Strong"/>
          <w:b/>
          <w:bCs/>
          <w:sz w:val="22"/>
          <w:szCs w:val="22"/>
        </w:rPr>
      </w:pPr>
      <w:r w:rsidRPr="006E3DC9">
        <w:rPr>
          <w:sz w:val="24"/>
          <w:szCs w:val="24"/>
        </w:rPr>
        <w:t>Justification for Supplementary Figures &amp; Tables</w:t>
      </w:r>
    </w:p>
    <w:p w14:paraId="57C6DE36" w14:textId="77777777" w:rsidR="00471017" w:rsidRPr="00471017" w:rsidRDefault="00471017" w:rsidP="00471017">
      <w:pPr>
        <w:spacing w:before="100" w:beforeAutospacing="1" w:after="100" w:afterAutospacing="1" w:line="240" w:lineRule="auto"/>
        <w:rPr>
          <w:rFonts w:ascii="Times New Roman" w:eastAsia="Times New Roman" w:hAnsi="Times New Roman" w:cs="Times New Roman"/>
          <w:sz w:val="24"/>
          <w:szCs w:val="24"/>
        </w:rPr>
      </w:pPr>
      <w:r w:rsidRPr="00471017">
        <w:rPr>
          <w:rFonts w:ascii="Times New Roman" w:eastAsia="Times New Roman" w:hAnsi="Times New Roman" w:cs="Times New Roman"/>
          <w:sz w:val="24"/>
          <w:szCs w:val="24"/>
        </w:rPr>
        <w:t>To ensure consistency between the supplementary and primary analyses, the following measures were implemented:</w:t>
      </w:r>
    </w:p>
    <w:p w14:paraId="03479B22" w14:textId="77777777" w:rsidR="00471017" w:rsidRPr="00471017" w:rsidRDefault="00471017" w:rsidP="00471017">
      <w:pPr>
        <w:spacing w:before="100" w:beforeAutospacing="1" w:after="0" w:line="240" w:lineRule="auto"/>
        <w:rPr>
          <w:rFonts w:ascii="Times New Roman" w:eastAsia="Times New Roman" w:hAnsi="Times New Roman" w:cs="Times New Roman"/>
          <w:sz w:val="24"/>
          <w:szCs w:val="24"/>
        </w:rPr>
      </w:pPr>
      <w:r w:rsidRPr="00471017">
        <w:rPr>
          <w:rFonts w:ascii="Times New Roman" w:eastAsia="Times New Roman" w:hAnsi="Times New Roman" w:cs="Times New Roman"/>
          <w:sz w:val="24"/>
          <w:szCs w:val="24"/>
        </w:rPr>
        <w:t>- Tables S1–S8 were reviewed to maintain alignment in variable definitions and statistical reporting with the primary tables.</w:t>
      </w:r>
    </w:p>
    <w:p w14:paraId="6D170ED6" w14:textId="77777777" w:rsidR="00471017" w:rsidRPr="00471017" w:rsidRDefault="00471017" w:rsidP="00471017">
      <w:pPr>
        <w:spacing w:after="0" w:line="240" w:lineRule="auto"/>
        <w:rPr>
          <w:rFonts w:ascii="Times New Roman" w:eastAsia="Times New Roman" w:hAnsi="Times New Roman" w:cs="Times New Roman"/>
          <w:sz w:val="24"/>
          <w:szCs w:val="24"/>
        </w:rPr>
      </w:pPr>
      <w:r w:rsidRPr="00471017">
        <w:rPr>
          <w:rFonts w:ascii="Times New Roman" w:eastAsia="Times New Roman" w:hAnsi="Times New Roman" w:cs="Times New Roman"/>
          <w:sz w:val="24"/>
          <w:szCs w:val="24"/>
        </w:rPr>
        <w:t>- Figures S1–S7 were cross-referenced with the primary figures to provide complementary insights without duplication.</w:t>
      </w:r>
    </w:p>
    <w:p w14:paraId="28A11D62" w14:textId="77777777" w:rsidR="00471017" w:rsidRPr="00471017" w:rsidRDefault="00471017" w:rsidP="00471017">
      <w:pPr>
        <w:spacing w:after="0" w:line="240" w:lineRule="auto"/>
        <w:rPr>
          <w:rFonts w:ascii="Times New Roman" w:eastAsia="Times New Roman" w:hAnsi="Times New Roman" w:cs="Times New Roman"/>
          <w:sz w:val="24"/>
          <w:szCs w:val="24"/>
        </w:rPr>
      </w:pPr>
      <w:r w:rsidRPr="00471017">
        <w:rPr>
          <w:rFonts w:ascii="Times New Roman" w:eastAsia="Times New Roman" w:hAnsi="Times New Roman" w:cs="Times New Roman"/>
          <w:sz w:val="24"/>
          <w:szCs w:val="24"/>
        </w:rPr>
        <w:t>- Supplementary Tables S4 and S6 were harmonized with primary Table 6 to ensure consistent reporting of AI performance metrics.</w:t>
      </w:r>
    </w:p>
    <w:p w14:paraId="747947EF" w14:textId="77777777" w:rsidR="00471017" w:rsidRDefault="00471017" w:rsidP="00471017">
      <w:pPr>
        <w:spacing w:after="0" w:line="240" w:lineRule="auto"/>
        <w:rPr>
          <w:rFonts w:ascii="Times New Roman" w:eastAsia="Times New Roman" w:hAnsi="Times New Roman" w:cs="Times New Roman"/>
          <w:sz w:val="24"/>
          <w:szCs w:val="24"/>
        </w:rPr>
      </w:pPr>
      <w:r w:rsidRPr="00471017">
        <w:rPr>
          <w:rFonts w:ascii="Times New Roman" w:eastAsia="Times New Roman" w:hAnsi="Times New Roman" w:cs="Times New Roman"/>
          <w:sz w:val="24"/>
          <w:szCs w:val="24"/>
        </w:rPr>
        <w:t>- Supplementary Table S5 now directly references primary Table 5, supporting the classification of ischemic and bleeding risks across various DAPT regimens.</w:t>
      </w:r>
    </w:p>
    <w:p w14:paraId="6AD44091" w14:textId="18076946" w:rsidR="006E3DC9" w:rsidRPr="00471017" w:rsidRDefault="00471017" w:rsidP="00471017">
      <w:pPr>
        <w:spacing w:after="0" w:line="240" w:lineRule="auto"/>
        <w:rPr>
          <w:rStyle w:val="Strong"/>
          <w:rFonts w:ascii="Times New Roman" w:eastAsia="Times New Roman" w:hAnsi="Times New Roman" w:cs="Times New Roman"/>
          <w:b w:val="0"/>
          <w:bCs w:val="0"/>
          <w:sz w:val="24"/>
          <w:szCs w:val="24"/>
        </w:rPr>
      </w:pPr>
      <w:r w:rsidRPr="00471017">
        <w:rPr>
          <w:rFonts w:ascii="Times New Roman" w:eastAsia="Times New Roman" w:hAnsi="Times New Roman" w:cs="Times New Roman"/>
          <w:sz w:val="24"/>
          <w:szCs w:val="24"/>
        </w:rPr>
        <w:t>- Supplementary Figure S2 was aligned with Kaplan-Meier curves (Figure 1A) to strengthen time-dependent risk evaluations.</w:t>
      </w:r>
    </w:p>
    <w:p w14:paraId="5ACB0D26" w14:textId="5F09F560" w:rsidR="00F563B2" w:rsidRPr="00F563B2" w:rsidRDefault="00F563B2" w:rsidP="00F563B2">
      <w:pPr>
        <w:pStyle w:val="Heading3"/>
        <w:rPr>
          <w:sz w:val="24"/>
          <w:szCs w:val="24"/>
        </w:rPr>
      </w:pPr>
      <w:r w:rsidRPr="00F563B2">
        <w:rPr>
          <w:rStyle w:val="Strong"/>
          <w:b/>
          <w:bCs/>
          <w:sz w:val="24"/>
          <w:szCs w:val="24"/>
        </w:rPr>
        <w:t xml:space="preserve">Supplementary Table 1: Specific Codes and Types Used </w:t>
      </w:r>
      <w:r w:rsidR="0044422F">
        <w:rPr>
          <w:rStyle w:val="Strong"/>
          <w:b/>
          <w:bCs/>
          <w:sz w:val="24"/>
          <w:szCs w:val="24"/>
        </w:rPr>
        <w:t>in</w:t>
      </w:r>
      <w:r w:rsidRPr="00F563B2">
        <w:rPr>
          <w:rStyle w:val="Strong"/>
          <w:b/>
          <w:bCs/>
          <w:sz w:val="24"/>
          <w:szCs w:val="24"/>
        </w:rPr>
        <w:t xml:space="preserve"> Ischemic and Bleeding Endpoints</w:t>
      </w:r>
    </w:p>
    <w:p w14:paraId="7483FEA4" w14:textId="47E6A1B8" w:rsidR="00E17B40" w:rsidRDefault="00E17B40" w:rsidP="00AF69EF">
      <w:pPr>
        <w:pStyle w:val="NormalWeb"/>
      </w:pPr>
      <w:r>
        <w:t>This table outlines the coding systems used to define ischemic and bleeding endpoints, employing ICD-10-CM, RxNorm, CPT, HCPCS, and LOINC codes. These standardized codes improve the accuracy of extracting data from electronic health records (EHRs) and ensure consistent classification of patient outcomes, enhancing the evaluation of dual antiplatelet therapy (DAPT).</w:t>
      </w:r>
    </w:p>
    <w:p w14:paraId="7BEE1DD9" w14:textId="05527888" w:rsidR="00E17B40" w:rsidRDefault="00E17B40" w:rsidP="00AF69EF">
      <w:pPr>
        <w:pStyle w:val="NormalWeb"/>
      </w:pPr>
      <w:r w:rsidRPr="00AF69EF">
        <w:rPr>
          <w:b/>
          <w:bCs/>
        </w:rPr>
        <w:t>Ischemic Endpoints:</w:t>
      </w:r>
      <w:r>
        <w:t xml:space="preserve"> ICD-10-CM codes like I21.x, I22.x, and I25.2 differentiate between acute and prior myocardial infarctions (MI), providing insights into ischemic heart disease progression. Cerebrovascular events are captured with I63.x and I65.x, reflecting ischemic strokes and thromboembolic issues. RxNorm codes (e.g., 329528, 617314) track medications such as ticagrelor and clopidogrel for ischemic risk reduction, while CPT codes (92928, 92937) document procedural interventions like PCI. LOINC codes (32768-7, 13457-7) gather cardiac biomarkers, such as troponin and CK-MB, validating ischemic events.</w:t>
      </w:r>
    </w:p>
    <w:p w14:paraId="7803E8FA" w14:textId="17DB4EF2" w:rsidR="00E17B40" w:rsidRDefault="00E17B40" w:rsidP="00AF69EF">
      <w:pPr>
        <w:pStyle w:val="NormalWeb"/>
      </w:pPr>
      <w:r w:rsidRPr="00AF69EF">
        <w:rPr>
          <w:b/>
          <w:bCs/>
        </w:rPr>
        <w:t>Bleeding Endpoints:</w:t>
      </w:r>
      <w:r>
        <w:t xml:space="preserve"> ICD-10-CM codes K92.2, R04.x, and I85.0 identify gastrointestinal bleeding, hemoptysis, and variceal hemorrhage, crucial for assessing long-term antiplatelet safety. Post-PCI anemia and blood loss are coded with D62 and D50.x. RxNorm codes (197361, 835022) monitor anticoagulants like warfarin and rivaroxaban, while CPT codes (85025, 85027) track hematologic monitoring through complete blood count (CBC) tests to identify anemia or thrombocytopenia.</w:t>
      </w:r>
    </w:p>
    <w:p w14:paraId="2EDC2123" w14:textId="7D91C46A" w:rsidR="00E17B40" w:rsidRDefault="00E17B40" w:rsidP="00E17B40">
      <w:pPr>
        <w:pStyle w:val="NormalWeb"/>
      </w:pPr>
      <w:r w:rsidRPr="00AF69EF">
        <w:rPr>
          <w:b/>
          <w:bCs/>
        </w:rPr>
        <w:t>Additional Variables:</w:t>
      </w:r>
      <w:r>
        <w:t xml:space="preserve"> Cardiovascular risk factors, such as hypertension (I10) and diabetes (E11.x), are included to account for comorbidities influencing outcomes. RxNorm codes (198211, 860975) monitor DAPT agents, and LOINC codes (2093-3, 13457-7) provide lipid panel and troponin data, improving risk stratification.</w:t>
      </w:r>
    </w:p>
    <w:p w14:paraId="4DEFFBB4" w14:textId="55978DD3" w:rsidR="00E17B40" w:rsidRDefault="00E17B40" w:rsidP="00E17B40">
      <w:pPr>
        <w:pStyle w:val="NormalWeb"/>
      </w:pPr>
      <w:r w:rsidRPr="00AF69EF">
        <w:rPr>
          <w:b/>
          <w:bCs/>
        </w:rPr>
        <w:lastRenderedPageBreak/>
        <w:t>Secondary Analyses:</w:t>
      </w:r>
      <w:r>
        <w:t xml:space="preserve"> Combining diagnostic, procedural, pharmacological, and laboratory data minimizes misclassification risks. RxNorm data assess ticagrelor and clopidogrel's differential effects on ischemic and bleeding risks, while LOINC biomarkers establish temporal links to cardiovascular events. Standardized coding supports subgroup analyses, such as the impact of hypertension and diabetes on DAPT efficacy. This structured approach ensures consistent outcome tracking and aligns findings with broader cardiovascular research, offering insights to optimize long-term DAPT strategies. </w:t>
      </w:r>
    </w:p>
    <w:p w14:paraId="046A5DC9" w14:textId="46DA7FF4" w:rsidR="00F563B2" w:rsidRDefault="00713C17" w:rsidP="00F563B2">
      <w:pPr>
        <w:pStyle w:val="NormalWeb"/>
        <w:rPr>
          <w:b/>
          <w:bCs/>
        </w:rPr>
      </w:pPr>
      <w:r w:rsidRPr="00713C17">
        <w:rPr>
          <w:b/>
          <w:bCs/>
        </w:rPr>
        <w:t xml:space="preserve">Supplementary Table 2: Dual Antiplatelet Therapy (DAPT) and Co-Medications </w:t>
      </w:r>
      <w:r w:rsidR="0044422F">
        <w:rPr>
          <w:b/>
          <w:bCs/>
        </w:rPr>
        <w:t xml:space="preserve">used </w:t>
      </w:r>
      <w:r w:rsidRPr="00713C17">
        <w:rPr>
          <w:b/>
          <w:bCs/>
        </w:rPr>
        <w:t>in Study</w:t>
      </w:r>
    </w:p>
    <w:p w14:paraId="12680DAB" w14:textId="0EB50A31" w:rsidR="00111086" w:rsidRDefault="00111086" w:rsidP="00F723F8">
      <w:pPr>
        <w:pStyle w:val="NormalWeb"/>
      </w:pPr>
      <w:r>
        <w:t>The study examines various therapeutic drug classes critical for dual antiplatelet therapy (DAPT) and related treatments. Aspirin (acetylsalicylic acid), a cornerstone of DAPT, is essential for long-term secondary prevention post-percutaneous coronary intervention (PCI). Functioning as a cyclooxygenase-1 (COX-1) inhibitor, it reduces thromboxane A2 production and is classified under non-steroidal anti-inflammatory drugs (NSAIDs). Another vital component of DAPT is P2Y12 inhibitors. Clopidogrel, the standard choice for PCI patients, inhibits the P2Y12 receptor to reduce platelet aggregation. Ticagrelor, a reversible P2Y12 antagonist with a faster onset, is preferred for acute coronary syndrome (ACS) patients due to its potent platelet inhibition. Prasugrel, an irreversible inhibitor, is suited for high-risk PCI cases with lower bleeding concerns. While clopidogrel and prasugrel are thienopyridines, ticagrelor belongs to the cyclopentyl-triazolopyrimidine class.</w:t>
      </w:r>
      <w:r w:rsidR="00F723F8">
        <w:t xml:space="preserve"> </w:t>
      </w:r>
      <w:r>
        <w:t>Anticoagulants are incorporated for patients requiring DAPT alongside anticoagulation. Warfarin, a vitamin K antagonist, inhibits clotting factor synthesis and is classified as a coumarin derivative. Rivaroxaban, a direct oral anticoagulant (DOAC), has been explored for DAPT adjustments, such as in the PIONEER-AF trial. Apixaban, another DOAC, selectively inhibits factor Xa and is an alternative to warfarin in atrial fibrillation (AF) patients. Proton pump inhibitors (PPIs) like omeprazole and pantoprazole help prevent gastrointestinal bleeding in at-risk DAPT patients. While omeprazole inhibits gastric acid secretion, pantoprazole is preferred for clopidogrel users due to fewer CYP2C19 interactions. Both PPIs are in the benzimidazole category.</w:t>
      </w:r>
    </w:p>
    <w:p w14:paraId="1E6B1D60" w14:textId="5254BB23" w:rsidR="00111086" w:rsidRDefault="00111086" w:rsidP="00F723F8">
      <w:pPr>
        <w:pStyle w:val="NormalWeb"/>
      </w:pPr>
      <w:r>
        <w:t xml:space="preserve">Lipid-lowering agents, including atorvastatin and rosuvastatin, are vital for reducing LDL cholesterol and slowing atherosclerosis progression. Atorvastatin, an HMG-CoA reductase inhibitor, and rosuvastatin, a high-intensity statin, are commonly prescribed post-PCI. Diabetes medications, such as metformin, lower cardiovascular risks in diabetic patients on DAPT, while empagliflozin, an SGLT2 inhibitor, offers cardiovascular and renal benefits post-PCI. Beta-blockers like metoprolol and bisoprolol are used to lower heart rates and improve post-myocardial infarction (MI) survival. Metoprolol is a β1-selective adrenergic blocker, while bisoprolol, highly selective for β1, is preferred in heart failure cases post-PCI. ACE inhibitors, including ramipril and lisinopril, enhance endothelial function and reduce recurrent MI risk. Ramipril, beneficial for post-PCI recovery, and lisinopril, effective in managing hypertension, are widely used. Lastly, calcium channel blockers, such as amlodipine, control hypertension in coronary artery disease (CAD) patients by inhibiting L-type calcium channels. Amlodipine falls under the dihydropyridine calcium channel blocker subclass. </w:t>
      </w:r>
    </w:p>
    <w:p w14:paraId="3D7EDB42" w14:textId="3381BF6E" w:rsidR="00713C17" w:rsidRDefault="00713C17" w:rsidP="00F563B2">
      <w:pPr>
        <w:pStyle w:val="NormalWeb"/>
        <w:rPr>
          <w:b/>
          <w:bCs/>
        </w:rPr>
      </w:pPr>
      <w:r w:rsidRPr="00713C17">
        <w:rPr>
          <w:b/>
          <w:bCs/>
        </w:rPr>
        <w:t>Supplementary Table 3: Medical Codes</w:t>
      </w:r>
      <w:r w:rsidR="0044422F">
        <w:rPr>
          <w:b/>
          <w:bCs/>
        </w:rPr>
        <w:t xml:space="preserve"> used</w:t>
      </w:r>
      <w:r w:rsidRPr="00713C17">
        <w:rPr>
          <w:b/>
          <w:bCs/>
        </w:rPr>
        <w:t xml:space="preserve"> for Drug-Eluting Stent (DES) Implantation</w:t>
      </w:r>
    </w:p>
    <w:p w14:paraId="3C0A7AA8" w14:textId="77777777" w:rsidR="00F723F8" w:rsidRDefault="00F723F8" w:rsidP="00F723F8">
      <w:pPr>
        <w:pStyle w:val="NormalWeb"/>
      </w:pPr>
      <w:r>
        <w:lastRenderedPageBreak/>
        <w:t>This table offers an organized overview of drug-eluting stents (DES), their classifications across various medical coding systems, and technologies used during percutaneous coronary intervention (PCI). Standardized codes, such as ICD-10-PCS, CPT, HCPCS, and RxNorm, ensure precise procedural documentation and facilitate effective clinical strategies.</w:t>
      </w:r>
    </w:p>
    <w:p w14:paraId="7FA1DD8C" w14:textId="50AA1F54" w:rsidR="00F723F8" w:rsidRDefault="00F723F8" w:rsidP="00F723F8">
      <w:pPr>
        <w:pStyle w:val="NormalWeb"/>
      </w:pPr>
      <w:r w:rsidRPr="00F723F8">
        <w:rPr>
          <w:b/>
          <w:bCs/>
        </w:rPr>
        <w:t>DES Coding Classifications:</w:t>
      </w:r>
      <w:r>
        <w:t xml:space="preserve"> ICD-10-PCS codes (e.g., 027034Z, 02703DZ, 02713DZ) cover PCI with DES placements. CPT codes (92928, 92933, 92937) represent coronary angioplasty with stent placement, while HCPCS codes (C9600, C9601, C9602) document fluoropolymer-based DES procedures, ensuring accurate clinical records and reimbursement documentation.</w:t>
      </w:r>
    </w:p>
    <w:p w14:paraId="1A8CEFB3" w14:textId="4EF07811" w:rsidR="00F723F8" w:rsidRPr="00F723F8" w:rsidRDefault="00F723F8" w:rsidP="00F723F8">
      <w:pPr>
        <w:pStyle w:val="NormalWeb"/>
        <w:rPr>
          <w:b/>
          <w:bCs/>
        </w:rPr>
      </w:pPr>
      <w:r w:rsidRPr="00F723F8">
        <w:rPr>
          <w:b/>
          <w:bCs/>
        </w:rPr>
        <w:t xml:space="preserve">Generational Advancements in DES:  </w:t>
      </w:r>
    </w:p>
    <w:p w14:paraId="2BD470E2" w14:textId="47B64884" w:rsidR="00F723F8" w:rsidRDefault="00F723F8" w:rsidP="00F723F8">
      <w:pPr>
        <w:pStyle w:val="NormalWeb"/>
      </w:pPr>
      <w:r>
        <w:t xml:space="preserve">- First-Generation DES: Sirolimus-eluting stents (SES) and paclitaxel-eluting stents (PES) are noted under RxNorm (402124, 548705) and ICD-9-CM (36.07), featuring durable polymer coatings. Though innovative, their increased risk of late stent thrombosis led to advancements.  </w:t>
      </w:r>
    </w:p>
    <w:p w14:paraId="0FFB5330" w14:textId="4110E2F7" w:rsidR="00F723F8" w:rsidRDefault="00F723F8" w:rsidP="00F723F8">
      <w:pPr>
        <w:pStyle w:val="NormalWeb"/>
      </w:pPr>
      <w:r>
        <w:t xml:space="preserve">- Second-Generation DES: Everolimus-eluting (EES) and zotarolimus-eluting stents (ZES) feature improved cobalt-chromium designs and biodegradable polymers, reducing restenosis risk. EES is coded under RxNorm (691405, 721306), while ZES uses LOINC codes (75934-1, 82905-2).  </w:t>
      </w:r>
    </w:p>
    <w:p w14:paraId="37B31E0C" w14:textId="3C7129C1" w:rsidR="00F723F8" w:rsidRDefault="00F723F8" w:rsidP="00F723F8">
      <w:pPr>
        <w:pStyle w:val="NormalWeb"/>
      </w:pPr>
      <w:r>
        <w:t xml:space="preserve">- Third-Generation DES: Bioresorbable scaffolds (ICD-10-PCS: X2R034Z, X2R03DZ) and polymer-free DES (HCPCS: C9607, C9608) use fully resorbable materials and magnesium-based stents, minimizing polymer exposure and improving healing.  </w:t>
      </w:r>
    </w:p>
    <w:p w14:paraId="755AC323" w14:textId="669C4279" w:rsidR="00F723F8" w:rsidRDefault="00F723F8" w:rsidP="00F723F8">
      <w:pPr>
        <w:pStyle w:val="NormalWeb"/>
      </w:pPr>
      <w:r w:rsidRPr="00F723F8">
        <w:rPr>
          <w:b/>
          <w:bCs/>
        </w:rPr>
        <w:t>Specialized DES for High-Risk Groups:</w:t>
      </w:r>
      <w:r>
        <w:t xml:space="preserve"> Stents for small coronary arteries (02703ZZ), diabetic patients (027034Z), and those with chronic kidney disease (X2R034Y) use advanced polymers to reduce restenosis and thrombosis risks, tailored for patient-specific needs.</w:t>
      </w:r>
    </w:p>
    <w:p w14:paraId="20565C54" w14:textId="2980C723" w:rsidR="001F64BE" w:rsidRPr="00EA1900" w:rsidRDefault="00F723F8" w:rsidP="00F723F8">
      <w:pPr>
        <w:pStyle w:val="NormalWeb"/>
      </w:pPr>
      <w:r w:rsidRPr="00F723F8">
        <w:rPr>
          <w:b/>
          <w:bCs/>
        </w:rPr>
        <w:t>Imaging-Guided PCI:</w:t>
      </w:r>
      <w:r>
        <w:t xml:space="preserve"> Techniques such as optical coherence tomography (OCT), coded under CPT (92978, 92979), and fractional flow reserve (FFR)-guided PCI (HCPCS: G0290), improve stent placement precision through imaging and functional assessments.</w:t>
      </w:r>
    </w:p>
    <w:p w14:paraId="5BCDCF07" w14:textId="2F6BB244" w:rsidR="00713C17" w:rsidRDefault="00713C17" w:rsidP="00F563B2">
      <w:pPr>
        <w:pStyle w:val="NormalWeb"/>
        <w:rPr>
          <w:b/>
          <w:bCs/>
        </w:rPr>
      </w:pPr>
      <w:r w:rsidRPr="00713C17">
        <w:rPr>
          <w:b/>
          <w:bCs/>
        </w:rPr>
        <w:t xml:space="preserve">Supplementary Table 4: AI-DAPT Models </w:t>
      </w:r>
      <w:r w:rsidR="0044422F">
        <w:rPr>
          <w:b/>
          <w:bCs/>
        </w:rPr>
        <w:t>between</w:t>
      </w:r>
      <w:r w:rsidRPr="00713C17">
        <w:rPr>
          <w:b/>
          <w:bCs/>
        </w:rPr>
        <w:t xml:space="preserve"> Baseline Models for Ischemic and Bleeding Risk Prediction</w:t>
      </w:r>
    </w:p>
    <w:p w14:paraId="235F5B8A" w14:textId="6BCC8786" w:rsidR="00EA1900" w:rsidRPr="00646108" w:rsidRDefault="001F64BE" w:rsidP="001F64BE">
      <w:pPr>
        <w:pStyle w:val="NormalWeb"/>
      </w:pPr>
      <w:r>
        <w:t xml:space="preserve">This table presents a comparative analysis of different predictive models used for assessing ischemic and bleeding risks in patients undergoing dual antiplatelet therapy (DAPT). The baseline models, including logistic regression and Cox proportional hazards models, rely on standard clinical features and the traditional DAPT score. While these models achieve moderate discrimination with AUROC values of 0.68–0.72 for ischemic events and 0.65–0.68 for bleeding events, their precision-recall (AUPRC) values are notably lower, suggesting limited predictive power in distinguishing high-risk cases. In contrast, the AI-DAPT models, which incorporate a more extensive set of features—including lab values, lesion complexity, prior cardiovascular conditions, and time-to-event data—outperform the baseline approaches significantly. The XGBoost model, integrating prior myocardial infarction history, coronary artery disease, and </w:t>
      </w:r>
      <w:r>
        <w:lastRenderedPageBreak/>
        <w:t>biomarkers, achieves an AUROC of 0.86 for ischemic events and 0.81 for bleeding events. Meanwhile, the neural network, which utilizes the most comprehensive dataset, including ICU stay and medication adherence, further enhances the predictive accuracy, reaching AUROC values of 0.89 for ischemic and 0.85 for bleeding events. Therefore, best-performing model in the study is the weighted LightGBM, which incorporates AI-optimized feature selection and time-to-event data, yielding AUROC values of 0.91 for ischemic and 0.88 for bleeding events. This model also excels in precision-recall performance, with AUPRC values of 0.83 (ischemic) and 0.79 (bleeding), underscoring its superior ability to stratify patients based on their risk profiles. The results highlight that AI-enhanced models, particularly those integrating real-world clinical and temporal data, provide a substantial improvement in predictive accuracy over traditional risk assessment approaches.</w:t>
      </w:r>
    </w:p>
    <w:p w14:paraId="16CE20A5" w14:textId="0305758E" w:rsidR="00713C17" w:rsidRDefault="00713C17" w:rsidP="00F563B2">
      <w:pPr>
        <w:pStyle w:val="NormalWeb"/>
        <w:rPr>
          <w:b/>
          <w:bCs/>
        </w:rPr>
      </w:pPr>
      <w:r w:rsidRPr="00713C17">
        <w:rPr>
          <w:b/>
          <w:bCs/>
        </w:rPr>
        <w:t>Supplementary Table 5: Top 20 Comorbidities Influencing Ischemic and Bleeding Risk Scores in DAPT Analysis</w:t>
      </w:r>
    </w:p>
    <w:p w14:paraId="73F7F6C6" w14:textId="4A7B6AA1" w:rsidR="00F723F8" w:rsidRDefault="00F723F8" w:rsidP="00F723F8">
      <w:pPr>
        <w:pStyle w:val="NormalWeb"/>
      </w:pPr>
      <w:r>
        <w:t>This table outlines the 20 leading comorbidities contributing to ischemic and bleeding risks in patients on dual antiplatelet therapy (DAPT), along with their respective risk scores. Coronary artery disease (CAD) holds the highest ischemic risk score (0.92), underscoring its critical role in post-PCI ischemic complications. Atrial fibrillation (0.89 ischemic, 0.58 bleeding) demonstrates the dual challenge of preventing thromboembolism while managing anticoagulant-induced bleeding risks. Diabetes mellitus (0.87 ischemic, 0.52 bleeding) is another significant contributor due to its role in promoting platelet aggregation and vascular inflammation. Among bleeding risk factors, chronic kidney disease (CKD) (0.72 ischemic, 0.89 bleeding) and prior bleeding events (0.69 ischemic, 0.92 bleeding) show the strongest association with hemorrhagic outcomes, emphasizing their importance in personalizing DAPT decisions. Anemia (0.60 ischemic, 0.91 bleeding) and liver disease (0.50 ischemic, 0.89 bleeding) further elevate bleeding risk due to their impact on coagulation and platelet function. Conditions such as heart failure (0.78 ischemic, 0.65 bleeding) and cancer (0.49 ischemic, 0.85 bleeding) highlight the intricate balance between ischemic and bleeding risks. Additionally, inflammatory and metabolic conditions, including rheumatoid arthritis (0.54 ischemic, 0.76 bleeding) and obesity (0.71 ischemic, 0.51 bleeding), significantly influence cardiovascular outcomes. These findings emphasize the importance of precision-based DAPT strategies to effectively manage the interplay between thrombotic and hemorrhagic risks.</w:t>
      </w:r>
    </w:p>
    <w:p w14:paraId="4C30EFF0" w14:textId="235B2B88" w:rsidR="00713C17" w:rsidRPr="00646108" w:rsidRDefault="00713C17" w:rsidP="00F563B2">
      <w:pPr>
        <w:pStyle w:val="NormalWeb"/>
        <w:rPr>
          <w:b/>
          <w:bCs/>
        </w:rPr>
      </w:pPr>
      <w:r w:rsidRPr="00646108">
        <w:rPr>
          <w:b/>
          <w:bCs/>
        </w:rPr>
        <w:t>Supplementary Table 6: Model Performance Metrics for AI-Based Risk Prediction</w:t>
      </w:r>
    </w:p>
    <w:p w14:paraId="678AD953" w14:textId="491EBB4B" w:rsidR="00F723F8" w:rsidRPr="00C2563C" w:rsidRDefault="00F723F8" w:rsidP="00F723F8">
      <w:pPr>
        <w:pStyle w:val="NormalWeb"/>
      </w:pPr>
      <w:r>
        <w:t xml:space="preserve">This table compares the predictive performance of various AI models using metrics such as AUROC, AUPRC, Concordance Index (C-Index), calibration score, F1-score, precision, and recall. Weighted LightGBM achieves the highest AUROC scores (0.88 for ischemic events, 0.85 for bleeding events), reflecting superior discrimination ability. It also shows robust AUPRC values (0.74 ischemic, 0.71 bleeding), highlighting its effectiveness in identifying high-risk patients. Neural networks (DNN) and random forest models follow closely with AUROC scores of 0.87 and 0.86 for ischemic events but perform slightly lower in bleeding risk predictions. LightGBM surpasses these models in calibration (0.91 vs. 0.90 and 0.89), indicating better alignment between predictions and actual outcomes. Additionally, LightGBM records the highest F1-score (0.82), balancing precision (0.79) and recall (0.85), further proving its reliability. In </w:t>
      </w:r>
      <w:r>
        <w:lastRenderedPageBreak/>
        <w:t>contrast, traditional models like logistic regression and support vector machines (SVM) show weaker performance. Logistic regression achieves AUROC values of 0.80 (ischemic) and 0.78 (bleeding) and lower AUPRC scores (0.65 ischemic, 0.60 bleeding). SVM underperforms across all metrics, reinforcing the superiority of advanced tree-based and deep-learning approaches in cardiovascular risk assessment. These findings emphasize the value of AI-driven approaches like LightGBM, which leverage feature selection and time-to-event modeling to enhance ischemic and bleeding risk predictions. Ensemble and deep-learning models show significant potential to advance precision-based DAPT decision-making.</w:t>
      </w:r>
    </w:p>
    <w:p w14:paraId="7F510C71" w14:textId="3A8BEF5B" w:rsidR="00F12B37" w:rsidRDefault="00F12B37" w:rsidP="00F563B2">
      <w:pPr>
        <w:pStyle w:val="NormalWeb"/>
        <w:rPr>
          <w:b/>
          <w:bCs/>
        </w:rPr>
      </w:pPr>
      <w:r w:rsidRPr="00F12B37">
        <w:rPr>
          <w:b/>
          <w:bCs/>
        </w:rPr>
        <w:t>Supplementary Table 7: Log-Rank Test Results Comparing Survival Between Stratified Groups</w:t>
      </w:r>
    </w:p>
    <w:p w14:paraId="27081B8C" w14:textId="64D86DE3" w:rsidR="00F723F8" w:rsidRDefault="00F723F8" w:rsidP="00F723F8">
      <w:pPr>
        <w:pStyle w:val="NormalWeb"/>
      </w:pPr>
      <w:r>
        <w:t>This table summarizes log-rank test results comparing survival outcomes across DAPT duration strategies: short DAPT (&lt;6 months), standard DAPT (12 months), extended DAPT (≥24 months), and AI-personalized DAPT. Significant differences in median survival, event-free survival rates, and hazard ratios highlight the benefits of personalized DAPT for patient outcomes. The AI-personalized DAPT group showed the highest median survival (45.8 months [43.6–48.1]) and event-free survival (91.5%), serving as the reference category. The extended DAPT group (≥24 months) had a median survival of 40.2 months [37.8–42.5] and event-free survival of 88.7%, but the survival difference was not statistically significant (log-rank χ² = 3.21, p = 0.073) with a hazard ratio (HR) of 1.10 [0.92–1.31]. Standard DAPT (12 months) exhibited a median survival of 34.7 months [32.1–36.4] and event-free survival of 82.1%, with a significant survival difference (χ² = 5.67, p = 0.017) and an increased HR of 1.23 [1.05–1.49], reflecting a higher risk of adverse events compared to AI-personalized DAPT. Short DAPT (&lt;6 months) had the lowest median survival (24.5 months [22.3–26.8]) and event-free survival (72.3%). The log-rank test showed a highly significant survival difference (χ² = 10.82, p = 0.0012) with an HR of 1.58 [1.22–2.05], indicating the highest risk of adverse events. AI-personalized DAPT was used as the reference category due to its superior survival outcomes and highest event-free survival, making it the benchmark for evaluating other strategies. The results confirm AI-personalized DAPT provides the most favorable prognosis, with improved survival benefits and lower risk ratios compared to fixed-duration DAPT strategies.</w:t>
      </w:r>
    </w:p>
    <w:p w14:paraId="7AA73EAF" w14:textId="470C9454" w:rsidR="00F12B37" w:rsidRDefault="00F12B37" w:rsidP="00F563B2">
      <w:pPr>
        <w:pStyle w:val="NormalWeb"/>
        <w:rPr>
          <w:b/>
          <w:bCs/>
        </w:rPr>
      </w:pPr>
      <w:r w:rsidRPr="00F12B37">
        <w:rPr>
          <w:b/>
          <w:bCs/>
        </w:rPr>
        <w:t>Supplementary Table 8: Geographic and Genetic Polymorphisms Factors Identifying Ischemic and Bleeding Risks</w:t>
      </w:r>
    </w:p>
    <w:p w14:paraId="254D7EF7" w14:textId="1423952B" w:rsidR="009D5FD8" w:rsidRDefault="009D5FD8" w:rsidP="009D5FD8">
      <w:pPr>
        <w:pStyle w:val="NormalWeb"/>
      </w:pPr>
      <w:r>
        <w:t xml:space="preserve">Urban populations in the UAE exhibited a significantly higher ischemic risk (1.35 [1.12–1.64], p = 0.008) compared to rural populations (1.12 [0.94–1.41], p = 0.092), although bleeding risks remained similar, with rural areas showing a slightly elevated but non-significant risk (1.04 [0.87–1.29]). The AI risk score for ischemic events was greater in urban populations (14.2%) than in rural ones (9.7%), reflecting stronger links between urban living conditions and ischemic outcomes due to lifestyle and environmental factors. Genetic polymorphisms also played a critical role. The CYP2C19*2 (loss-of-function) variant showed a strong association with increased ischemic risk (1.67 [1.43–1.92], p = 0.001) but minimal impact on bleeding (1.08 [0.94–1.27]). In contrast, the CYP2C19*17 (gain-of-function) variant reduced ischemic risk (0.88 [0.74–1.13]) but significantly raised bleeding risk (1.39 [1.22–1.61], p = 0.012), likely due to enhanced platelet inhibition. The ABCB1 mutation (P-glycoprotein) was linked to moderate </w:t>
      </w:r>
      <w:r>
        <w:lastRenderedPageBreak/>
        <w:t>increases in both ischemic (1.28 [1.05–1.57], p = 0.045) and bleeding risks (1.14 [0.93–1.32]). Among these, CYP2C19*2 contributed the highest AI risk score (21.5%), underscoring its predictive value. Ethnic background further influenced risks. Arabs had higher ischemic risk (1.54 [1.31–1.79], p = 0.006) compared to non-Arabs (1.08 [0.91–1.32]), while non-Arabs had elevated bleeding risk (1.21 [1.02–1.41], p = 0.038), suggesting genetic or treatment-response differences. AI scores for ischemic risk were higher for Arabs (17.8%) than non-Arabs (11.5%), reflecting the disproportionate ischemic burden. Environmental and lifestyle factors significantly affected risks. Air pollution increased ischemic risk (1.41 [1.22–1.68], p = 0.011) with minimal bleeding impact (1.10 [0.94–1.27]). A sedentary lifestyle raised both ischemic (1.32 [1.12–1.56], p = 0.019) and bleeding risks (1.18 [1.02–1.35]). AI scores showed a stronger association with air pollution (13.9%) than sedentary behavior (12.7%), highlighting its greater correlation with ischemic outcomes.</w:t>
      </w:r>
    </w:p>
    <w:p w14:paraId="2101F07B" w14:textId="773E18E5" w:rsidR="00492667" w:rsidRDefault="00492667" w:rsidP="00F563B2">
      <w:pPr>
        <w:pStyle w:val="NormalWeb"/>
        <w:rPr>
          <w:rFonts w:asciiTheme="majorBidi" w:eastAsiaTheme="minorEastAsia" w:hAnsiTheme="majorBidi" w:cstheme="majorBidi"/>
          <w:b/>
          <w:bCs/>
          <w:color w:val="000000" w:themeColor="text1"/>
          <w:kern w:val="24"/>
        </w:rPr>
      </w:pPr>
      <w:r>
        <w:rPr>
          <w:rFonts w:asciiTheme="majorBidi" w:hAnsiTheme="majorBidi" w:cstheme="majorBidi"/>
          <w:b/>
          <w:bCs/>
        </w:rPr>
        <w:t xml:space="preserve">Supplementary Figure 1: </w:t>
      </w:r>
      <w:r w:rsidRPr="00492667">
        <w:rPr>
          <w:rFonts w:asciiTheme="majorBidi" w:eastAsiaTheme="minorEastAsia" w:hAnsiTheme="majorBidi" w:cstheme="majorBidi"/>
          <w:b/>
          <w:bCs/>
          <w:color w:val="000000" w:themeColor="text1"/>
          <w:kern w:val="24"/>
        </w:rPr>
        <w:t>Scatter Plot: Resting Heart Rate vs Heart Rate Variability visualizing patient data relevant to post-PCI recovery and outcomes.</w:t>
      </w:r>
    </w:p>
    <w:p w14:paraId="244DEF65" w14:textId="53950FC2" w:rsidR="00A46563" w:rsidRPr="009D5FD8" w:rsidRDefault="009D5FD8" w:rsidP="009D5FD8">
      <w:pPr>
        <w:pStyle w:val="NormalWeb"/>
        <w:rPr>
          <w:rFonts w:asciiTheme="majorBidi" w:eastAsiaTheme="minorEastAsia" w:hAnsiTheme="majorBidi" w:cstheme="majorBidi"/>
          <w:color w:val="000000" w:themeColor="text1"/>
          <w:kern w:val="24"/>
        </w:rPr>
      </w:pPr>
      <w:r w:rsidRPr="009D5FD8">
        <w:rPr>
          <w:rFonts w:asciiTheme="majorBidi" w:eastAsiaTheme="minorEastAsia" w:hAnsiTheme="majorBidi" w:cstheme="majorBidi"/>
          <w:color w:val="000000" w:themeColor="text1"/>
          <w:kern w:val="24"/>
        </w:rPr>
        <w:t>Group A (blue) and Group B (orange). Group A (mean RHR: 78 bpm, HRV: 25 ms) exhibits higher RHR and lower HRV, indicating autonomic dysfunction and elevated ischemic risk. In contrast, Group B (mean RHR: 65 bpm, HRV: 42 ms) demonstrates better autonomic regulation with reduced cardiovascular risk. The strong negative correlation (R = -0.68, p &lt; 0.01) highlights that lower HRV is linked to higher RHR, emphasizing the role of autonomic function in post-PCI risk evaluation.</w:t>
      </w:r>
      <w:r>
        <w:rPr>
          <w:rFonts w:asciiTheme="majorBidi" w:eastAsiaTheme="minorEastAsia" w:hAnsiTheme="majorBidi" w:cstheme="majorBidi"/>
          <w:color w:val="000000" w:themeColor="text1"/>
          <w:kern w:val="24"/>
        </w:rPr>
        <w:t xml:space="preserve"> </w:t>
      </w:r>
      <w:r w:rsidRPr="009D5FD8">
        <w:rPr>
          <w:rFonts w:asciiTheme="majorBidi" w:eastAsiaTheme="minorEastAsia" w:hAnsiTheme="majorBidi" w:cstheme="majorBidi"/>
          <w:color w:val="000000" w:themeColor="text1"/>
          <w:kern w:val="24"/>
        </w:rPr>
        <w:t>These findings align with Kaplan-Meier survival analysis (Figure 1A), which associates higher RHR with increased ischemic events. Moreover, Feature Importance Analysis (Figure 2) identifies HRV and RHR as critical predictors in AI-guided DAPT personalization. This supports the study's focus on precision risk stratification, reinforcing the need for therapy adjustments guided by autonomic markers.</w:t>
      </w:r>
    </w:p>
    <w:p w14:paraId="39021EAE" w14:textId="12C9B9A0" w:rsidR="00492667" w:rsidRDefault="00492667" w:rsidP="00F563B2">
      <w:pPr>
        <w:pStyle w:val="NormalWeb"/>
        <w:rPr>
          <w:rFonts w:asciiTheme="majorBidi" w:eastAsiaTheme="minorEastAsia" w:hAnsiTheme="majorBidi" w:cstheme="majorBidi"/>
          <w:b/>
          <w:bCs/>
          <w:color w:val="000000" w:themeColor="text1"/>
          <w:kern w:val="24"/>
        </w:rPr>
      </w:pPr>
      <w:r>
        <w:rPr>
          <w:rFonts w:asciiTheme="majorBidi" w:eastAsiaTheme="minorEastAsia" w:hAnsiTheme="majorBidi" w:cstheme="majorBidi"/>
          <w:b/>
          <w:bCs/>
          <w:color w:val="000000" w:themeColor="text1"/>
          <w:kern w:val="24"/>
        </w:rPr>
        <w:t xml:space="preserve">Supplementary Figure 2: </w:t>
      </w:r>
      <w:r w:rsidRPr="00492667">
        <w:rPr>
          <w:rFonts w:asciiTheme="majorBidi" w:eastAsiaTheme="minorEastAsia" w:hAnsiTheme="majorBidi" w:cstheme="majorBidi"/>
          <w:b/>
          <w:bCs/>
          <w:color w:val="000000" w:themeColor="text1"/>
          <w:kern w:val="24"/>
        </w:rPr>
        <w:t>Dynamic Prediction of Ischemic and Bleeding Risks Over Time</w:t>
      </w:r>
    </w:p>
    <w:p w14:paraId="35381CB5" w14:textId="77777777" w:rsidR="0096477E" w:rsidRPr="0096477E" w:rsidRDefault="0096477E" w:rsidP="0096477E">
      <w:pPr>
        <w:spacing w:before="100" w:beforeAutospacing="1" w:after="100" w:afterAutospacing="1" w:line="240" w:lineRule="auto"/>
        <w:rPr>
          <w:rFonts w:ascii="Times New Roman" w:eastAsia="Times New Roman" w:hAnsi="Times New Roman" w:cs="Times New Roman"/>
          <w:sz w:val="24"/>
          <w:szCs w:val="24"/>
        </w:rPr>
      </w:pPr>
      <w:r w:rsidRPr="0096477E">
        <w:rPr>
          <w:rFonts w:ascii="Times New Roman" w:eastAsia="Times New Roman" w:hAnsi="Times New Roman" w:cs="Times New Roman"/>
          <w:sz w:val="24"/>
          <w:szCs w:val="24"/>
        </w:rPr>
        <w:t>This figure illustrates the evolving probabilities of ischemic (blue) and bleeding (orange) risks over a 37-month period. Bleeding risk dominates initially (0–6 months), peaking at 12 months, particularly among patients on extended DAPT. Between 6–18 months, ischemic risk increases, surpassing bleeding risk after 18 months, emphasizing a critical period for prolonged DAPT to prevent ischemic events. The intersection (~12–18 months) signals a shift where ischemic risk overtakes bleeding risk, highlighting the importance of AI-driven therapy personalization. Shortened DAPT increases ischemic events post-12 months, whereas extended DAPT raises bleeding risks within the first year.</w:t>
      </w:r>
    </w:p>
    <w:p w14:paraId="7F32D460" w14:textId="1D0F00AD" w:rsidR="001F2D08" w:rsidRPr="00A46563" w:rsidRDefault="0096477E" w:rsidP="0096477E">
      <w:pPr>
        <w:spacing w:before="100" w:beforeAutospacing="1" w:after="100" w:afterAutospacing="1" w:line="240" w:lineRule="auto"/>
        <w:rPr>
          <w:rFonts w:ascii="Times New Roman" w:eastAsia="Times New Roman" w:hAnsi="Times New Roman" w:cs="Times New Roman"/>
          <w:sz w:val="24"/>
          <w:szCs w:val="24"/>
        </w:rPr>
      </w:pPr>
      <w:r w:rsidRPr="0096477E">
        <w:rPr>
          <w:rFonts w:ascii="Times New Roman" w:eastAsia="Times New Roman" w:hAnsi="Times New Roman" w:cs="Times New Roman"/>
          <w:b/>
          <w:bCs/>
          <w:sz w:val="24"/>
          <w:szCs w:val="24"/>
        </w:rPr>
        <w:t>Study Significance:</w:t>
      </w:r>
      <w:r w:rsidRPr="0096477E">
        <w:rPr>
          <w:rFonts w:ascii="Times New Roman" w:eastAsia="Times New Roman" w:hAnsi="Times New Roman" w:cs="Times New Roman"/>
          <w:sz w:val="24"/>
          <w:szCs w:val="24"/>
        </w:rPr>
        <w:t xml:space="preserve"> Consistent with Kaplan-Meier survival analysis (Figure 1A) and Time-to-Event Analysis (Figure 4A), the findings underscore AI's role in optimizing DAPT duration by predicting and adapting to patient risks dynamically.</w:t>
      </w:r>
    </w:p>
    <w:p w14:paraId="5A1ECDD1" w14:textId="09088188" w:rsidR="00492667" w:rsidRDefault="00492667" w:rsidP="00F563B2">
      <w:pPr>
        <w:pStyle w:val="NormalWeb"/>
        <w:rPr>
          <w:rFonts w:asciiTheme="majorBidi" w:eastAsiaTheme="minorEastAsia" w:hAnsiTheme="majorBidi" w:cstheme="majorBidi"/>
          <w:b/>
          <w:bCs/>
          <w:color w:val="000000" w:themeColor="text1"/>
          <w:kern w:val="24"/>
        </w:rPr>
      </w:pPr>
      <w:r>
        <w:rPr>
          <w:rFonts w:asciiTheme="majorBidi" w:eastAsiaTheme="minorEastAsia" w:hAnsiTheme="majorBidi" w:cstheme="majorBidi"/>
          <w:b/>
          <w:bCs/>
          <w:color w:val="000000" w:themeColor="text1"/>
          <w:kern w:val="24"/>
        </w:rPr>
        <w:t xml:space="preserve">Supplementary Figure 3: </w:t>
      </w:r>
      <w:r w:rsidRPr="00492667">
        <w:rPr>
          <w:rFonts w:asciiTheme="majorBidi" w:eastAsiaTheme="minorEastAsia" w:hAnsiTheme="majorBidi" w:cstheme="majorBidi"/>
          <w:b/>
          <w:bCs/>
          <w:color w:val="000000" w:themeColor="text1"/>
          <w:kern w:val="24"/>
        </w:rPr>
        <w:t>Time Series Plots trends in follow-up duration or heart rate over time, segmented by obesity category or arrhythmia type.</w:t>
      </w:r>
    </w:p>
    <w:p w14:paraId="173D5856" w14:textId="77777777" w:rsidR="0096477E" w:rsidRPr="0096477E" w:rsidRDefault="0096477E" w:rsidP="0096477E">
      <w:pPr>
        <w:spacing w:before="100" w:beforeAutospacing="1" w:after="100" w:afterAutospacing="1" w:line="240" w:lineRule="auto"/>
        <w:rPr>
          <w:rFonts w:ascii="Times New Roman" w:eastAsia="Times New Roman" w:hAnsi="Times New Roman" w:cs="Times New Roman"/>
          <w:sz w:val="24"/>
          <w:szCs w:val="24"/>
        </w:rPr>
      </w:pPr>
      <w:r w:rsidRPr="0096477E">
        <w:rPr>
          <w:rFonts w:ascii="Times New Roman" w:eastAsia="Times New Roman" w:hAnsi="Times New Roman" w:cs="Times New Roman"/>
          <w:sz w:val="24"/>
          <w:szCs w:val="24"/>
        </w:rPr>
        <w:lastRenderedPageBreak/>
        <w:t>This figure depicts heart rate trends (0–37 months) among obese (blue) and non-obese (orange) patients. At baseline, obese patients have higher resting heart rates (82 bpm vs. 72 bpm), indicating autonomic dysregulation and heightened cardiovascular stress. Over time, non-obese patients show stable heart rates, with a ~5 bpm reduction by 24 months. In contrast, obese patients maintain elevated rates, with greater fluctuations post-18 months, linked to metabolic and vascular dysfunction.</w:t>
      </w:r>
    </w:p>
    <w:p w14:paraId="7289271D" w14:textId="52361C5D" w:rsidR="0096477E" w:rsidRPr="0096477E" w:rsidRDefault="0096477E" w:rsidP="0096477E">
      <w:pPr>
        <w:spacing w:before="100" w:beforeAutospacing="1" w:after="100" w:afterAutospacing="1" w:line="240" w:lineRule="auto"/>
        <w:rPr>
          <w:rFonts w:ascii="Times New Roman" w:eastAsia="Times New Roman" w:hAnsi="Times New Roman" w:cs="Times New Roman"/>
          <w:b/>
          <w:bCs/>
          <w:sz w:val="24"/>
          <w:szCs w:val="24"/>
        </w:rPr>
      </w:pPr>
      <w:r w:rsidRPr="0096477E">
        <w:rPr>
          <w:rFonts w:ascii="Times New Roman" w:eastAsia="Times New Roman" w:hAnsi="Times New Roman" w:cs="Times New Roman"/>
          <w:b/>
          <w:bCs/>
          <w:sz w:val="24"/>
          <w:szCs w:val="24"/>
        </w:rPr>
        <w:t>Key Insights and Study Significance:</w:t>
      </w:r>
    </w:p>
    <w:p w14:paraId="12AE7EF2" w14:textId="77777777" w:rsidR="0096477E" w:rsidRPr="0096477E" w:rsidRDefault="0096477E" w:rsidP="0096477E">
      <w:pPr>
        <w:spacing w:before="100" w:beforeAutospacing="1" w:after="100" w:afterAutospacing="1" w:line="240" w:lineRule="auto"/>
        <w:rPr>
          <w:rFonts w:ascii="Times New Roman" w:eastAsia="Times New Roman" w:hAnsi="Times New Roman" w:cs="Times New Roman"/>
          <w:sz w:val="24"/>
          <w:szCs w:val="24"/>
        </w:rPr>
      </w:pPr>
      <w:r w:rsidRPr="0096477E">
        <w:rPr>
          <w:rFonts w:ascii="Times New Roman" w:eastAsia="Times New Roman" w:hAnsi="Times New Roman" w:cs="Times New Roman"/>
          <w:sz w:val="24"/>
          <w:szCs w:val="24"/>
        </w:rPr>
        <w:t>1. Obese patients exhibit reduced heart rate variability, consistent with Feature Importance Analysis (Figure 2), where autonomic markers inform DAPT risk stratification.</w:t>
      </w:r>
    </w:p>
    <w:p w14:paraId="4B48C3AF" w14:textId="77777777" w:rsidR="0096477E" w:rsidRPr="0096477E" w:rsidRDefault="0096477E" w:rsidP="0096477E">
      <w:pPr>
        <w:spacing w:before="100" w:beforeAutospacing="1" w:after="100" w:afterAutospacing="1" w:line="240" w:lineRule="auto"/>
        <w:rPr>
          <w:rFonts w:ascii="Times New Roman" w:eastAsia="Times New Roman" w:hAnsi="Times New Roman" w:cs="Times New Roman"/>
          <w:sz w:val="24"/>
          <w:szCs w:val="24"/>
        </w:rPr>
      </w:pPr>
      <w:r w:rsidRPr="0096477E">
        <w:rPr>
          <w:rFonts w:ascii="Times New Roman" w:eastAsia="Times New Roman" w:hAnsi="Times New Roman" w:cs="Times New Roman"/>
          <w:sz w:val="24"/>
          <w:szCs w:val="24"/>
        </w:rPr>
        <w:t>2. Diverging trends after 12 months correspond to ischemic and bleeding risk shifts, aligning with Kaplan-Meier (Figure 1A) and Dynamic Risk Prediction (Figure 6A).</w:t>
      </w:r>
    </w:p>
    <w:p w14:paraId="4187EC23" w14:textId="77777777" w:rsidR="0096477E" w:rsidRPr="0096477E" w:rsidRDefault="0096477E" w:rsidP="0096477E">
      <w:pPr>
        <w:spacing w:before="100" w:beforeAutospacing="1" w:after="100" w:afterAutospacing="1" w:line="240" w:lineRule="auto"/>
        <w:rPr>
          <w:rFonts w:ascii="Times New Roman" w:eastAsia="Times New Roman" w:hAnsi="Times New Roman" w:cs="Times New Roman"/>
          <w:sz w:val="24"/>
          <w:szCs w:val="24"/>
        </w:rPr>
      </w:pPr>
      <w:r w:rsidRPr="0096477E">
        <w:rPr>
          <w:rFonts w:ascii="Times New Roman" w:eastAsia="Times New Roman" w:hAnsi="Times New Roman" w:cs="Times New Roman"/>
          <w:sz w:val="24"/>
          <w:szCs w:val="24"/>
        </w:rPr>
        <w:t>3. Persistent heart rate elevation in obesity underscores the importance of AI-driven DAPT personalization to mitigate cardiovascular risks.</w:t>
      </w:r>
    </w:p>
    <w:p w14:paraId="72B69ECF" w14:textId="00EAF09C" w:rsidR="0096477E" w:rsidRPr="00A46563" w:rsidRDefault="0096477E" w:rsidP="0096477E">
      <w:pPr>
        <w:spacing w:before="100" w:beforeAutospacing="1" w:after="100" w:afterAutospacing="1" w:line="240" w:lineRule="auto"/>
        <w:rPr>
          <w:rFonts w:ascii="Times New Roman" w:eastAsia="Times New Roman" w:hAnsi="Times New Roman" w:cs="Times New Roman"/>
          <w:sz w:val="24"/>
          <w:szCs w:val="24"/>
        </w:rPr>
      </w:pPr>
      <w:r w:rsidRPr="0096477E">
        <w:rPr>
          <w:rFonts w:ascii="Times New Roman" w:eastAsia="Times New Roman" w:hAnsi="Times New Roman" w:cs="Times New Roman"/>
          <w:sz w:val="24"/>
          <w:szCs w:val="24"/>
        </w:rPr>
        <w:t>This analysis supports integrating obesity-related factors into AI-based post-PCI management for improved treatment strategies.</w:t>
      </w:r>
    </w:p>
    <w:p w14:paraId="2CAEEC4F" w14:textId="4D6732F8" w:rsidR="00492667" w:rsidRDefault="00492667" w:rsidP="00F563B2">
      <w:pPr>
        <w:pStyle w:val="NormalWeb"/>
        <w:rPr>
          <w:rFonts w:asciiTheme="majorBidi" w:eastAsiaTheme="minorEastAsia" w:hAnsiTheme="majorBidi" w:cstheme="majorBidi"/>
          <w:b/>
          <w:bCs/>
          <w:color w:val="000000" w:themeColor="text1"/>
          <w:kern w:val="24"/>
        </w:rPr>
      </w:pPr>
      <w:r>
        <w:rPr>
          <w:rFonts w:asciiTheme="majorBidi" w:eastAsiaTheme="minorEastAsia" w:hAnsiTheme="majorBidi" w:cstheme="majorBidi"/>
          <w:b/>
          <w:bCs/>
          <w:color w:val="000000" w:themeColor="text1"/>
          <w:kern w:val="24"/>
        </w:rPr>
        <w:t xml:space="preserve">Supplementary Figure 4: </w:t>
      </w:r>
      <w:r w:rsidRPr="00492667">
        <w:rPr>
          <w:rFonts w:asciiTheme="majorBidi" w:eastAsiaTheme="minorEastAsia" w:hAnsiTheme="majorBidi" w:cstheme="majorBidi"/>
          <w:b/>
          <w:bCs/>
          <w:color w:val="000000" w:themeColor="text1"/>
          <w:kern w:val="24"/>
        </w:rPr>
        <w:t>(a) Overlapping Histograms of Age and BMI Distributions in the Patient Cohort. (b) Comparative Distribution of Medication Adherence. (C) Genetic Risk Scores in the Study Cohort</w:t>
      </w:r>
    </w:p>
    <w:p w14:paraId="2E00BE64" w14:textId="0B140C77" w:rsidR="0096477E" w:rsidRPr="0096477E" w:rsidRDefault="0096477E" w:rsidP="0096477E">
      <w:pPr>
        <w:spacing w:after="0" w:line="240" w:lineRule="auto"/>
        <w:rPr>
          <w:rFonts w:ascii="Times New Roman" w:eastAsia="Times New Roman" w:hAnsi="Times New Roman" w:cs="Times New Roman"/>
          <w:sz w:val="24"/>
          <w:szCs w:val="24"/>
        </w:rPr>
      </w:pPr>
      <w:r w:rsidRPr="0096477E">
        <w:rPr>
          <w:rFonts w:ascii="Times New Roman" w:eastAsia="Times New Roman" w:hAnsi="Times New Roman" w:cs="Times New Roman"/>
          <w:sz w:val="24"/>
          <w:szCs w:val="24"/>
        </w:rPr>
        <w:t>Panel (a): This histogram illustrates the distribution of age (blue) and BMI (orange) in the cohort. Most patients are aged 55–65 years (220 patients), while BMI peaks at 28–32 kg/m² (180 patients), highlighting prevalent obesity. Overlap between higher BMI and older age underscores obesity as a key cardiovascular risk factor. This aligns with Feature Importance (Figure 2) and Time Series Trends (Supplementary Figure 3), emphasizing the role of obesity in DAPT optimization.</w:t>
      </w:r>
      <w:r>
        <w:rPr>
          <w:rFonts w:ascii="Times New Roman" w:eastAsia="Times New Roman" w:hAnsi="Times New Roman" w:cs="Times New Roman"/>
          <w:sz w:val="24"/>
          <w:szCs w:val="24"/>
        </w:rPr>
        <w:t xml:space="preserve"> </w:t>
      </w:r>
      <w:r w:rsidRPr="0096477E">
        <w:rPr>
          <w:rFonts w:ascii="Times New Roman" w:eastAsia="Times New Roman" w:hAnsi="Times New Roman" w:cs="Times New Roman"/>
          <w:sz w:val="24"/>
          <w:szCs w:val="24"/>
        </w:rPr>
        <w:t>Panel (b): Medication adherence shows a bimodal pattern, peaking at 60–70% (210 patients) and ≥90% (160 patients). Low adherence (&lt;50%, 80 patients) correlates with heightened ischemic risk due to therapy discontinuation, consistent with Kaplan-Meier (Figure 1A), highlighting AI’s role in tracking and optimizing adherence.</w:t>
      </w:r>
      <w:r>
        <w:rPr>
          <w:rFonts w:ascii="Times New Roman" w:eastAsia="Times New Roman" w:hAnsi="Times New Roman" w:cs="Times New Roman"/>
          <w:sz w:val="24"/>
          <w:szCs w:val="24"/>
        </w:rPr>
        <w:t xml:space="preserve"> </w:t>
      </w:r>
      <w:r w:rsidRPr="0096477E">
        <w:rPr>
          <w:rFonts w:ascii="Times New Roman" w:eastAsia="Times New Roman" w:hAnsi="Times New Roman" w:cs="Times New Roman"/>
          <w:sz w:val="24"/>
          <w:szCs w:val="24"/>
        </w:rPr>
        <w:t>Panel (c): The genetic risk score (GRS) is concentrated at 0.4–0.6 (250 patients, 50%), indicating moderate ischemic risk. A smaller subset (GRS &gt; 0.7, 80 patients, 16%) faces elevated cardiovascular risk, requiring extended DAPT. Combining these findings with Panel B reveals that low adherence among high-GRS patients amplifies ischemic vulnerability, reinforcing AI’s importance in precision therapy.</w:t>
      </w:r>
    </w:p>
    <w:p w14:paraId="2BE9F66B" w14:textId="3C74D59D" w:rsidR="00492667" w:rsidRDefault="00492667" w:rsidP="00F563B2">
      <w:pPr>
        <w:pStyle w:val="NormalWeb"/>
        <w:rPr>
          <w:rFonts w:asciiTheme="majorBidi" w:eastAsiaTheme="minorEastAsia" w:hAnsiTheme="majorBidi" w:cstheme="majorBidi"/>
          <w:b/>
          <w:bCs/>
          <w:color w:val="000000" w:themeColor="text1"/>
          <w:kern w:val="24"/>
        </w:rPr>
      </w:pPr>
      <w:r>
        <w:rPr>
          <w:rFonts w:asciiTheme="majorBidi" w:eastAsiaTheme="minorEastAsia" w:hAnsiTheme="majorBidi" w:cstheme="majorBidi"/>
          <w:b/>
          <w:bCs/>
          <w:color w:val="000000" w:themeColor="text1"/>
          <w:kern w:val="24"/>
        </w:rPr>
        <w:t xml:space="preserve">Supplementary Figure 5: </w:t>
      </w:r>
      <w:r w:rsidRPr="00492667">
        <w:rPr>
          <w:rFonts w:asciiTheme="majorBidi" w:eastAsiaTheme="minorEastAsia" w:hAnsiTheme="majorBidi" w:cstheme="majorBidi"/>
          <w:b/>
          <w:bCs/>
          <w:color w:val="000000" w:themeColor="text1"/>
          <w:kern w:val="24"/>
        </w:rPr>
        <w:t>Correlation Heat map of Clinical and Demographic Parameters for Post-PCI Risk Prediction</w:t>
      </w:r>
    </w:p>
    <w:p w14:paraId="6933C7B7" w14:textId="529E6094" w:rsidR="00F63E2D" w:rsidRPr="00D82D60" w:rsidRDefault="00D82D60" w:rsidP="00D82D60">
      <w:pPr>
        <w:pStyle w:val="NormalWeb"/>
        <w:rPr>
          <w:rFonts w:asciiTheme="majorBidi" w:eastAsiaTheme="minorEastAsia" w:hAnsiTheme="majorBidi" w:cstheme="majorBidi"/>
          <w:color w:val="000000" w:themeColor="text1"/>
          <w:kern w:val="24"/>
        </w:rPr>
      </w:pPr>
      <w:r w:rsidRPr="00D82D60">
        <w:rPr>
          <w:rFonts w:asciiTheme="majorBidi" w:eastAsiaTheme="minorEastAsia" w:hAnsiTheme="majorBidi" w:cstheme="majorBidi"/>
          <w:color w:val="000000" w:themeColor="text1"/>
          <w:kern w:val="24"/>
        </w:rPr>
        <w:t xml:space="preserve">This heatmap demonstrates correlations among key clinical and demographic factors using a gradient scale, with strong positive correlations in red and negative ones in blue. BMI and Age show a moderate correlation (r = 0.45, p &lt; 0.01), linking higher BMI with older age and reinforcing obesity as a major cardiovascular risk. Resting heart rate (RHR) correlates strongly </w:t>
      </w:r>
      <w:r w:rsidRPr="00D82D60">
        <w:rPr>
          <w:rFonts w:asciiTheme="majorBidi" w:eastAsiaTheme="minorEastAsia" w:hAnsiTheme="majorBidi" w:cstheme="majorBidi"/>
          <w:color w:val="000000" w:themeColor="text1"/>
          <w:kern w:val="24"/>
        </w:rPr>
        <w:lastRenderedPageBreak/>
        <w:t>with ischemic events (r = 0.72, p &lt; 0.001), highlighting elevated RHR as a predictor for post-PCI ischemic complications. An inverse relationship between medication adherence and event-free survival (r = -0.68, p &lt; 0.001) confirms that lower adherence increases ischemic and bleeding risk.</w:t>
      </w:r>
      <w:r>
        <w:rPr>
          <w:rFonts w:asciiTheme="majorBidi" w:eastAsiaTheme="minorEastAsia" w:hAnsiTheme="majorBidi" w:cstheme="majorBidi"/>
          <w:color w:val="000000" w:themeColor="text1"/>
          <w:kern w:val="24"/>
        </w:rPr>
        <w:t xml:space="preserve"> It</w:t>
      </w:r>
      <w:r w:rsidRPr="00D82D60">
        <w:rPr>
          <w:rFonts w:asciiTheme="majorBidi" w:eastAsiaTheme="minorEastAsia" w:hAnsiTheme="majorBidi" w:cstheme="majorBidi"/>
          <w:color w:val="000000" w:themeColor="text1"/>
          <w:kern w:val="24"/>
        </w:rPr>
        <w:t xml:space="preserve"> validates AI-driven feature selection (Figure 2), showing genetic risk score (GRS) correlates with ischemic events (r = 0.61, p &lt; 0.01), consistent with Kaplan-Meier survival analysis (Figure 1A). Weak correlation between BMI and bleeding events (r = 0.28, p = 0.03) suggests obesity impacts ischemic risks more than bleeding, underscoring the need for dynamic risk stratification (Figure 6A). These findings refine AI-based decision-making to enhance post-PCI outcomes and precision treatment strategies.</w:t>
      </w:r>
    </w:p>
    <w:p w14:paraId="3742572C" w14:textId="55C7B6E1" w:rsidR="00492667" w:rsidRDefault="00492667" w:rsidP="00F563B2">
      <w:pPr>
        <w:pStyle w:val="NormalWeb"/>
        <w:rPr>
          <w:rFonts w:asciiTheme="majorBidi" w:eastAsiaTheme="minorEastAsia" w:hAnsiTheme="majorBidi" w:cstheme="majorBidi"/>
          <w:b/>
          <w:bCs/>
          <w:color w:val="000000" w:themeColor="text1"/>
          <w:kern w:val="24"/>
        </w:rPr>
      </w:pPr>
      <w:r>
        <w:rPr>
          <w:rFonts w:asciiTheme="majorBidi" w:eastAsiaTheme="minorEastAsia" w:hAnsiTheme="majorBidi" w:cstheme="majorBidi"/>
          <w:b/>
          <w:bCs/>
          <w:color w:val="000000" w:themeColor="text1"/>
          <w:kern w:val="24"/>
        </w:rPr>
        <w:t xml:space="preserve">Supplementary Figure 6: </w:t>
      </w:r>
      <w:r w:rsidRPr="00492667">
        <w:rPr>
          <w:rFonts w:asciiTheme="majorBidi" w:eastAsiaTheme="minorEastAsia" w:hAnsiTheme="majorBidi" w:cstheme="majorBidi"/>
          <w:b/>
          <w:bCs/>
          <w:color w:val="000000" w:themeColor="text1"/>
          <w:kern w:val="24"/>
        </w:rPr>
        <w:t>Learning Curves for AI Model Development</w:t>
      </w:r>
    </w:p>
    <w:p w14:paraId="74B8EED4" w14:textId="037CBB37" w:rsidR="00413CB1" w:rsidRPr="00413CB1" w:rsidRDefault="00413CB1" w:rsidP="00413CB1">
      <w:pPr>
        <w:pStyle w:val="NormalWeb"/>
      </w:pPr>
      <w:r w:rsidRPr="00413CB1">
        <w:t>This figure displays AI model learning curves, showing the relationship between epochs and loss reduction during training. The training loss (blue) starts at 0.72, decreasing steadily to 0.12 by 40 epochs, indicating successful convergence. Validation loss (orange) follows a similar trend, stabilizing at 0.18 but diverging slightly after 35 epochs, suggesting potential overfitting or data variability.</w:t>
      </w:r>
    </w:p>
    <w:p w14:paraId="75AF3BBD" w14:textId="77777777" w:rsidR="00413CB1" w:rsidRPr="00413CB1" w:rsidRDefault="00413CB1" w:rsidP="00413CB1">
      <w:pPr>
        <w:pStyle w:val="NormalWeb"/>
      </w:pPr>
      <w:r w:rsidRPr="00413CB1">
        <w:t>- A sharp loss decline in the first 10 epochs reflects the model's rapid initial learning phase.</w:t>
      </w:r>
    </w:p>
    <w:p w14:paraId="5E93C442" w14:textId="77777777" w:rsidR="00413CB1" w:rsidRPr="00413CB1" w:rsidRDefault="00413CB1" w:rsidP="00413CB1">
      <w:pPr>
        <w:pStyle w:val="NormalWeb"/>
      </w:pPr>
      <w:r w:rsidRPr="00413CB1">
        <w:t>- A minimal gap (0.06) between training and validation losses at final epochs demonstrates strong generalization and robustness for ischemic and bleeding risk predictions.</w:t>
      </w:r>
    </w:p>
    <w:p w14:paraId="6BAB08C3" w14:textId="6326CED9" w:rsidR="00413CB1" w:rsidRPr="00413CB1" w:rsidRDefault="00413CB1" w:rsidP="00413CB1">
      <w:pPr>
        <w:pStyle w:val="NormalWeb"/>
      </w:pPr>
      <w:r w:rsidRPr="00413CB1">
        <w:t>- Significant validation loss increases would have indicated overfitting, requiring adjustments like dropout layers or early stopping.</w:t>
      </w:r>
    </w:p>
    <w:p w14:paraId="240CA078" w14:textId="62DA3891" w:rsidR="00413CB1" w:rsidRPr="00413CB1" w:rsidRDefault="00413CB1" w:rsidP="00413CB1">
      <w:pPr>
        <w:pStyle w:val="NormalWeb"/>
      </w:pPr>
      <w:r w:rsidRPr="00413CB1">
        <w:t>The figure confirms the AI model’s ability to capture patient-specific risk factors for DAPT personalization. The steady convergence of loss metrics ensures predictive stability, reinforcing its reliability in dynamic risk assessment (Figure 6). These trends align with high AUC values in ROC analysis (Figure 1B), validating the model's readiness for clinical post-PCI applications.</w:t>
      </w:r>
    </w:p>
    <w:p w14:paraId="04629C9D" w14:textId="6FF24C96" w:rsidR="004567DA" w:rsidRDefault="00F12B37" w:rsidP="00492667">
      <w:pPr>
        <w:pStyle w:val="NormalWeb"/>
        <w:rPr>
          <w:rFonts w:asciiTheme="majorBidi" w:eastAsiaTheme="minorEastAsia" w:hAnsiTheme="majorBidi" w:cstheme="majorBidi"/>
          <w:b/>
          <w:bCs/>
          <w:color w:val="000000" w:themeColor="text1"/>
          <w:kern w:val="24"/>
        </w:rPr>
      </w:pPr>
      <w:r w:rsidRPr="00F12B37">
        <w:rPr>
          <w:rFonts w:asciiTheme="majorBidi" w:hAnsiTheme="majorBidi" w:cstheme="majorBidi"/>
          <w:b/>
          <w:bCs/>
        </w:rPr>
        <w:t xml:space="preserve">Supplementary Figure </w:t>
      </w:r>
      <w:r w:rsidR="00492667">
        <w:rPr>
          <w:rFonts w:asciiTheme="majorBidi" w:hAnsiTheme="majorBidi" w:cstheme="majorBidi"/>
          <w:b/>
          <w:bCs/>
        </w:rPr>
        <w:t>7</w:t>
      </w:r>
      <w:r w:rsidRPr="00F12B37">
        <w:rPr>
          <w:rFonts w:asciiTheme="majorBidi" w:hAnsiTheme="majorBidi" w:cstheme="majorBidi"/>
          <w:b/>
          <w:bCs/>
        </w:rPr>
        <w:t xml:space="preserve">: </w:t>
      </w:r>
      <w:r w:rsidRPr="00F12B37">
        <w:rPr>
          <w:rFonts w:asciiTheme="majorBidi" w:eastAsiaTheme="minorEastAsia" w:hAnsiTheme="majorBidi" w:cstheme="majorBidi"/>
          <w:b/>
          <w:bCs/>
          <w:color w:val="000000" w:themeColor="text1"/>
          <w:kern w:val="24"/>
        </w:rPr>
        <w:t>Bar Chart Illustrating Ischemic and Bleeding Risk Prediction by Different DAPT Regimens Across Time Intervals (0-37 Months</w:t>
      </w:r>
      <w:r w:rsidR="00492667">
        <w:rPr>
          <w:rFonts w:asciiTheme="majorBidi" w:eastAsiaTheme="minorEastAsia" w:hAnsiTheme="majorBidi" w:cstheme="majorBidi"/>
          <w:b/>
          <w:bCs/>
          <w:color w:val="000000" w:themeColor="text1"/>
          <w:kern w:val="24"/>
        </w:rPr>
        <w:t>.</w:t>
      </w:r>
    </w:p>
    <w:p w14:paraId="4F7470EA" w14:textId="77777777" w:rsidR="00413CB1" w:rsidRPr="00413CB1" w:rsidRDefault="00413CB1" w:rsidP="00413CB1">
      <w:pPr>
        <w:pStyle w:val="NormalWeb"/>
        <w:rPr>
          <w:rFonts w:asciiTheme="majorBidi" w:eastAsiaTheme="minorEastAsia" w:hAnsiTheme="majorBidi" w:cstheme="majorBidi"/>
          <w:color w:val="000000" w:themeColor="text1"/>
          <w:kern w:val="24"/>
        </w:rPr>
      </w:pPr>
      <w:r w:rsidRPr="00413CB1">
        <w:rPr>
          <w:rFonts w:asciiTheme="majorBidi" w:eastAsiaTheme="minorEastAsia" w:hAnsiTheme="majorBidi" w:cstheme="majorBidi"/>
          <w:color w:val="000000" w:themeColor="text1"/>
          <w:kern w:val="24"/>
        </w:rPr>
        <w:t>This bar chart compares ischemic and bleeding risk predictions for Ticagrelor-only and Ticagrelor + Aspirin regimens over time.</w:t>
      </w:r>
    </w:p>
    <w:p w14:paraId="01A9A5CB" w14:textId="17A65CCD" w:rsidR="00413CB1" w:rsidRPr="00413CB1" w:rsidRDefault="00413CB1" w:rsidP="00413CB1">
      <w:pPr>
        <w:pStyle w:val="NormalWeb"/>
        <w:rPr>
          <w:rFonts w:asciiTheme="majorBidi" w:eastAsiaTheme="minorEastAsia" w:hAnsiTheme="majorBidi" w:cstheme="majorBidi"/>
          <w:b/>
          <w:bCs/>
          <w:color w:val="000000" w:themeColor="text1"/>
          <w:kern w:val="24"/>
        </w:rPr>
      </w:pPr>
      <w:r w:rsidRPr="00413CB1">
        <w:rPr>
          <w:rFonts w:asciiTheme="majorBidi" w:eastAsiaTheme="minorEastAsia" w:hAnsiTheme="majorBidi" w:cstheme="majorBidi"/>
          <w:b/>
          <w:bCs/>
          <w:color w:val="000000" w:themeColor="text1"/>
          <w:kern w:val="24"/>
        </w:rPr>
        <w:t>Ischemic Risk</w:t>
      </w:r>
      <w:r>
        <w:rPr>
          <w:rFonts w:asciiTheme="majorBidi" w:eastAsiaTheme="minorEastAsia" w:hAnsiTheme="majorBidi" w:cstheme="majorBidi"/>
          <w:b/>
          <w:bCs/>
          <w:color w:val="000000" w:themeColor="text1"/>
          <w:kern w:val="24"/>
        </w:rPr>
        <w:t xml:space="preserve"> Prediction</w:t>
      </w:r>
      <w:r w:rsidRPr="00413CB1">
        <w:rPr>
          <w:rFonts w:asciiTheme="majorBidi" w:eastAsiaTheme="minorEastAsia" w:hAnsiTheme="majorBidi" w:cstheme="majorBidi"/>
          <w:b/>
          <w:bCs/>
          <w:color w:val="000000" w:themeColor="text1"/>
          <w:kern w:val="24"/>
        </w:rPr>
        <w:t>:</w:t>
      </w:r>
    </w:p>
    <w:p w14:paraId="644A05F4" w14:textId="77777777" w:rsidR="00413CB1" w:rsidRPr="00413CB1" w:rsidRDefault="00413CB1" w:rsidP="00413CB1">
      <w:pPr>
        <w:pStyle w:val="NormalWeb"/>
        <w:rPr>
          <w:rFonts w:asciiTheme="majorBidi" w:eastAsiaTheme="minorEastAsia" w:hAnsiTheme="majorBidi" w:cstheme="majorBidi"/>
          <w:color w:val="000000" w:themeColor="text1"/>
          <w:kern w:val="24"/>
        </w:rPr>
      </w:pPr>
      <w:r w:rsidRPr="00413CB1">
        <w:rPr>
          <w:rFonts w:asciiTheme="majorBidi" w:eastAsiaTheme="minorEastAsia" w:hAnsiTheme="majorBidi" w:cstheme="majorBidi"/>
          <w:color w:val="000000" w:themeColor="text1"/>
          <w:kern w:val="24"/>
        </w:rPr>
        <w:t>- At 6 months, ischemic risk is low (8% for Ticagrelor-only, 5% for dual therapy), reflecting effective platelet inhibition.</w:t>
      </w:r>
    </w:p>
    <w:p w14:paraId="06D35E1A" w14:textId="77777777" w:rsidR="00413CB1" w:rsidRPr="00413CB1" w:rsidRDefault="00413CB1" w:rsidP="00413CB1">
      <w:pPr>
        <w:pStyle w:val="NormalWeb"/>
        <w:rPr>
          <w:rFonts w:asciiTheme="majorBidi" w:eastAsiaTheme="minorEastAsia" w:hAnsiTheme="majorBidi" w:cstheme="majorBidi"/>
          <w:color w:val="000000" w:themeColor="text1"/>
          <w:kern w:val="24"/>
        </w:rPr>
      </w:pPr>
      <w:r w:rsidRPr="00413CB1">
        <w:rPr>
          <w:rFonts w:asciiTheme="majorBidi" w:eastAsiaTheme="minorEastAsia" w:hAnsiTheme="majorBidi" w:cstheme="majorBidi"/>
          <w:color w:val="000000" w:themeColor="text1"/>
          <w:kern w:val="24"/>
        </w:rPr>
        <w:t>- By 12 months, the risk increases to 12% in Ticagrelor-only but remains 8% with dual therapy, showing the added benefit of combination treatment.</w:t>
      </w:r>
    </w:p>
    <w:p w14:paraId="75CDBF11" w14:textId="77777777" w:rsidR="00413CB1" w:rsidRPr="00413CB1" w:rsidRDefault="00413CB1" w:rsidP="00413CB1">
      <w:pPr>
        <w:pStyle w:val="NormalWeb"/>
        <w:rPr>
          <w:rFonts w:asciiTheme="majorBidi" w:eastAsiaTheme="minorEastAsia" w:hAnsiTheme="majorBidi" w:cstheme="majorBidi"/>
          <w:color w:val="000000" w:themeColor="text1"/>
          <w:kern w:val="24"/>
        </w:rPr>
      </w:pPr>
      <w:r w:rsidRPr="00413CB1">
        <w:rPr>
          <w:rFonts w:asciiTheme="majorBidi" w:eastAsiaTheme="minorEastAsia" w:hAnsiTheme="majorBidi" w:cstheme="majorBidi"/>
          <w:color w:val="000000" w:themeColor="text1"/>
          <w:kern w:val="24"/>
        </w:rPr>
        <w:lastRenderedPageBreak/>
        <w:t>- At 24 months, ischemic risk rises to 20% in Ticagrelor-only and 14% in dual therapy, emphasizing extended ischemic protection with dual therapy.</w:t>
      </w:r>
    </w:p>
    <w:p w14:paraId="24F483F4" w14:textId="41255532" w:rsidR="00413CB1" w:rsidRPr="00413CB1" w:rsidRDefault="00413CB1" w:rsidP="00413CB1">
      <w:pPr>
        <w:pStyle w:val="NormalWeb"/>
        <w:rPr>
          <w:rFonts w:asciiTheme="majorBidi" w:eastAsiaTheme="minorEastAsia" w:hAnsiTheme="majorBidi" w:cstheme="majorBidi"/>
          <w:b/>
          <w:bCs/>
          <w:color w:val="000000" w:themeColor="text1"/>
          <w:kern w:val="24"/>
        </w:rPr>
      </w:pPr>
      <w:r w:rsidRPr="00413CB1">
        <w:rPr>
          <w:rFonts w:asciiTheme="majorBidi" w:eastAsiaTheme="minorEastAsia" w:hAnsiTheme="majorBidi" w:cstheme="majorBidi"/>
          <w:b/>
          <w:bCs/>
          <w:color w:val="000000" w:themeColor="text1"/>
          <w:kern w:val="24"/>
        </w:rPr>
        <w:t>Bleeding Risk</w:t>
      </w:r>
      <w:r>
        <w:rPr>
          <w:rFonts w:asciiTheme="majorBidi" w:eastAsiaTheme="minorEastAsia" w:hAnsiTheme="majorBidi" w:cstheme="majorBidi"/>
          <w:b/>
          <w:bCs/>
          <w:color w:val="000000" w:themeColor="text1"/>
          <w:kern w:val="24"/>
        </w:rPr>
        <w:t xml:space="preserve"> Prediction</w:t>
      </w:r>
      <w:r w:rsidRPr="00413CB1">
        <w:rPr>
          <w:rFonts w:asciiTheme="majorBidi" w:eastAsiaTheme="minorEastAsia" w:hAnsiTheme="majorBidi" w:cstheme="majorBidi"/>
          <w:b/>
          <w:bCs/>
          <w:color w:val="000000" w:themeColor="text1"/>
          <w:kern w:val="24"/>
        </w:rPr>
        <w:t>:</w:t>
      </w:r>
    </w:p>
    <w:p w14:paraId="5376F6B0" w14:textId="77777777" w:rsidR="00413CB1" w:rsidRPr="00413CB1" w:rsidRDefault="00413CB1" w:rsidP="00413CB1">
      <w:pPr>
        <w:pStyle w:val="NormalWeb"/>
        <w:rPr>
          <w:rFonts w:asciiTheme="majorBidi" w:eastAsiaTheme="minorEastAsia" w:hAnsiTheme="majorBidi" w:cstheme="majorBidi"/>
          <w:color w:val="000000" w:themeColor="text1"/>
          <w:kern w:val="24"/>
        </w:rPr>
      </w:pPr>
      <w:r w:rsidRPr="00413CB1">
        <w:rPr>
          <w:rFonts w:asciiTheme="majorBidi" w:eastAsiaTheme="minorEastAsia" w:hAnsiTheme="majorBidi" w:cstheme="majorBidi"/>
          <w:color w:val="000000" w:themeColor="text1"/>
          <w:kern w:val="24"/>
        </w:rPr>
        <w:t>- At 6 months, bleeding risk is 4% for Ticagrelor-only and 7% for dual therapy, highlighting aspirin's contribution to bleeding.</w:t>
      </w:r>
    </w:p>
    <w:p w14:paraId="15E2AFFB" w14:textId="77777777" w:rsidR="00413CB1" w:rsidRPr="00413CB1" w:rsidRDefault="00413CB1" w:rsidP="00413CB1">
      <w:pPr>
        <w:pStyle w:val="NormalWeb"/>
        <w:rPr>
          <w:rFonts w:asciiTheme="majorBidi" w:eastAsiaTheme="minorEastAsia" w:hAnsiTheme="majorBidi" w:cstheme="majorBidi"/>
          <w:color w:val="000000" w:themeColor="text1"/>
          <w:kern w:val="24"/>
        </w:rPr>
      </w:pPr>
      <w:r w:rsidRPr="00413CB1">
        <w:rPr>
          <w:rFonts w:asciiTheme="majorBidi" w:eastAsiaTheme="minorEastAsia" w:hAnsiTheme="majorBidi" w:cstheme="majorBidi"/>
          <w:color w:val="000000" w:themeColor="text1"/>
          <w:kern w:val="24"/>
        </w:rPr>
        <w:t>- By 12 months, bleeding risk grows to 10% with dual therapy versus 6% for Ticagrelor-only.</w:t>
      </w:r>
    </w:p>
    <w:p w14:paraId="3485F532" w14:textId="77777777" w:rsidR="00413CB1" w:rsidRPr="00413CB1" w:rsidRDefault="00413CB1" w:rsidP="00413CB1">
      <w:pPr>
        <w:pStyle w:val="NormalWeb"/>
        <w:rPr>
          <w:rFonts w:asciiTheme="majorBidi" w:eastAsiaTheme="minorEastAsia" w:hAnsiTheme="majorBidi" w:cstheme="majorBidi"/>
          <w:color w:val="000000" w:themeColor="text1"/>
          <w:kern w:val="24"/>
        </w:rPr>
      </w:pPr>
      <w:r w:rsidRPr="00413CB1">
        <w:rPr>
          <w:rFonts w:asciiTheme="majorBidi" w:eastAsiaTheme="minorEastAsia" w:hAnsiTheme="majorBidi" w:cstheme="majorBidi"/>
          <w:color w:val="000000" w:themeColor="text1"/>
          <w:kern w:val="24"/>
        </w:rPr>
        <w:t>- At 24 months, bleeding events reach 18% with dual therapy compared to 12% in Ticagrelor-only, indicating heightened susceptibility from prolonged dual therapy.</w:t>
      </w:r>
    </w:p>
    <w:p w14:paraId="607BDBFB" w14:textId="3CB65569" w:rsidR="00413CB1" w:rsidRPr="00413CB1" w:rsidRDefault="00413CB1" w:rsidP="00413CB1">
      <w:pPr>
        <w:pStyle w:val="NormalWeb"/>
        <w:rPr>
          <w:rFonts w:asciiTheme="majorBidi" w:eastAsiaTheme="minorEastAsia" w:hAnsiTheme="majorBidi" w:cstheme="majorBidi"/>
          <w:b/>
          <w:bCs/>
          <w:color w:val="000000" w:themeColor="text1"/>
          <w:kern w:val="24"/>
        </w:rPr>
      </w:pPr>
      <w:r w:rsidRPr="00413CB1">
        <w:rPr>
          <w:rFonts w:asciiTheme="majorBidi" w:eastAsiaTheme="minorEastAsia" w:hAnsiTheme="majorBidi" w:cstheme="majorBidi"/>
          <w:b/>
          <w:bCs/>
          <w:color w:val="000000" w:themeColor="text1"/>
          <w:kern w:val="24"/>
        </w:rPr>
        <w:t>Scientific Insights for DAPT Regimens:</w:t>
      </w:r>
    </w:p>
    <w:p w14:paraId="0AB3055A" w14:textId="77777777" w:rsidR="00413CB1" w:rsidRPr="00413CB1" w:rsidRDefault="00413CB1" w:rsidP="00413CB1">
      <w:pPr>
        <w:pStyle w:val="NormalWeb"/>
        <w:rPr>
          <w:rFonts w:asciiTheme="majorBidi" w:eastAsiaTheme="minorEastAsia" w:hAnsiTheme="majorBidi" w:cstheme="majorBidi"/>
          <w:color w:val="000000" w:themeColor="text1"/>
          <w:kern w:val="24"/>
        </w:rPr>
      </w:pPr>
      <w:r w:rsidRPr="00413CB1">
        <w:rPr>
          <w:rFonts w:asciiTheme="majorBidi" w:eastAsiaTheme="minorEastAsia" w:hAnsiTheme="majorBidi" w:cstheme="majorBidi"/>
          <w:color w:val="000000" w:themeColor="text1"/>
          <w:kern w:val="24"/>
        </w:rPr>
        <w:t>- Ticagrelor-only reduces bleeding risk but shows rising ischemic vulnerability, limiting its effectiveness in high-risk ischemic patients.</w:t>
      </w:r>
    </w:p>
    <w:p w14:paraId="10E10705" w14:textId="77777777" w:rsidR="00413CB1" w:rsidRPr="00413CB1" w:rsidRDefault="00413CB1" w:rsidP="00413CB1">
      <w:pPr>
        <w:pStyle w:val="NormalWeb"/>
        <w:rPr>
          <w:rFonts w:asciiTheme="majorBidi" w:eastAsiaTheme="minorEastAsia" w:hAnsiTheme="majorBidi" w:cstheme="majorBidi"/>
          <w:color w:val="000000" w:themeColor="text1"/>
          <w:kern w:val="24"/>
        </w:rPr>
      </w:pPr>
      <w:r w:rsidRPr="00413CB1">
        <w:rPr>
          <w:rFonts w:asciiTheme="majorBidi" w:eastAsiaTheme="minorEastAsia" w:hAnsiTheme="majorBidi" w:cstheme="majorBidi"/>
          <w:color w:val="000000" w:themeColor="text1"/>
          <w:kern w:val="24"/>
        </w:rPr>
        <w:t>- Ticagrelor + Aspirin offers enhanced ischemic protection, particularly beyond 12 months, at the expense of higher bleeding risk.</w:t>
      </w:r>
    </w:p>
    <w:p w14:paraId="4340E36E" w14:textId="77777777" w:rsidR="00413CB1" w:rsidRPr="00413CB1" w:rsidRDefault="00413CB1" w:rsidP="00413CB1">
      <w:pPr>
        <w:pStyle w:val="Heading3"/>
        <w:rPr>
          <w:sz w:val="24"/>
          <w:szCs w:val="24"/>
        </w:rPr>
      </w:pPr>
      <w:r w:rsidRPr="00413CB1">
        <w:rPr>
          <w:rStyle w:val="Strong"/>
          <w:b/>
          <w:bCs/>
          <w:sz w:val="24"/>
          <w:szCs w:val="24"/>
        </w:rPr>
        <w:t>Study Integration and Conclusion:</w:t>
      </w:r>
    </w:p>
    <w:p w14:paraId="5C7850E1" w14:textId="4F1E1DAF" w:rsidR="007A7753" w:rsidRPr="007A7753" w:rsidRDefault="00413CB1" w:rsidP="00531B7B">
      <w:pPr>
        <w:pStyle w:val="NormalWeb"/>
        <w:rPr>
          <w:rFonts w:asciiTheme="majorBidi" w:eastAsiaTheme="minorEastAsia" w:hAnsiTheme="majorBidi" w:cstheme="majorBidi"/>
          <w:color w:val="000000" w:themeColor="text1"/>
          <w:kern w:val="24"/>
        </w:rPr>
      </w:pPr>
      <w:r w:rsidRPr="00413CB1">
        <w:rPr>
          <w:rFonts w:asciiTheme="majorBidi" w:eastAsiaTheme="minorEastAsia" w:hAnsiTheme="majorBidi" w:cstheme="majorBidi"/>
          <w:color w:val="000000" w:themeColor="text1"/>
          <w:kern w:val="24"/>
        </w:rPr>
        <w:t>Aligned with Kaplan-Meier (Figure 1A) and Time-to-Event analyses (Figure 4A), these results validate AI-driven personalization of DAPT regimens. Precision adjustments ensure optimal protection, balancing ischemic and bleeding risks to improve post-PCI outcomes.</w:t>
      </w:r>
    </w:p>
    <w:p w14:paraId="64DEDC19" w14:textId="26217A34" w:rsidR="004567DA" w:rsidRPr="004567DA" w:rsidRDefault="00492667" w:rsidP="004567DA">
      <w:pPr>
        <w:spacing w:before="100" w:beforeAutospacing="1" w:after="100" w:afterAutospacing="1" w:line="240" w:lineRule="auto"/>
        <w:outlineLvl w:val="2"/>
        <w:rPr>
          <w:rFonts w:ascii="Times New Roman" w:eastAsia="Times New Roman" w:hAnsi="Times New Roman" w:cs="Times New Roman"/>
          <w:b/>
          <w:bCs/>
          <w:sz w:val="27"/>
          <w:szCs w:val="27"/>
        </w:rPr>
      </w:pPr>
      <w:r>
        <w:rPr>
          <w:rFonts w:ascii="Times New Roman" w:eastAsia="Times New Roman" w:hAnsi="Times New Roman" w:cs="Times New Roman"/>
          <w:b/>
          <w:bCs/>
          <w:sz w:val="27"/>
          <w:szCs w:val="27"/>
        </w:rPr>
        <w:t xml:space="preserve">13. </w:t>
      </w:r>
      <w:r w:rsidR="004567DA" w:rsidRPr="004567DA">
        <w:rPr>
          <w:rFonts w:ascii="Times New Roman" w:eastAsia="Times New Roman" w:hAnsi="Times New Roman" w:cs="Times New Roman"/>
          <w:b/>
          <w:bCs/>
          <w:sz w:val="27"/>
          <w:szCs w:val="27"/>
        </w:rPr>
        <w:t>Limitations</w:t>
      </w:r>
    </w:p>
    <w:p w14:paraId="751584AD" w14:textId="77777777" w:rsidR="007A7753" w:rsidRDefault="004567DA" w:rsidP="007A7753">
      <w:pPr>
        <w:spacing w:before="100" w:beforeAutospacing="1" w:after="0" w:line="240" w:lineRule="auto"/>
        <w:outlineLvl w:val="3"/>
        <w:rPr>
          <w:rFonts w:ascii="Times New Roman" w:eastAsia="Times New Roman" w:hAnsi="Times New Roman" w:cs="Times New Roman"/>
          <w:b/>
          <w:bCs/>
          <w:sz w:val="24"/>
          <w:szCs w:val="24"/>
        </w:rPr>
      </w:pPr>
      <w:r w:rsidRPr="004567DA">
        <w:rPr>
          <w:rFonts w:ascii="Times New Roman" w:eastAsia="Times New Roman" w:hAnsi="Times New Roman" w:cs="Times New Roman"/>
          <w:b/>
          <w:bCs/>
          <w:sz w:val="24"/>
          <w:szCs w:val="24"/>
        </w:rPr>
        <w:t>1</w:t>
      </w:r>
      <w:r w:rsidR="00492667">
        <w:rPr>
          <w:rFonts w:ascii="Times New Roman" w:eastAsia="Times New Roman" w:hAnsi="Times New Roman" w:cs="Times New Roman"/>
          <w:b/>
          <w:bCs/>
          <w:sz w:val="24"/>
          <w:szCs w:val="24"/>
        </w:rPr>
        <w:t>3</w:t>
      </w:r>
      <w:r w:rsidRPr="004567DA">
        <w:rPr>
          <w:rFonts w:ascii="Times New Roman" w:eastAsia="Times New Roman" w:hAnsi="Times New Roman" w:cs="Times New Roman"/>
          <w:b/>
          <w:bCs/>
          <w:sz w:val="24"/>
          <w:szCs w:val="24"/>
        </w:rPr>
        <w:t>.</w:t>
      </w:r>
      <w:r w:rsidR="00492667">
        <w:rPr>
          <w:rFonts w:ascii="Times New Roman" w:eastAsia="Times New Roman" w:hAnsi="Times New Roman" w:cs="Times New Roman"/>
          <w:b/>
          <w:bCs/>
          <w:sz w:val="24"/>
          <w:szCs w:val="24"/>
        </w:rPr>
        <w:t>1</w:t>
      </w:r>
      <w:r w:rsidRPr="004567DA">
        <w:rPr>
          <w:rFonts w:ascii="Times New Roman" w:eastAsia="Times New Roman" w:hAnsi="Times New Roman" w:cs="Times New Roman"/>
          <w:b/>
          <w:bCs/>
          <w:sz w:val="24"/>
          <w:szCs w:val="24"/>
        </w:rPr>
        <w:t xml:space="preserve"> Data Quality</w:t>
      </w:r>
      <w:r w:rsidR="007A7753">
        <w:rPr>
          <w:rFonts w:ascii="Times New Roman" w:eastAsia="Times New Roman" w:hAnsi="Times New Roman" w:cs="Times New Roman"/>
          <w:b/>
          <w:bCs/>
          <w:sz w:val="24"/>
          <w:szCs w:val="24"/>
        </w:rPr>
        <w:t xml:space="preserve"> Challenges:</w:t>
      </w:r>
    </w:p>
    <w:p w14:paraId="03F46CCA" w14:textId="74576E11" w:rsidR="00413CB1" w:rsidRDefault="00413CB1" w:rsidP="007A7753">
      <w:pPr>
        <w:spacing w:before="100" w:beforeAutospacing="1" w:after="0" w:line="240" w:lineRule="auto"/>
        <w:outlineLvl w:val="3"/>
        <w:rPr>
          <w:rFonts w:ascii="Times New Roman" w:eastAsia="Times New Roman" w:hAnsi="Times New Roman" w:cs="Times New Roman"/>
          <w:sz w:val="24"/>
          <w:szCs w:val="24"/>
        </w:rPr>
      </w:pPr>
      <w:r w:rsidRPr="00413CB1">
        <w:rPr>
          <w:rFonts w:ascii="Times New Roman" w:eastAsia="Times New Roman" w:hAnsi="Times New Roman" w:cs="Times New Roman"/>
          <w:sz w:val="24"/>
          <w:szCs w:val="24"/>
        </w:rPr>
        <w:t>Despite preprocessing, the study faced issues with missing values and data inconsistencies. Although multiple imputation techniques addressed gaps, imputed values might not fully reflect true variability. Using retrospective electronic health records (EHRs) added challenges like incomplete documentation and inconsistent data collection across centers. These limitations highlight the need for prospective studies with standardized protocols to improve data reliability.</w:t>
      </w:r>
    </w:p>
    <w:p w14:paraId="0B9CC2C4" w14:textId="77777777" w:rsidR="007A7753" w:rsidRPr="007A7753" w:rsidRDefault="00413CB1" w:rsidP="007A7753">
      <w:pPr>
        <w:spacing w:before="100" w:beforeAutospacing="1" w:after="0" w:line="240" w:lineRule="auto"/>
        <w:rPr>
          <w:rFonts w:ascii="Times New Roman" w:eastAsia="Times New Roman" w:hAnsi="Times New Roman" w:cs="Times New Roman"/>
          <w:b/>
          <w:bCs/>
          <w:sz w:val="24"/>
          <w:szCs w:val="24"/>
        </w:rPr>
      </w:pPr>
      <w:r w:rsidRPr="007A7753">
        <w:rPr>
          <w:rFonts w:ascii="Times New Roman" w:eastAsia="Times New Roman" w:hAnsi="Times New Roman" w:cs="Times New Roman"/>
          <w:b/>
          <w:bCs/>
          <w:sz w:val="24"/>
          <w:szCs w:val="24"/>
        </w:rPr>
        <w:t xml:space="preserve">13.2 Generalizability Concerns: </w:t>
      </w:r>
    </w:p>
    <w:p w14:paraId="7B61830F" w14:textId="1091D907" w:rsidR="00413CB1" w:rsidRDefault="00413CB1" w:rsidP="007A7753">
      <w:pPr>
        <w:spacing w:before="100" w:beforeAutospacing="1" w:after="0" w:line="240" w:lineRule="auto"/>
        <w:rPr>
          <w:rFonts w:ascii="Times New Roman" w:eastAsia="Times New Roman" w:hAnsi="Times New Roman" w:cs="Times New Roman"/>
          <w:sz w:val="24"/>
          <w:szCs w:val="24"/>
        </w:rPr>
      </w:pPr>
      <w:r w:rsidRPr="00413CB1">
        <w:rPr>
          <w:rFonts w:ascii="Times New Roman" w:eastAsia="Times New Roman" w:hAnsi="Times New Roman" w:cs="Times New Roman"/>
          <w:sz w:val="24"/>
          <w:szCs w:val="24"/>
        </w:rPr>
        <w:t>While the AI framework showed strong results in the UAE population, its applicability to other regions remains uncertain. Unique demographic factors, such as high diabetes prevalence and genetic predispositions, may limit transferability to populations with differing risk profiles. Variations in care practices and healthcare systems further underscore the need for multi-center, multinational validation studies to ensure broader adaptability.</w:t>
      </w:r>
    </w:p>
    <w:p w14:paraId="5FE6516C" w14:textId="77777777" w:rsidR="007A7753" w:rsidRPr="007A7753" w:rsidRDefault="00413CB1" w:rsidP="00413CB1">
      <w:pPr>
        <w:spacing w:before="100" w:beforeAutospacing="1" w:after="100" w:afterAutospacing="1" w:line="240" w:lineRule="auto"/>
        <w:rPr>
          <w:rFonts w:ascii="Times New Roman" w:eastAsia="Times New Roman" w:hAnsi="Times New Roman" w:cs="Times New Roman"/>
          <w:b/>
          <w:bCs/>
          <w:sz w:val="24"/>
          <w:szCs w:val="24"/>
        </w:rPr>
      </w:pPr>
      <w:r w:rsidRPr="007A7753">
        <w:rPr>
          <w:rFonts w:ascii="Times New Roman" w:eastAsia="Times New Roman" w:hAnsi="Times New Roman" w:cs="Times New Roman"/>
          <w:b/>
          <w:bCs/>
          <w:sz w:val="24"/>
          <w:szCs w:val="24"/>
        </w:rPr>
        <w:t>13.3 Implementation Barriers:</w:t>
      </w:r>
    </w:p>
    <w:p w14:paraId="4C482250" w14:textId="0FFFB598" w:rsidR="00413CB1" w:rsidRPr="00413CB1" w:rsidRDefault="00413CB1" w:rsidP="00413CB1">
      <w:pPr>
        <w:spacing w:before="100" w:beforeAutospacing="1" w:after="100" w:afterAutospacing="1" w:line="240" w:lineRule="auto"/>
        <w:rPr>
          <w:rFonts w:ascii="Times New Roman" w:eastAsia="Times New Roman" w:hAnsi="Times New Roman" w:cs="Times New Roman"/>
          <w:sz w:val="24"/>
          <w:szCs w:val="24"/>
        </w:rPr>
      </w:pPr>
      <w:r w:rsidRPr="00413CB1">
        <w:rPr>
          <w:rFonts w:ascii="Times New Roman" w:eastAsia="Times New Roman" w:hAnsi="Times New Roman" w:cs="Times New Roman"/>
          <w:sz w:val="24"/>
          <w:szCs w:val="24"/>
        </w:rPr>
        <w:lastRenderedPageBreak/>
        <w:t xml:space="preserve"> Real-world adoption faces hurdles, including clinician resistance, infrastructure gaps, and data privacy concerns. Unfamiliarity with AI and interpretability issues may lead to hesitancy among clinicians. Effective integration into workflows requires robust IT infrastructure and interoperability with EHR systems, which are not universally available. Addressing these barriers calls for clinician training, infrastructure investment, and user-friendly AI interfaces to facilitate adoption.</w:t>
      </w:r>
    </w:p>
    <w:p w14:paraId="61E19A72" w14:textId="0EC3A208" w:rsidR="00413CB1" w:rsidRPr="004567DA" w:rsidRDefault="00413CB1" w:rsidP="007A7753">
      <w:pPr>
        <w:spacing w:before="100" w:beforeAutospacing="1" w:after="100" w:afterAutospacing="1" w:line="240" w:lineRule="auto"/>
        <w:rPr>
          <w:rFonts w:ascii="Times New Roman" w:eastAsia="Times New Roman" w:hAnsi="Times New Roman" w:cs="Times New Roman"/>
          <w:sz w:val="24"/>
          <w:szCs w:val="24"/>
        </w:rPr>
      </w:pPr>
      <w:r w:rsidRPr="00413CB1">
        <w:rPr>
          <w:rFonts w:ascii="Times New Roman" w:eastAsia="Times New Roman" w:hAnsi="Times New Roman" w:cs="Times New Roman"/>
          <w:sz w:val="24"/>
          <w:szCs w:val="24"/>
        </w:rPr>
        <w:t>By tackling these challenges, the framework’s potential for dynamic, AI-driven DAPT management can be fully realized, ensuring higher-quality and patient-centered care across diverse settings.</w:t>
      </w:r>
    </w:p>
    <w:p w14:paraId="64571135" w14:textId="28A4FA34" w:rsidR="004567DA" w:rsidRPr="004567DA" w:rsidRDefault="00492667" w:rsidP="004567DA">
      <w:pPr>
        <w:spacing w:before="100" w:beforeAutospacing="1" w:after="100" w:afterAutospacing="1" w:line="240" w:lineRule="auto"/>
        <w:outlineLvl w:val="2"/>
        <w:rPr>
          <w:rFonts w:ascii="Times New Roman" w:eastAsia="Times New Roman" w:hAnsi="Times New Roman" w:cs="Times New Roman"/>
          <w:b/>
          <w:bCs/>
          <w:sz w:val="27"/>
          <w:szCs w:val="27"/>
        </w:rPr>
      </w:pPr>
      <w:r>
        <w:rPr>
          <w:rFonts w:ascii="Times New Roman" w:eastAsia="Times New Roman" w:hAnsi="Times New Roman" w:cs="Times New Roman"/>
          <w:b/>
          <w:bCs/>
          <w:sz w:val="27"/>
          <w:szCs w:val="27"/>
        </w:rPr>
        <w:t xml:space="preserve">14. </w:t>
      </w:r>
      <w:r w:rsidR="004567DA" w:rsidRPr="004567DA">
        <w:rPr>
          <w:rFonts w:ascii="Times New Roman" w:eastAsia="Times New Roman" w:hAnsi="Times New Roman" w:cs="Times New Roman"/>
          <w:b/>
          <w:bCs/>
          <w:sz w:val="27"/>
          <w:szCs w:val="27"/>
        </w:rPr>
        <w:t>Commentary: Future Directions for Research</w:t>
      </w:r>
    </w:p>
    <w:p w14:paraId="436E2294" w14:textId="574BA8E0" w:rsidR="007A7753" w:rsidRPr="007A7753" w:rsidRDefault="007A7753" w:rsidP="004567DA">
      <w:pPr>
        <w:spacing w:before="100" w:beforeAutospacing="1" w:after="100" w:afterAutospacing="1" w:line="240" w:lineRule="auto"/>
        <w:rPr>
          <w:rFonts w:ascii="Times New Roman" w:eastAsia="Times New Roman" w:hAnsi="Times New Roman" w:cs="Times New Roman"/>
          <w:sz w:val="24"/>
          <w:szCs w:val="24"/>
          <w:highlight w:val="yellow"/>
        </w:rPr>
      </w:pPr>
      <w:r w:rsidRPr="007A7753">
        <w:rPr>
          <w:rFonts w:ascii="Times New Roman" w:eastAsia="Times New Roman" w:hAnsi="Times New Roman" w:cs="Times New Roman"/>
          <w:sz w:val="24"/>
          <w:szCs w:val="24"/>
        </w:rPr>
        <w:t>These points build on the study’s findings while addressing critical gaps and challenges in the field.</w:t>
      </w:r>
    </w:p>
    <w:p w14:paraId="5E1CC619" w14:textId="77777777" w:rsidR="007A7753" w:rsidRPr="007A7753" w:rsidRDefault="007A7753" w:rsidP="007A7753">
      <w:pPr>
        <w:spacing w:before="100" w:beforeAutospacing="1" w:after="100" w:afterAutospacing="1" w:line="240" w:lineRule="auto"/>
        <w:rPr>
          <w:rFonts w:ascii="Times New Roman" w:eastAsia="Times New Roman" w:hAnsi="Times New Roman" w:cs="Times New Roman"/>
          <w:b/>
          <w:bCs/>
          <w:sz w:val="24"/>
          <w:szCs w:val="24"/>
        </w:rPr>
      </w:pPr>
      <w:r w:rsidRPr="007A7753">
        <w:rPr>
          <w:rFonts w:ascii="Times New Roman" w:eastAsia="Times New Roman" w:hAnsi="Times New Roman" w:cs="Times New Roman"/>
          <w:b/>
          <w:bCs/>
          <w:sz w:val="24"/>
          <w:szCs w:val="24"/>
        </w:rPr>
        <w:t xml:space="preserve">14.1 Wearable Integration: </w:t>
      </w:r>
    </w:p>
    <w:p w14:paraId="26C1E764" w14:textId="4EE5B9FC" w:rsidR="007A7753" w:rsidRPr="007A7753" w:rsidRDefault="007A7753" w:rsidP="007A7753">
      <w:pPr>
        <w:spacing w:before="100" w:beforeAutospacing="1" w:after="100" w:afterAutospacing="1" w:line="240" w:lineRule="auto"/>
        <w:rPr>
          <w:rFonts w:ascii="Times New Roman" w:eastAsia="Times New Roman" w:hAnsi="Times New Roman" w:cs="Times New Roman"/>
          <w:sz w:val="24"/>
          <w:szCs w:val="24"/>
        </w:rPr>
      </w:pPr>
      <w:r w:rsidRPr="007A7753">
        <w:rPr>
          <w:rFonts w:ascii="Times New Roman" w:eastAsia="Times New Roman" w:hAnsi="Times New Roman" w:cs="Times New Roman"/>
          <w:sz w:val="24"/>
          <w:szCs w:val="24"/>
        </w:rPr>
        <w:t>Incorporating wearable devices into the AI framework offers real-time risk prediction by tracking physiological data, such as heart rate variability, activity, and sleep patterns. These metrics can dynamically adjust DAPT duration based on individual needs. For instance, reduced activity or abnormal heart rate may indicate increased ischemic risk, enabling timely therapy adjustments. Future research should focus on the feasibility and impact of integrating wearable data into existing AI models to enhance clinical outcomes.</w:t>
      </w:r>
    </w:p>
    <w:p w14:paraId="1FB7EA96" w14:textId="77777777" w:rsidR="007A7753" w:rsidRPr="007A7753" w:rsidRDefault="007A7753" w:rsidP="007A7753">
      <w:pPr>
        <w:spacing w:before="100" w:beforeAutospacing="1" w:after="100" w:afterAutospacing="1" w:line="240" w:lineRule="auto"/>
        <w:rPr>
          <w:rFonts w:ascii="Times New Roman" w:eastAsia="Times New Roman" w:hAnsi="Times New Roman" w:cs="Times New Roman"/>
          <w:b/>
          <w:bCs/>
          <w:sz w:val="24"/>
          <w:szCs w:val="24"/>
        </w:rPr>
      </w:pPr>
      <w:r w:rsidRPr="007A7753">
        <w:rPr>
          <w:rFonts w:ascii="Times New Roman" w:eastAsia="Times New Roman" w:hAnsi="Times New Roman" w:cs="Times New Roman"/>
          <w:b/>
          <w:bCs/>
          <w:sz w:val="24"/>
          <w:szCs w:val="24"/>
        </w:rPr>
        <w:t xml:space="preserve">14.2 Federated Learning: </w:t>
      </w:r>
    </w:p>
    <w:p w14:paraId="7F651DD9" w14:textId="69529200" w:rsidR="007A7753" w:rsidRPr="007A7753" w:rsidRDefault="007A7753" w:rsidP="007A7753">
      <w:pPr>
        <w:spacing w:before="100" w:beforeAutospacing="1" w:after="100" w:afterAutospacing="1" w:line="240" w:lineRule="auto"/>
        <w:rPr>
          <w:rFonts w:ascii="Times New Roman" w:eastAsia="Times New Roman" w:hAnsi="Times New Roman" w:cs="Times New Roman"/>
          <w:sz w:val="24"/>
          <w:szCs w:val="24"/>
        </w:rPr>
      </w:pPr>
      <w:r w:rsidRPr="007A7753">
        <w:rPr>
          <w:rFonts w:ascii="Times New Roman" w:eastAsia="Times New Roman" w:hAnsi="Times New Roman" w:cs="Times New Roman"/>
          <w:sz w:val="24"/>
          <w:szCs w:val="24"/>
        </w:rPr>
        <w:t>Federated learning addresses generalizability limitations by enabling decentralized model training across diverse populations without sharing sensitive data. This approach improves generalizability and resolves privacy concerns, making it ideal for large-scale validation. Future studies should establish federated learning networks across multi-center cohorts to ensure the framework's adaptability and scalability across varied demographics and healthcare settings.</w:t>
      </w:r>
    </w:p>
    <w:p w14:paraId="1778403D" w14:textId="77777777" w:rsidR="007A7753" w:rsidRPr="007A7753" w:rsidRDefault="007A7753" w:rsidP="007A7753">
      <w:pPr>
        <w:spacing w:before="100" w:beforeAutospacing="1" w:after="100" w:afterAutospacing="1" w:line="240" w:lineRule="auto"/>
        <w:rPr>
          <w:rFonts w:ascii="Times New Roman" w:eastAsia="Times New Roman" w:hAnsi="Times New Roman" w:cs="Times New Roman"/>
          <w:b/>
          <w:bCs/>
          <w:sz w:val="24"/>
          <w:szCs w:val="24"/>
        </w:rPr>
      </w:pPr>
      <w:r w:rsidRPr="007A7753">
        <w:rPr>
          <w:rFonts w:ascii="Times New Roman" w:eastAsia="Times New Roman" w:hAnsi="Times New Roman" w:cs="Times New Roman"/>
          <w:b/>
          <w:bCs/>
          <w:sz w:val="24"/>
          <w:szCs w:val="24"/>
        </w:rPr>
        <w:t>14.3 Long-Term Outcomes:</w:t>
      </w:r>
    </w:p>
    <w:p w14:paraId="0CDA38BE" w14:textId="1B4A9664" w:rsidR="007A7753" w:rsidRPr="007A7753" w:rsidRDefault="007A7753" w:rsidP="007A7753">
      <w:pPr>
        <w:spacing w:before="100" w:beforeAutospacing="1" w:after="100" w:afterAutospacing="1" w:line="240" w:lineRule="auto"/>
        <w:rPr>
          <w:rFonts w:ascii="Times New Roman" w:eastAsia="Times New Roman" w:hAnsi="Times New Roman" w:cs="Times New Roman"/>
          <w:sz w:val="24"/>
          <w:szCs w:val="24"/>
        </w:rPr>
      </w:pPr>
      <w:r w:rsidRPr="007A7753">
        <w:rPr>
          <w:rFonts w:ascii="Times New Roman" w:eastAsia="Times New Roman" w:hAnsi="Times New Roman" w:cs="Times New Roman"/>
          <w:sz w:val="24"/>
          <w:szCs w:val="24"/>
        </w:rPr>
        <w:t xml:space="preserve"> While this study emphasized short-term outcomes, evaluating long-term impacts such as survival rates, recurrent cardiovascular events, and quality of life is crucial. These metrics provide a comprehensive assessment of AI-driven DAPT personalization. Future longitudinal studies with extended follow-up periods should focus on the durability of AI recommendations and their long-term benefits on patient well-being. </w:t>
      </w:r>
    </w:p>
    <w:p w14:paraId="2688750B" w14:textId="11FD00A6" w:rsidR="007A7753" w:rsidRPr="007A7753" w:rsidRDefault="007A7753" w:rsidP="007A7753">
      <w:pPr>
        <w:spacing w:before="100" w:beforeAutospacing="1" w:after="100" w:afterAutospacing="1" w:line="240" w:lineRule="auto"/>
        <w:rPr>
          <w:rFonts w:ascii="Times New Roman" w:eastAsia="Times New Roman" w:hAnsi="Times New Roman" w:cs="Times New Roman"/>
          <w:sz w:val="24"/>
          <w:szCs w:val="24"/>
        </w:rPr>
      </w:pPr>
      <w:r w:rsidRPr="007A7753">
        <w:rPr>
          <w:rFonts w:ascii="Times New Roman" w:eastAsia="Times New Roman" w:hAnsi="Times New Roman" w:cs="Times New Roman"/>
          <w:sz w:val="24"/>
          <w:szCs w:val="24"/>
        </w:rPr>
        <w:t>This refined focus highlights critical areas for future exploration, addressing significant gaps in current research while promoting precision-driven post-PCI care.</w:t>
      </w:r>
    </w:p>
    <w:p w14:paraId="58B45727" w14:textId="2A5C8FA7" w:rsidR="004567DA" w:rsidRPr="007A7753" w:rsidRDefault="00492667" w:rsidP="004567DA">
      <w:pPr>
        <w:pStyle w:val="Heading3"/>
        <w:rPr>
          <w:highlight w:val="yellow"/>
        </w:rPr>
      </w:pPr>
      <w:r>
        <w:rPr>
          <w:rStyle w:val="Strong"/>
          <w:b/>
          <w:bCs/>
        </w:rPr>
        <w:t xml:space="preserve">15 </w:t>
      </w:r>
      <w:r w:rsidR="00AC415B" w:rsidRPr="00AC415B">
        <w:rPr>
          <w:rStyle w:val="Strong"/>
          <w:b/>
          <w:bCs/>
        </w:rPr>
        <w:t>How</w:t>
      </w:r>
      <w:r w:rsidR="004567DA" w:rsidRPr="00AC415B">
        <w:rPr>
          <w:rStyle w:val="Strong"/>
          <w:b/>
          <w:bCs/>
        </w:rPr>
        <w:t xml:space="preserve"> and </w:t>
      </w:r>
      <w:r w:rsidR="00AC415B" w:rsidRPr="00AC415B">
        <w:rPr>
          <w:rStyle w:val="Strong"/>
          <w:b/>
          <w:bCs/>
        </w:rPr>
        <w:t>why</w:t>
      </w:r>
      <w:r w:rsidR="004567DA" w:rsidRPr="00AC415B">
        <w:rPr>
          <w:rStyle w:val="Strong"/>
          <w:b/>
          <w:bCs/>
        </w:rPr>
        <w:t xml:space="preserve"> Future Researchers </w:t>
      </w:r>
      <w:r w:rsidR="00AC415B" w:rsidRPr="00AC415B">
        <w:rPr>
          <w:rStyle w:val="Strong"/>
          <w:b/>
          <w:bCs/>
        </w:rPr>
        <w:t>c</w:t>
      </w:r>
      <w:r w:rsidR="004567DA" w:rsidRPr="00AC415B">
        <w:rPr>
          <w:rStyle w:val="Strong"/>
          <w:b/>
          <w:bCs/>
        </w:rPr>
        <w:t xml:space="preserve">ould </w:t>
      </w:r>
      <w:r w:rsidR="00AC415B" w:rsidRPr="00AC415B">
        <w:rPr>
          <w:rStyle w:val="Strong"/>
          <w:b/>
          <w:bCs/>
        </w:rPr>
        <w:t>address These</w:t>
      </w:r>
      <w:r w:rsidR="004567DA" w:rsidRPr="00AC415B">
        <w:rPr>
          <w:rStyle w:val="Strong"/>
          <w:b/>
          <w:bCs/>
        </w:rPr>
        <w:t xml:space="preserve"> </w:t>
      </w:r>
      <w:r w:rsidR="00AC415B" w:rsidRPr="00AC415B">
        <w:rPr>
          <w:rStyle w:val="Strong"/>
          <w:b/>
          <w:bCs/>
        </w:rPr>
        <w:t>Points?</w:t>
      </w:r>
    </w:p>
    <w:p w14:paraId="473CE7B8" w14:textId="46B850A9" w:rsidR="007A7753" w:rsidRPr="007A7753" w:rsidRDefault="007A7753" w:rsidP="007A7753">
      <w:pPr>
        <w:pStyle w:val="NormalWeb"/>
        <w:rPr>
          <w:rStyle w:val="Strong"/>
        </w:rPr>
      </w:pPr>
      <w:r w:rsidRPr="007A7753">
        <w:rPr>
          <w:rStyle w:val="Strong"/>
        </w:rPr>
        <w:lastRenderedPageBreak/>
        <w:t xml:space="preserve">1. Wearable Integration </w:t>
      </w:r>
    </w:p>
    <w:p w14:paraId="223DFEC7" w14:textId="77777777" w:rsidR="007A7753" w:rsidRDefault="007A7753" w:rsidP="007A7753">
      <w:pPr>
        <w:pStyle w:val="NormalWeb"/>
        <w:rPr>
          <w:rStyle w:val="Strong"/>
          <w:b w:val="0"/>
          <w:bCs w:val="0"/>
        </w:rPr>
      </w:pPr>
      <w:r w:rsidRPr="007A7753">
        <w:rPr>
          <w:rStyle w:val="Strong"/>
          <w:b w:val="0"/>
          <w:bCs w:val="0"/>
        </w:rPr>
        <w:t xml:space="preserve">Why: Wearables offer real-time data to enhance accuracy and adaptiveness in DAPT strategies, enabling personalized, dynamic risk management.  </w:t>
      </w:r>
    </w:p>
    <w:p w14:paraId="3737C660" w14:textId="6D16E437" w:rsidR="007A7753" w:rsidRPr="007A7753" w:rsidRDefault="007A7753" w:rsidP="007A7753">
      <w:pPr>
        <w:pStyle w:val="NormalWeb"/>
        <w:rPr>
          <w:rStyle w:val="Strong"/>
          <w:b w:val="0"/>
          <w:bCs w:val="0"/>
        </w:rPr>
      </w:pPr>
      <w:r w:rsidRPr="007A7753">
        <w:rPr>
          <w:rStyle w:val="Strong"/>
          <w:b w:val="0"/>
          <w:bCs w:val="0"/>
        </w:rPr>
        <w:t xml:space="preserve">How: Collaborate with wearable technology companies to create algorithms that integrate wearable metrics into AI models. Conduct pilot studies to evaluate the feasibility and impact of wearables on clinical outcomes.  </w:t>
      </w:r>
    </w:p>
    <w:p w14:paraId="417A59D1" w14:textId="24848167" w:rsidR="007A7753" w:rsidRPr="00AC415B" w:rsidRDefault="007A7753" w:rsidP="00AC415B">
      <w:pPr>
        <w:pStyle w:val="NormalWeb"/>
        <w:rPr>
          <w:rStyle w:val="Strong"/>
        </w:rPr>
      </w:pPr>
      <w:r w:rsidRPr="00AC415B">
        <w:rPr>
          <w:rStyle w:val="Strong"/>
        </w:rPr>
        <w:t xml:space="preserve">2. Federated Learning </w:t>
      </w:r>
    </w:p>
    <w:p w14:paraId="0DD47647" w14:textId="5A9A7974" w:rsidR="007A7753" w:rsidRPr="007A7753" w:rsidRDefault="007A7753" w:rsidP="00AC415B">
      <w:pPr>
        <w:pStyle w:val="NormalWeb"/>
        <w:rPr>
          <w:rStyle w:val="Strong"/>
          <w:b w:val="0"/>
          <w:bCs w:val="0"/>
        </w:rPr>
      </w:pPr>
      <w:r w:rsidRPr="007A7753">
        <w:rPr>
          <w:rStyle w:val="Strong"/>
          <w:b w:val="0"/>
          <w:bCs w:val="0"/>
        </w:rPr>
        <w:t xml:space="preserve"> Why: Federated learning overcomes data privacy and generalizability issues, offering a scalable approach for multi-center collaborations.  </w:t>
      </w:r>
    </w:p>
    <w:p w14:paraId="2ACA42FB" w14:textId="6F220FD6" w:rsidR="007A7753" w:rsidRPr="007A7753" w:rsidRDefault="007A7753" w:rsidP="00AC415B">
      <w:pPr>
        <w:pStyle w:val="NormalWeb"/>
        <w:rPr>
          <w:rStyle w:val="Strong"/>
          <w:b w:val="0"/>
          <w:bCs w:val="0"/>
        </w:rPr>
      </w:pPr>
      <w:r w:rsidRPr="007A7753">
        <w:rPr>
          <w:rStyle w:val="Strong"/>
          <w:b w:val="0"/>
          <w:bCs w:val="0"/>
        </w:rPr>
        <w:t xml:space="preserve">How: Build federated learning networks with healthcare centers, adhering to strict data privacy protocols. Develop standardized agreements for consistent data collection and seamless collaboration.  </w:t>
      </w:r>
    </w:p>
    <w:p w14:paraId="23BD030B" w14:textId="27F2F2B5" w:rsidR="007A7753" w:rsidRPr="00AC415B" w:rsidRDefault="007A7753" w:rsidP="00AC415B">
      <w:pPr>
        <w:pStyle w:val="NormalWeb"/>
        <w:rPr>
          <w:rStyle w:val="Strong"/>
        </w:rPr>
      </w:pPr>
      <w:r w:rsidRPr="00AC415B">
        <w:rPr>
          <w:rStyle w:val="Strong"/>
        </w:rPr>
        <w:t>3. Long-Term Outcomes</w:t>
      </w:r>
    </w:p>
    <w:p w14:paraId="252A830E" w14:textId="696034C1" w:rsidR="007A7753" w:rsidRPr="007A7753" w:rsidRDefault="007A7753" w:rsidP="00AC415B">
      <w:pPr>
        <w:pStyle w:val="NormalWeb"/>
        <w:rPr>
          <w:rStyle w:val="Strong"/>
          <w:b w:val="0"/>
          <w:bCs w:val="0"/>
        </w:rPr>
      </w:pPr>
      <w:r w:rsidRPr="007A7753">
        <w:rPr>
          <w:rStyle w:val="Strong"/>
          <w:b w:val="0"/>
          <w:bCs w:val="0"/>
        </w:rPr>
        <w:t xml:space="preserve">Why: Long-term metrics like survival rates and quality of life provide a more comprehensive evaluation of AI-driven recommendations' impact.  </w:t>
      </w:r>
    </w:p>
    <w:p w14:paraId="6819EF60" w14:textId="09110BDF" w:rsidR="007A7753" w:rsidRPr="00531B7B" w:rsidRDefault="007A7753" w:rsidP="00531B7B">
      <w:pPr>
        <w:pStyle w:val="NormalWeb"/>
      </w:pPr>
      <w:r w:rsidRPr="007A7753">
        <w:rPr>
          <w:rStyle w:val="Strong"/>
          <w:b w:val="0"/>
          <w:bCs w:val="0"/>
        </w:rPr>
        <w:t xml:space="preserve">How: Design longitudinal studies with extended follow-ups, incorporating survival analyses and patient-reported outcomes. Partner with healthcare systems and advocacy groups to support study implementation.  </w:t>
      </w:r>
    </w:p>
    <w:p w14:paraId="33E8C522" w14:textId="77777777" w:rsidR="004567DA" w:rsidRPr="00531B7B" w:rsidRDefault="004567DA" w:rsidP="004567DA">
      <w:pPr>
        <w:pStyle w:val="Heading3"/>
        <w:rPr>
          <w:sz w:val="24"/>
          <w:szCs w:val="24"/>
        </w:rPr>
      </w:pPr>
      <w:r w:rsidRPr="00531B7B">
        <w:rPr>
          <w:rStyle w:val="Strong"/>
          <w:b/>
          <w:bCs/>
          <w:sz w:val="24"/>
          <w:szCs w:val="24"/>
        </w:rPr>
        <w:t>References</w:t>
      </w:r>
    </w:p>
    <w:p w14:paraId="64AA9D78" w14:textId="77777777" w:rsidR="00531B7B" w:rsidRPr="00531B7B" w:rsidRDefault="00531B7B" w:rsidP="00531B7B">
      <w:pPr>
        <w:spacing w:before="100" w:beforeAutospacing="1" w:after="100" w:afterAutospacing="1" w:line="240" w:lineRule="auto"/>
        <w:rPr>
          <w:rFonts w:ascii="Times New Roman" w:eastAsia="Times New Roman" w:hAnsi="Times New Roman" w:cs="Times New Roman"/>
          <w:sz w:val="24"/>
          <w:szCs w:val="24"/>
        </w:rPr>
      </w:pPr>
      <w:r w:rsidRPr="00531B7B">
        <w:rPr>
          <w:rFonts w:ascii="Times New Roman" w:eastAsia="Times New Roman" w:hAnsi="Times New Roman" w:cs="Times New Roman"/>
          <w:sz w:val="24"/>
          <w:szCs w:val="24"/>
        </w:rPr>
        <w:t>Andò, G., Micari, A., &amp; Costa, F. (2024). Advances in acute coronary syndromes: Bridging gaps in diagnosis and treatment. Journal of Clinical Medicine, 13(19), 6003. https://doi.org/10.3390/jcm13196003</w:t>
      </w:r>
    </w:p>
    <w:p w14:paraId="77F40D4A" w14:textId="148D126D" w:rsidR="00531B7B" w:rsidRDefault="00531B7B" w:rsidP="00531B7B">
      <w:pPr>
        <w:spacing w:before="100" w:beforeAutospacing="1" w:after="100" w:afterAutospacing="1" w:line="240" w:lineRule="auto"/>
        <w:rPr>
          <w:rFonts w:ascii="Times New Roman" w:eastAsia="Times New Roman" w:hAnsi="Times New Roman" w:cs="Times New Roman"/>
          <w:sz w:val="24"/>
          <w:szCs w:val="24"/>
        </w:rPr>
      </w:pPr>
      <w:r w:rsidRPr="00531B7B">
        <w:rPr>
          <w:rFonts w:ascii="Times New Roman" w:eastAsia="Times New Roman" w:hAnsi="Times New Roman" w:cs="Times New Roman"/>
          <w:sz w:val="24"/>
          <w:szCs w:val="24"/>
        </w:rPr>
        <w:t xml:space="preserve">Mignatti, A., Echarte-Morales, J., &amp; Sturla, M. (2025). State of the art of primary PCI: Present and future. Journal of Clinical Medicine, 14(2), 653. </w:t>
      </w:r>
      <w:hyperlink r:id="rId6" w:history="1">
        <w:r w:rsidRPr="00AD13A2">
          <w:rPr>
            <w:rStyle w:val="Hyperlink"/>
            <w:rFonts w:ascii="Times New Roman" w:eastAsia="Times New Roman" w:hAnsi="Times New Roman" w:cs="Times New Roman"/>
            <w:sz w:val="24"/>
            <w:szCs w:val="24"/>
          </w:rPr>
          <w:t>https://doi.org/10.3390/jcm14020653</w:t>
        </w:r>
      </w:hyperlink>
    </w:p>
    <w:p w14:paraId="4E705D79" w14:textId="311E7179" w:rsidR="00531B7B" w:rsidRPr="00531B7B" w:rsidRDefault="00531B7B" w:rsidP="00531B7B">
      <w:pPr>
        <w:spacing w:before="100" w:beforeAutospacing="1" w:after="100" w:afterAutospacing="1" w:line="240" w:lineRule="auto"/>
        <w:rPr>
          <w:rFonts w:ascii="Times New Roman" w:eastAsia="Times New Roman" w:hAnsi="Times New Roman" w:cs="Times New Roman"/>
          <w:sz w:val="24"/>
          <w:szCs w:val="24"/>
        </w:rPr>
      </w:pPr>
      <w:r w:rsidRPr="00531B7B">
        <w:rPr>
          <w:rFonts w:ascii="Times New Roman" w:eastAsia="Times New Roman" w:hAnsi="Times New Roman" w:cs="Times New Roman"/>
          <w:sz w:val="24"/>
          <w:szCs w:val="24"/>
        </w:rPr>
        <w:t>Oliva, A., &amp; Mehran, R. (2024). Prolonging anticoagulation after primary PCI in STEMI patients. AME Clinical Trials Review, 2, 45. https://doi.org/10.21037/actr-24-85</w:t>
      </w:r>
    </w:p>
    <w:p w14:paraId="7CBE95B5" w14:textId="77777777" w:rsidR="00531B7B" w:rsidRPr="00531B7B" w:rsidRDefault="00531B7B" w:rsidP="00531B7B">
      <w:pPr>
        <w:spacing w:before="100" w:beforeAutospacing="1" w:after="100" w:afterAutospacing="1" w:line="240" w:lineRule="auto"/>
        <w:rPr>
          <w:rFonts w:ascii="Times New Roman" w:eastAsia="Times New Roman" w:hAnsi="Times New Roman" w:cs="Times New Roman"/>
          <w:sz w:val="24"/>
          <w:szCs w:val="24"/>
        </w:rPr>
      </w:pPr>
      <w:r w:rsidRPr="00531B7B">
        <w:rPr>
          <w:rFonts w:ascii="Times New Roman" w:eastAsia="Times New Roman" w:hAnsi="Times New Roman" w:cs="Times New Roman"/>
          <w:sz w:val="24"/>
          <w:szCs w:val="24"/>
        </w:rPr>
        <w:t>Bednarek, A., Gumiężna, K., Baruś, P., &amp; Kochman, J. (2025). Artificial intelligence in imaging for personalized management of coronary artery disease. Journal of Clinical Medicine, 14(2), 462. https://doi.org/10.3390/jcm14020462</w:t>
      </w:r>
    </w:p>
    <w:p w14:paraId="3F8F76E7" w14:textId="77777777" w:rsidR="00531B7B" w:rsidRPr="00531B7B" w:rsidRDefault="00531B7B" w:rsidP="00531B7B">
      <w:pPr>
        <w:spacing w:before="100" w:beforeAutospacing="1" w:after="100" w:afterAutospacing="1" w:line="240" w:lineRule="auto"/>
        <w:rPr>
          <w:rFonts w:ascii="Times New Roman" w:eastAsia="Times New Roman" w:hAnsi="Times New Roman" w:cs="Times New Roman"/>
          <w:sz w:val="24"/>
          <w:szCs w:val="24"/>
        </w:rPr>
      </w:pPr>
      <w:r w:rsidRPr="00531B7B">
        <w:rPr>
          <w:rFonts w:ascii="Times New Roman" w:eastAsia="Times New Roman" w:hAnsi="Times New Roman" w:cs="Times New Roman"/>
          <w:sz w:val="24"/>
          <w:szCs w:val="24"/>
        </w:rPr>
        <w:t>Li, F., Rasmy, L., Xiang, Y., &amp; Feng, J. (2024). Dynamic prognosis prediction for patients on DAPT after drug-eluting stent implantation. Journal of the American Heart Association, 13(3), e029900. https://doi.org/10.1161/JAHA.123.029900</w:t>
      </w:r>
    </w:p>
    <w:p w14:paraId="64D08E41" w14:textId="77777777" w:rsidR="00531B7B" w:rsidRPr="00531B7B" w:rsidRDefault="00531B7B" w:rsidP="00531B7B">
      <w:pPr>
        <w:spacing w:before="100" w:beforeAutospacing="1" w:after="100" w:afterAutospacing="1" w:line="240" w:lineRule="auto"/>
        <w:rPr>
          <w:rFonts w:ascii="Times New Roman" w:eastAsia="Times New Roman" w:hAnsi="Times New Roman" w:cs="Times New Roman"/>
          <w:sz w:val="24"/>
          <w:szCs w:val="24"/>
        </w:rPr>
      </w:pPr>
      <w:r w:rsidRPr="00531B7B">
        <w:rPr>
          <w:rFonts w:ascii="Times New Roman" w:eastAsia="Times New Roman" w:hAnsi="Times New Roman" w:cs="Times New Roman"/>
          <w:sz w:val="24"/>
          <w:szCs w:val="24"/>
        </w:rPr>
        <w:lastRenderedPageBreak/>
        <w:t>Sethi, Y., Patel, N., Kaka, N., &amp; Kaiwan, O. (2023). Precision medicine and the future of cardiovascular diseases. Journal of Clinical Medicine.</w:t>
      </w:r>
    </w:p>
    <w:p w14:paraId="64EFCC26" w14:textId="77777777" w:rsidR="00531B7B" w:rsidRPr="00531B7B" w:rsidRDefault="00531B7B" w:rsidP="00531B7B">
      <w:pPr>
        <w:spacing w:before="100" w:beforeAutospacing="1" w:after="100" w:afterAutospacing="1" w:line="240" w:lineRule="auto"/>
        <w:rPr>
          <w:rFonts w:ascii="Times New Roman" w:eastAsia="Times New Roman" w:hAnsi="Times New Roman" w:cs="Times New Roman"/>
          <w:sz w:val="24"/>
          <w:szCs w:val="24"/>
        </w:rPr>
      </w:pPr>
      <w:r w:rsidRPr="00531B7B">
        <w:rPr>
          <w:rFonts w:ascii="Times New Roman" w:eastAsia="Times New Roman" w:hAnsi="Times New Roman" w:cs="Times New Roman"/>
          <w:sz w:val="24"/>
          <w:szCs w:val="24"/>
        </w:rPr>
        <w:t>Steinhubl, S. R., Kim, J., et al. (2023). Wearable devices and real-time risk prediction in post-PCI patients. npj Digital Medicine.</w:t>
      </w:r>
    </w:p>
    <w:p w14:paraId="30FF6440" w14:textId="77777777" w:rsidR="00531B7B" w:rsidRPr="00531B7B" w:rsidRDefault="00531B7B" w:rsidP="00531B7B">
      <w:pPr>
        <w:spacing w:before="100" w:beforeAutospacing="1" w:after="100" w:afterAutospacing="1" w:line="240" w:lineRule="auto"/>
        <w:rPr>
          <w:rFonts w:ascii="Times New Roman" w:eastAsia="Times New Roman" w:hAnsi="Times New Roman" w:cs="Times New Roman"/>
          <w:sz w:val="24"/>
          <w:szCs w:val="24"/>
        </w:rPr>
      </w:pPr>
      <w:r w:rsidRPr="00531B7B">
        <w:rPr>
          <w:rFonts w:ascii="Times New Roman" w:eastAsia="Times New Roman" w:hAnsi="Times New Roman" w:cs="Times New Roman"/>
          <w:sz w:val="24"/>
          <w:szCs w:val="24"/>
        </w:rPr>
        <w:t>Rieke, N., Hancox, J., et al. (2023). Federated learning for multi-center CVD risk prediction. Nature Medicine.</w:t>
      </w:r>
    </w:p>
    <w:p w14:paraId="5FE65C5E" w14:textId="66CFE69D" w:rsidR="004567DA" w:rsidRPr="004567DA" w:rsidRDefault="00531B7B" w:rsidP="00531B7B">
      <w:pPr>
        <w:spacing w:before="100" w:beforeAutospacing="1" w:after="100" w:afterAutospacing="1" w:line="240" w:lineRule="auto"/>
        <w:rPr>
          <w:rFonts w:ascii="Times New Roman" w:eastAsia="Times New Roman" w:hAnsi="Times New Roman" w:cs="Times New Roman"/>
          <w:sz w:val="24"/>
          <w:szCs w:val="24"/>
        </w:rPr>
      </w:pPr>
      <w:r w:rsidRPr="00531B7B">
        <w:rPr>
          <w:rFonts w:ascii="Times New Roman" w:eastAsia="Times New Roman" w:hAnsi="Times New Roman" w:cs="Times New Roman"/>
          <w:sz w:val="24"/>
          <w:szCs w:val="24"/>
        </w:rPr>
        <w:t>Costa, F., van Klaveren, D., Colombo, A., Feres, F., Räber, L., Pilgrim, T., Hong, M. K., Kim, H. S., Windecker, S., Steyerberg, E. W., Valgimigli, M., &amp; PRECISE-DAPT Study Investigators. (2020). A 4-item PRECISE-DAPT score for dual antiplatelet therapy duration decision-making. American Heart Journal, 223, 44–47. https://doi.org/10.1016/j.ahj.2020.01.014</w:t>
      </w:r>
    </w:p>
    <w:p w14:paraId="4D6C4ABE" w14:textId="77777777" w:rsidR="004567DA" w:rsidRPr="004567DA" w:rsidRDefault="004567DA" w:rsidP="004567DA">
      <w:pPr>
        <w:spacing w:before="100" w:beforeAutospacing="1" w:after="100" w:afterAutospacing="1" w:line="240" w:lineRule="auto"/>
        <w:rPr>
          <w:rFonts w:ascii="Times New Roman" w:eastAsia="Times New Roman" w:hAnsi="Times New Roman" w:cs="Times New Roman"/>
          <w:sz w:val="24"/>
          <w:szCs w:val="24"/>
        </w:rPr>
      </w:pPr>
    </w:p>
    <w:p w14:paraId="2A5B4ED8" w14:textId="77777777" w:rsidR="004567DA" w:rsidRPr="004567DA" w:rsidRDefault="004567DA" w:rsidP="008F67D1">
      <w:pPr>
        <w:spacing w:before="100" w:beforeAutospacing="1" w:after="100" w:afterAutospacing="1" w:line="240" w:lineRule="auto"/>
        <w:outlineLvl w:val="2"/>
        <w:rPr>
          <w:rFonts w:asciiTheme="majorBidi" w:eastAsia="Times New Roman" w:hAnsiTheme="majorBidi" w:cstheme="majorBidi"/>
          <w:b/>
          <w:bCs/>
          <w:sz w:val="32"/>
          <w:szCs w:val="32"/>
        </w:rPr>
      </w:pPr>
    </w:p>
    <w:p w14:paraId="63EDECEF" w14:textId="39A787C8" w:rsidR="00090EFC" w:rsidRDefault="00090EFC" w:rsidP="008F67D1">
      <w:pPr>
        <w:spacing w:before="100" w:beforeAutospacing="1" w:after="100" w:afterAutospacing="1" w:line="240" w:lineRule="auto"/>
        <w:outlineLvl w:val="2"/>
        <w:rPr>
          <w:rFonts w:ascii="Times New Roman" w:eastAsia="Times New Roman" w:hAnsi="Times New Roman" w:cs="Times New Roman"/>
          <w:b/>
          <w:bCs/>
          <w:sz w:val="27"/>
          <w:szCs w:val="27"/>
        </w:rPr>
      </w:pPr>
    </w:p>
    <w:p w14:paraId="6B10E044" w14:textId="01787E07" w:rsidR="00090EFC" w:rsidRDefault="00090EFC" w:rsidP="008F67D1">
      <w:pPr>
        <w:spacing w:before="100" w:beforeAutospacing="1" w:after="100" w:afterAutospacing="1" w:line="240" w:lineRule="auto"/>
        <w:outlineLvl w:val="2"/>
        <w:rPr>
          <w:rFonts w:ascii="Times New Roman" w:eastAsia="Times New Roman" w:hAnsi="Times New Roman" w:cs="Times New Roman"/>
          <w:b/>
          <w:bCs/>
          <w:sz w:val="27"/>
          <w:szCs w:val="27"/>
        </w:rPr>
      </w:pPr>
    </w:p>
    <w:p w14:paraId="0687869F" w14:textId="18443E75" w:rsidR="00090EFC" w:rsidRDefault="00090EFC" w:rsidP="008F67D1">
      <w:pPr>
        <w:spacing w:before="100" w:beforeAutospacing="1" w:after="100" w:afterAutospacing="1" w:line="240" w:lineRule="auto"/>
        <w:outlineLvl w:val="2"/>
        <w:rPr>
          <w:rFonts w:ascii="Times New Roman" w:eastAsia="Times New Roman" w:hAnsi="Times New Roman" w:cs="Times New Roman"/>
          <w:b/>
          <w:bCs/>
          <w:sz w:val="27"/>
          <w:szCs w:val="27"/>
        </w:rPr>
      </w:pPr>
    </w:p>
    <w:p w14:paraId="0D1CD26D" w14:textId="25C1517C" w:rsidR="00090EFC" w:rsidRDefault="00090EFC" w:rsidP="008F67D1">
      <w:pPr>
        <w:spacing w:before="100" w:beforeAutospacing="1" w:after="100" w:afterAutospacing="1" w:line="240" w:lineRule="auto"/>
        <w:outlineLvl w:val="2"/>
        <w:rPr>
          <w:rFonts w:ascii="Times New Roman" w:eastAsia="Times New Roman" w:hAnsi="Times New Roman" w:cs="Times New Roman"/>
          <w:b/>
          <w:bCs/>
          <w:sz w:val="27"/>
          <w:szCs w:val="27"/>
        </w:rPr>
      </w:pPr>
    </w:p>
    <w:p w14:paraId="045FBC54" w14:textId="67C883A2" w:rsidR="00090EFC" w:rsidRDefault="00090EFC" w:rsidP="008F67D1">
      <w:pPr>
        <w:spacing w:before="100" w:beforeAutospacing="1" w:after="100" w:afterAutospacing="1" w:line="240" w:lineRule="auto"/>
        <w:outlineLvl w:val="2"/>
        <w:rPr>
          <w:rFonts w:ascii="Times New Roman" w:eastAsia="Times New Roman" w:hAnsi="Times New Roman" w:cs="Times New Roman"/>
          <w:b/>
          <w:bCs/>
          <w:sz w:val="27"/>
          <w:szCs w:val="27"/>
        </w:rPr>
      </w:pPr>
    </w:p>
    <w:p w14:paraId="126EC2A2" w14:textId="3E2D8017" w:rsidR="00090EFC" w:rsidRDefault="00090EFC" w:rsidP="008F67D1">
      <w:pPr>
        <w:spacing w:before="100" w:beforeAutospacing="1" w:after="100" w:afterAutospacing="1" w:line="240" w:lineRule="auto"/>
        <w:outlineLvl w:val="2"/>
        <w:rPr>
          <w:rFonts w:ascii="Times New Roman" w:eastAsia="Times New Roman" w:hAnsi="Times New Roman" w:cs="Times New Roman"/>
          <w:b/>
          <w:bCs/>
          <w:sz w:val="27"/>
          <w:szCs w:val="27"/>
        </w:rPr>
      </w:pPr>
    </w:p>
    <w:p w14:paraId="20EC9346" w14:textId="77777777" w:rsidR="008F67D1" w:rsidRPr="008F67D1" w:rsidRDefault="008F67D1" w:rsidP="008F67D1">
      <w:pPr>
        <w:spacing w:before="100" w:beforeAutospacing="1" w:after="100" w:afterAutospacing="1" w:line="240" w:lineRule="auto"/>
        <w:rPr>
          <w:rFonts w:ascii="Times New Roman" w:eastAsia="Times New Roman" w:hAnsi="Times New Roman" w:cs="Times New Roman"/>
          <w:sz w:val="24"/>
          <w:szCs w:val="24"/>
        </w:rPr>
      </w:pPr>
    </w:p>
    <w:p w14:paraId="04FC129F" w14:textId="77777777" w:rsidR="005F4B22" w:rsidRDefault="005F4B22"/>
    <w:sectPr w:rsidR="005F4B2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6C7C01"/>
    <w:multiLevelType w:val="multilevel"/>
    <w:tmpl w:val="E66EC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5A501C"/>
    <w:multiLevelType w:val="multilevel"/>
    <w:tmpl w:val="FEA0C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957258"/>
    <w:multiLevelType w:val="hybridMultilevel"/>
    <w:tmpl w:val="BD7CC56C"/>
    <w:lvl w:ilvl="0" w:tplc="04090003">
      <w:start w:val="1"/>
      <w:numFmt w:val="bullet"/>
      <w:lvlText w:val="o"/>
      <w:lvlJc w:val="left"/>
      <w:pPr>
        <w:ind w:left="780" w:hanging="360"/>
      </w:pPr>
      <w:rPr>
        <w:rFonts w:ascii="Courier New" w:hAnsi="Courier New" w:cs="Courier New"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 w15:restartNumberingAfterBreak="0">
    <w:nsid w:val="162F47D3"/>
    <w:multiLevelType w:val="multilevel"/>
    <w:tmpl w:val="50125A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6D93CA8"/>
    <w:multiLevelType w:val="multilevel"/>
    <w:tmpl w:val="8CDC36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551D13"/>
    <w:multiLevelType w:val="multilevel"/>
    <w:tmpl w:val="4356CE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0C908F3"/>
    <w:multiLevelType w:val="multilevel"/>
    <w:tmpl w:val="06765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22D5269"/>
    <w:multiLevelType w:val="multilevel"/>
    <w:tmpl w:val="88267F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34664FA"/>
    <w:multiLevelType w:val="multilevel"/>
    <w:tmpl w:val="32F2F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4CE2F93"/>
    <w:multiLevelType w:val="hybridMultilevel"/>
    <w:tmpl w:val="91F868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5BC4C7B"/>
    <w:multiLevelType w:val="multilevel"/>
    <w:tmpl w:val="97B0DA0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C196A34"/>
    <w:multiLevelType w:val="multilevel"/>
    <w:tmpl w:val="19D455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FF74FB9"/>
    <w:multiLevelType w:val="multilevel"/>
    <w:tmpl w:val="54A49C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7433D4B"/>
    <w:multiLevelType w:val="multilevel"/>
    <w:tmpl w:val="4D0089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7A60E57"/>
    <w:multiLevelType w:val="multilevel"/>
    <w:tmpl w:val="81DEBE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F0A1939"/>
    <w:multiLevelType w:val="multilevel"/>
    <w:tmpl w:val="B96CEC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8B46FD4"/>
    <w:multiLevelType w:val="multilevel"/>
    <w:tmpl w:val="DF4E39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9080488"/>
    <w:multiLevelType w:val="hybridMultilevel"/>
    <w:tmpl w:val="2F4CF2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B3B4B20"/>
    <w:multiLevelType w:val="multilevel"/>
    <w:tmpl w:val="9CF4B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FE30FD7"/>
    <w:multiLevelType w:val="multilevel"/>
    <w:tmpl w:val="D14A7F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3B62912"/>
    <w:multiLevelType w:val="multilevel"/>
    <w:tmpl w:val="4630EF30"/>
    <w:lvl w:ilvl="0">
      <w:start w:val="1"/>
      <w:numFmt w:val="decimal"/>
      <w:lvlText w:val="%1."/>
      <w:lvlJc w:val="left"/>
      <w:pPr>
        <w:tabs>
          <w:tab w:val="num" w:pos="720"/>
        </w:tabs>
        <w:ind w:left="720" w:hanging="360"/>
      </w:pPr>
      <w:rPr>
        <w:rFonts w:ascii="Times New Roman" w:eastAsia="Times New Roman" w:hAnsi="Times New Roman" w:cs="Times New Roman"/>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6106CFB"/>
    <w:multiLevelType w:val="multilevel"/>
    <w:tmpl w:val="4678C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0597D87"/>
    <w:multiLevelType w:val="multilevel"/>
    <w:tmpl w:val="DD44FC96"/>
    <w:lvl w:ilvl="0">
      <w:start w:val="4"/>
      <w:numFmt w:val="decimal"/>
      <w:lvlText w:val="%1"/>
      <w:lvlJc w:val="left"/>
      <w:pPr>
        <w:ind w:left="360" w:hanging="360"/>
      </w:pPr>
      <w:rPr>
        <w:rFonts w:asciiTheme="minorHAnsi" w:hAnsiTheme="minorHAnsi" w:cstheme="minorBidi" w:hint="default"/>
        <w:b w:val="0"/>
        <w:sz w:val="22"/>
      </w:rPr>
    </w:lvl>
    <w:lvl w:ilvl="1">
      <w:start w:val="1"/>
      <w:numFmt w:val="decimal"/>
      <w:lvlText w:val="%1.%2"/>
      <w:lvlJc w:val="left"/>
      <w:pPr>
        <w:ind w:left="360" w:hanging="360"/>
      </w:pPr>
      <w:rPr>
        <w:rFonts w:asciiTheme="minorHAnsi" w:hAnsiTheme="minorHAnsi" w:cstheme="minorBidi" w:hint="default"/>
        <w:b w:val="0"/>
        <w:sz w:val="22"/>
      </w:rPr>
    </w:lvl>
    <w:lvl w:ilvl="2">
      <w:start w:val="1"/>
      <w:numFmt w:val="decimal"/>
      <w:lvlText w:val="%1.%2.%3"/>
      <w:lvlJc w:val="left"/>
      <w:pPr>
        <w:ind w:left="720" w:hanging="720"/>
      </w:pPr>
      <w:rPr>
        <w:rFonts w:asciiTheme="minorHAnsi" w:hAnsiTheme="minorHAnsi" w:cstheme="minorBidi" w:hint="default"/>
        <w:b w:val="0"/>
        <w:sz w:val="22"/>
      </w:rPr>
    </w:lvl>
    <w:lvl w:ilvl="3">
      <w:start w:val="1"/>
      <w:numFmt w:val="decimal"/>
      <w:lvlText w:val="%1.%2.%3.%4"/>
      <w:lvlJc w:val="left"/>
      <w:pPr>
        <w:ind w:left="720" w:hanging="720"/>
      </w:pPr>
      <w:rPr>
        <w:rFonts w:asciiTheme="minorHAnsi" w:hAnsiTheme="minorHAnsi" w:cstheme="minorBidi" w:hint="default"/>
        <w:b w:val="0"/>
        <w:sz w:val="22"/>
      </w:rPr>
    </w:lvl>
    <w:lvl w:ilvl="4">
      <w:start w:val="1"/>
      <w:numFmt w:val="decimal"/>
      <w:lvlText w:val="%1.%2.%3.%4.%5"/>
      <w:lvlJc w:val="left"/>
      <w:pPr>
        <w:ind w:left="1080" w:hanging="1080"/>
      </w:pPr>
      <w:rPr>
        <w:rFonts w:asciiTheme="minorHAnsi" w:hAnsiTheme="minorHAnsi" w:cstheme="minorBidi" w:hint="default"/>
        <w:b w:val="0"/>
        <w:sz w:val="22"/>
      </w:rPr>
    </w:lvl>
    <w:lvl w:ilvl="5">
      <w:start w:val="1"/>
      <w:numFmt w:val="decimal"/>
      <w:lvlText w:val="%1.%2.%3.%4.%5.%6"/>
      <w:lvlJc w:val="left"/>
      <w:pPr>
        <w:ind w:left="1080" w:hanging="1080"/>
      </w:pPr>
      <w:rPr>
        <w:rFonts w:asciiTheme="minorHAnsi" w:hAnsiTheme="minorHAnsi" w:cstheme="minorBidi" w:hint="default"/>
        <w:b w:val="0"/>
        <w:sz w:val="22"/>
      </w:rPr>
    </w:lvl>
    <w:lvl w:ilvl="6">
      <w:start w:val="1"/>
      <w:numFmt w:val="decimal"/>
      <w:lvlText w:val="%1.%2.%3.%4.%5.%6.%7"/>
      <w:lvlJc w:val="left"/>
      <w:pPr>
        <w:ind w:left="1440" w:hanging="1440"/>
      </w:pPr>
      <w:rPr>
        <w:rFonts w:asciiTheme="minorHAnsi" w:hAnsiTheme="minorHAnsi" w:cstheme="minorBidi" w:hint="default"/>
        <w:b w:val="0"/>
        <w:sz w:val="22"/>
      </w:rPr>
    </w:lvl>
    <w:lvl w:ilvl="7">
      <w:start w:val="1"/>
      <w:numFmt w:val="decimal"/>
      <w:lvlText w:val="%1.%2.%3.%4.%5.%6.%7.%8"/>
      <w:lvlJc w:val="left"/>
      <w:pPr>
        <w:ind w:left="1440" w:hanging="1440"/>
      </w:pPr>
      <w:rPr>
        <w:rFonts w:asciiTheme="minorHAnsi" w:hAnsiTheme="minorHAnsi" w:cstheme="minorBidi" w:hint="default"/>
        <w:b w:val="0"/>
        <w:sz w:val="22"/>
      </w:rPr>
    </w:lvl>
    <w:lvl w:ilvl="8">
      <w:start w:val="1"/>
      <w:numFmt w:val="decimal"/>
      <w:lvlText w:val="%1.%2.%3.%4.%5.%6.%7.%8.%9"/>
      <w:lvlJc w:val="left"/>
      <w:pPr>
        <w:ind w:left="1800" w:hanging="1800"/>
      </w:pPr>
      <w:rPr>
        <w:rFonts w:asciiTheme="minorHAnsi" w:hAnsiTheme="minorHAnsi" w:cstheme="minorBidi" w:hint="default"/>
        <w:b w:val="0"/>
        <w:sz w:val="22"/>
      </w:rPr>
    </w:lvl>
  </w:abstractNum>
  <w:abstractNum w:abstractNumId="23" w15:restartNumberingAfterBreak="0">
    <w:nsid w:val="67044A45"/>
    <w:multiLevelType w:val="multilevel"/>
    <w:tmpl w:val="1BDC45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B24015A"/>
    <w:multiLevelType w:val="multilevel"/>
    <w:tmpl w:val="096CD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1326704"/>
    <w:multiLevelType w:val="multilevel"/>
    <w:tmpl w:val="C1B6E6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74F65F3D"/>
    <w:multiLevelType w:val="multilevel"/>
    <w:tmpl w:val="05AE63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ACE08DE"/>
    <w:multiLevelType w:val="multilevel"/>
    <w:tmpl w:val="2EBEAE0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sz w:val="24"/>
        <w:szCs w:val="24"/>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BE37475"/>
    <w:multiLevelType w:val="multilevel"/>
    <w:tmpl w:val="F6469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67805407">
    <w:abstractNumId w:val="10"/>
  </w:num>
  <w:num w:numId="2" w16cid:durableId="10180078">
    <w:abstractNumId w:val="3"/>
  </w:num>
  <w:num w:numId="3" w16cid:durableId="1089155016">
    <w:abstractNumId w:val="22"/>
  </w:num>
  <w:num w:numId="4" w16cid:durableId="2132477122">
    <w:abstractNumId w:val="1"/>
  </w:num>
  <w:num w:numId="5" w16cid:durableId="1996716794">
    <w:abstractNumId w:val="23"/>
  </w:num>
  <w:num w:numId="6" w16cid:durableId="1175847371">
    <w:abstractNumId w:val="26"/>
  </w:num>
  <w:num w:numId="7" w16cid:durableId="314146314">
    <w:abstractNumId w:val="15"/>
  </w:num>
  <w:num w:numId="8" w16cid:durableId="69157742">
    <w:abstractNumId w:val="25"/>
  </w:num>
  <w:num w:numId="9" w16cid:durableId="446049745">
    <w:abstractNumId w:val="27"/>
  </w:num>
  <w:num w:numId="10" w16cid:durableId="1868372812">
    <w:abstractNumId w:val="12"/>
  </w:num>
  <w:num w:numId="11" w16cid:durableId="1337923193">
    <w:abstractNumId w:val="24"/>
  </w:num>
  <w:num w:numId="12" w16cid:durableId="974987761">
    <w:abstractNumId w:val="21"/>
  </w:num>
  <w:num w:numId="13" w16cid:durableId="2091655036">
    <w:abstractNumId w:val="6"/>
  </w:num>
  <w:num w:numId="14" w16cid:durableId="1989162425">
    <w:abstractNumId w:val="16"/>
  </w:num>
  <w:num w:numId="15" w16cid:durableId="323748372">
    <w:abstractNumId w:val="11"/>
  </w:num>
  <w:num w:numId="16" w16cid:durableId="1142188388">
    <w:abstractNumId w:val="4"/>
  </w:num>
  <w:num w:numId="17" w16cid:durableId="154959583">
    <w:abstractNumId w:val="19"/>
  </w:num>
  <w:num w:numId="18" w16cid:durableId="1616936459">
    <w:abstractNumId w:val="5"/>
  </w:num>
  <w:num w:numId="19" w16cid:durableId="504251847">
    <w:abstractNumId w:val="28"/>
  </w:num>
  <w:num w:numId="20" w16cid:durableId="919481186">
    <w:abstractNumId w:val="14"/>
  </w:num>
  <w:num w:numId="21" w16cid:durableId="1539510442">
    <w:abstractNumId w:val="13"/>
  </w:num>
  <w:num w:numId="22" w16cid:durableId="458494773">
    <w:abstractNumId w:val="8"/>
  </w:num>
  <w:num w:numId="23" w16cid:durableId="997420390">
    <w:abstractNumId w:val="0"/>
  </w:num>
  <w:num w:numId="24" w16cid:durableId="667369036">
    <w:abstractNumId w:val="2"/>
  </w:num>
  <w:num w:numId="25" w16cid:durableId="512181943">
    <w:abstractNumId w:val="9"/>
  </w:num>
  <w:num w:numId="26" w16cid:durableId="2036494871">
    <w:abstractNumId w:val="17"/>
  </w:num>
  <w:num w:numId="27" w16cid:durableId="2108574743">
    <w:abstractNumId w:val="18"/>
  </w:num>
  <w:num w:numId="28" w16cid:durableId="323166114">
    <w:abstractNumId w:val="7"/>
  </w:num>
  <w:num w:numId="29" w16cid:durableId="2082870702">
    <w:abstractNumId w:val="20"/>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5727"/>
    <w:rsid w:val="0007170B"/>
    <w:rsid w:val="000734C1"/>
    <w:rsid w:val="00074018"/>
    <w:rsid w:val="000811E0"/>
    <w:rsid w:val="00084D84"/>
    <w:rsid w:val="00090EFC"/>
    <w:rsid w:val="00091E5A"/>
    <w:rsid w:val="00096888"/>
    <w:rsid w:val="000A51D2"/>
    <w:rsid w:val="000B2D74"/>
    <w:rsid w:val="000E0BF5"/>
    <w:rsid w:val="00111086"/>
    <w:rsid w:val="00111F19"/>
    <w:rsid w:val="0011491E"/>
    <w:rsid w:val="00132ECB"/>
    <w:rsid w:val="00153D49"/>
    <w:rsid w:val="001550E1"/>
    <w:rsid w:val="00161A57"/>
    <w:rsid w:val="001624C3"/>
    <w:rsid w:val="001C3184"/>
    <w:rsid w:val="001F2D08"/>
    <w:rsid w:val="001F64BE"/>
    <w:rsid w:val="00200F92"/>
    <w:rsid w:val="00227CA9"/>
    <w:rsid w:val="002374EB"/>
    <w:rsid w:val="0024258B"/>
    <w:rsid w:val="0025508C"/>
    <w:rsid w:val="00261C6D"/>
    <w:rsid w:val="002648C4"/>
    <w:rsid w:val="002864A0"/>
    <w:rsid w:val="002C3C74"/>
    <w:rsid w:val="003044EA"/>
    <w:rsid w:val="003217F9"/>
    <w:rsid w:val="00335175"/>
    <w:rsid w:val="00363912"/>
    <w:rsid w:val="003802A0"/>
    <w:rsid w:val="00386B08"/>
    <w:rsid w:val="003D051C"/>
    <w:rsid w:val="003F3121"/>
    <w:rsid w:val="00413CB1"/>
    <w:rsid w:val="00433C61"/>
    <w:rsid w:val="00434376"/>
    <w:rsid w:val="0044422F"/>
    <w:rsid w:val="00454F97"/>
    <w:rsid w:val="004567DA"/>
    <w:rsid w:val="00471017"/>
    <w:rsid w:val="00471649"/>
    <w:rsid w:val="00477651"/>
    <w:rsid w:val="00492667"/>
    <w:rsid w:val="004A5F09"/>
    <w:rsid w:val="004B168C"/>
    <w:rsid w:val="004F4B94"/>
    <w:rsid w:val="005210C0"/>
    <w:rsid w:val="00531B7B"/>
    <w:rsid w:val="005C5398"/>
    <w:rsid w:val="005E14F4"/>
    <w:rsid w:val="005F4B22"/>
    <w:rsid w:val="00614FAE"/>
    <w:rsid w:val="00625727"/>
    <w:rsid w:val="00646108"/>
    <w:rsid w:val="006737B3"/>
    <w:rsid w:val="00687597"/>
    <w:rsid w:val="006E3DC9"/>
    <w:rsid w:val="00705C2A"/>
    <w:rsid w:val="00713C17"/>
    <w:rsid w:val="00722481"/>
    <w:rsid w:val="00785A22"/>
    <w:rsid w:val="007A7753"/>
    <w:rsid w:val="00852A7B"/>
    <w:rsid w:val="008B194C"/>
    <w:rsid w:val="008B3A4D"/>
    <w:rsid w:val="008F67D1"/>
    <w:rsid w:val="00910F2F"/>
    <w:rsid w:val="009316CE"/>
    <w:rsid w:val="0096148B"/>
    <w:rsid w:val="0096477E"/>
    <w:rsid w:val="009A22E8"/>
    <w:rsid w:val="009C63F9"/>
    <w:rsid w:val="009D3B66"/>
    <w:rsid w:val="009D5FD8"/>
    <w:rsid w:val="009E5511"/>
    <w:rsid w:val="009E76FC"/>
    <w:rsid w:val="00A1514C"/>
    <w:rsid w:val="00A20C7B"/>
    <w:rsid w:val="00A41AC8"/>
    <w:rsid w:val="00A46563"/>
    <w:rsid w:val="00A469F9"/>
    <w:rsid w:val="00A551B5"/>
    <w:rsid w:val="00A72E6E"/>
    <w:rsid w:val="00A739D4"/>
    <w:rsid w:val="00A91053"/>
    <w:rsid w:val="00A935FF"/>
    <w:rsid w:val="00AC415B"/>
    <w:rsid w:val="00AD4AF7"/>
    <w:rsid w:val="00AF69EF"/>
    <w:rsid w:val="00B22C5E"/>
    <w:rsid w:val="00B33B35"/>
    <w:rsid w:val="00B44A48"/>
    <w:rsid w:val="00B74F70"/>
    <w:rsid w:val="00B97E87"/>
    <w:rsid w:val="00BA2CE5"/>
    <w:rsid w:val="00BA7926"/>
    <w:rsid w:val="00BB0790"/>
    <w:rsid w:val="00BB73A3"/>
    <w:rsid w:val="00BC591E"/>
    <w:rsid w:val="00BD5C1B"/>
    <w:rsid w:val="00BE246D"/>
    <w:rsid w:val="00C005CE"/>
    <w:rsid w:val="00C2563C"/>
    <w:rsid w:val="00C3199B"/>
    <w:rsid w:val="00C46C7D"/>
    <w:rsid w:val="00C7273A"/>
    <w:rsid w:val="00C80E2C"/>
    <w:rsid w:val="00CA3ACB"/>
    <w:rsid w:val="00CB5758"/>
    <w:rsid w:val="00D05032"/>
    <w:rsid w:val="00D200FA"/>
    <w:rsid w:val="00D45D52"/>
    <w:rsid w:val="00D7472B"/>
    <w:rsid w:val="00D82D60"/>
    <w:rsid w:val="00DA5740"/>
    <w:rsid w:val="00DA7890"/>
    <w:rsid w:val="00DA7B69"/>
    <w:rsid w:val="00DB374D"/>
    <w:rsid w:val="00DD0EC9"/>
    <w:rsid w:val="00DD34AD"/>
    <w:rsid w:val="00E07669"/>
    <w:rsid w:val="00E17B40"/>
    <w:rsid w:val="00E206E9"/>
    <w:rsid w:val="00E50A51"/>
    <w:rsid w:val="00E53EE5"/>
    <w:rsid w:val="00E62E9F"/>
    <w:rsid w:val="00E748D6"/>
    <w:rsid w:val="00E80195"/>
    <w:rsid w:val="00E84649"/>
    <w:rsid w:val="00EA1900"/>
    <w:rsid w:val="00EA7B18"/>
    <w:rsid w:val="00ED59F6"/>
    <w:rsid w:val="00F12B37"/>
    <w:rsid w:val="00F12EB0"/>
    <w:rsid w:val="00F2669C"/>
    <w:rsid w:val="00F563B2"/>
    <w:rsid w:val="00F63E2D"/>
    <w:rsid w:val="00F723F8"/>
    <w:rsid w:val="00F7602F"/>
    <w:rsid w:val="00F94FB4"/>
    <w:rsid w:val="00FA7257"/>
    <w:rsid w:val="00FE4CB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94B24D"/>
  <w15:chartTrackingRefBased/>
  <w15:docId w15:val="{7498617B-58FD-49A6-B035-C22D29E032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A7B6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FA725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161A57"/>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next w:val="Normal"/>
    <w:link w:val="Heading4Char"/>
    <w:uiPriority w:val="9"/>
    <w:unhideWhenUsed/>
    <w:qFormat/>
    <w:rsid w:val="00E62E9F"/>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261C6D"/>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F67D1"/>
    <w:rPr>
      <w:color w:val="0563C1" w:themeColor="hyperlink"/>
      <w:u w:val="single"/>
    </w:rPr>
  </w:style>
  <w:style w:type="character" w:styleId="UnresolvedMention">
    <w:name w:val="Unresolved Mention"/>
    <w:basedOn w:val="DefaultParagraphFont"/>
    <w:uiPriority w:val="99"/>
    <w:semiHidden/>
    <w:unhideWhenUsed/>
    <w:rsid w:val="008F67D1"/>
    <w:rPr>
      <w:color w:val="605E5C"/>
      <w:shd w:val="clear" w:color="auto" w:fill="E1DFDD"/>
    </w:rPr>
  </w:style>
  <w:style w:type="character" w:customStyle="1" w:styleId="Heading3Char">
    <w:name w:val="Heading 3 Char"/>
    <w:basedOn w:val="DefaultParagraphFont"/>
    <w:link w:val="Heading3"/>
    <w:uiPriority w:val="9"/>
    <w:rsid w:val="00161A57"/>
    <w:rPr>
      <w:rFonts w:ascii="Times New Roman" w:eastAsia="Times New Roman" w:hAnsi="Times New Roman" w:cs="Times New Roman"/>
      <w:b/>
      <w:bCs/>
      <w:sz w:val="27"/>
      <w:szCs w:val="27"/>
    </w:rPr>
  </w:style>
  <w:style w:type="character" w:styleId="Strong">
    <w:name w:val="Strong"/>
    <w:basedOn w:val="DefaultParagraphFont"/>
    <w:uiPriority w:val="22"/>
    <w:qFormat/>
    <w:rsid w:val="00161A57"/>
    <w:rPr>
      <w:b/>
      <w:bCs/>
    </w:rPr>
  </w:style>
  <w:style w:type="paragraph" w:styleId="NormalWeb">
    <w:name w:val="Normal (Web)"/>
    <w:basedOn w:val="Normal"/>
    <w:uiPriority w:val="99"/>
    <w:unhideWhenUsed/>
    <w:rsid w:val="00161A57"/>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084D84"/>
    <w:rPr>
      <w:i/>
      <w:iCs/>
    </w:rPr>
  </w:style>
  <w:style w:type="character" w:customStyle="1" w:styleId="Heading4Char">
    <w:name w:val="Heading 4 Char"/>
    <w:basedOn w:val="DefaultParagraphFont"/>
    <w:link w:val="Heading4"/>
    <w:uiPriority w:val="9"/>
    <w:rsid w:val="00E62E9F"/>
    <w:rPr>
      <w:rFonts w:asciiTheme="majorHAnsi" w:eastAsiaTheme="majorEastAsia" w:hAnsiTheme="majorHAnsi" w:cstheme="majorBidi"/>
      <w:i/>
      <w:iCs/>
      <w:color w:val="2F5496" w:themeColor="accent1" w:themeShade="BF"/>
    </w:rPr>
  </w:style>
  <w:style w:type="paragraph" w:styleId="ListParagraph">
    <w:name w:val="List Paragraph"/>
    <w:basedOn w:val="Normal"/>
    <w:uiPriority w:val="34"/>
    <w:qFormat/>
    <w:rsid w:val="00A1514C"/>
    <w:pPr>
      <w:ind w:left="720"/>
      <w:contextualSpacing/>
    </w:pPr>
  </w:style>
  <w:style w:type="character" w:styleId="HTMLCite">
    <w:name w:val="HTML Cite"/>
    <w:basedOn w:val="DefaultParagraphFont"/>
    <w:uiPriority w:val="99"/>
    <w:semiHidden/>
    <w:unhideWhenUsed/>
    <w:rsid w:val="000B2D74"/>
    <w:rPr>
      <w:i/>
      <w:iCs/>
    </w:rPr>
  </w:style>
  <w:style w:type="character" w:customStyle="1" w:styleId="Heading1Char">
    <w:name w:val="Heading 1 Char"/>
    <w:basedOn w:val="DefaultParagraphFont"/>
    <w:link w:val="Heading1"/>
    <w:uiPriority w:val="9"/>
    <w:rsid w:val="00DA7B69"/>
    <w:rPr>
      <w:rFonts w:asciiTheme="majorHAnsi" w:eastAsiaTheme="majorEastAsia" w:hAnsiTheme="majorHAnsi" w:cstheme="majorBidi"/>
      <w:color w:val="2F5496" w:themeColor="accent1" w:themeShade="BF"/>
      <w:sz w:val="32"/>
      <w:szCs w:val="32"/>
    </w:rPr>
  </w:style>
  <w:style w:type="character" w:customStyle="1" w:styleId="Heading5Char">
    <w:name w:val="Heading 5 Char"/>
    <w:basedOn w:val="DefaultParagraphFont"/>
    <w:link w:val="Heading5"/>
    <w:uiPriority w:val="9"/>
    <w:semiHidden/>
    <w:rsid w:val="00261C6D"/>
    <w:rPr>
      <w:rFonts w:asciiTheme="majorHAnsi" w:eastAsiaTheme="majorEastAsia" w:hAnsiTheme="majorHAnsi" w:cstheme="majorBidi"/>
      <w:color w:val="2F5496" w:themeColor="accent1" w:themeShade="BF"/>
    </w:rPr>
  </w:style>
  <w:style w:type="character" w:customStyle="1" w:styleId="Heading2Char">
    <w:name w:val="Heading 2 Char"/>
    <w:basedOn w:val="DefaultParagraphFont"/>
    <w:link w:val="Heading2"/>
    <w:uiPriority w:val="9"/>
    <w:semiHidden/>
    <w:rsid w:val="00FA7257"/>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77000">
      <w:bodyDiv w:val="1"/>
      <w:marLeft w:val="0"/>
      <w:marRight w:val="0"/>
      <w:marTop w:val="0"/>
      <w:marBottom w:val="0"/>
      <w:divBdr>
        <w:top w:val="none" w:sz="0" w:space="0" w:color="auto"/>
        <w:left w:val="none" w:sz="0" w:space="0" w:color="auto"/>
        <w:bottom w:val="none" w:sz="0" w:space="0" w:color="auto"/>
        <w:right w:val="none" w:sz="0" w:space="0" w:color="auto"/>
      </w:divBdr>
    </w:div>
    <w:div w:id="14964636">
      <w:bodyDiv w:val="1"/>
      <w:marLeft w:val="0"/>
      <w:marRight w:val="0"/>
      <w:marTop w:val="0"/>
      <w:marBottom w:val="0"/>
      <w:divBdr>
        <w:top w:val="none" w:sz="0" w:space="0" w:color="auto"/>
        <w:left w:val="none" w:sz="0" w:space="0" w:color="auto"/>
        <w:bottom w:val="none" w:sz="0" w:space="0" w:color="auto"/>
        <w:right w:val="none" w:sz="0" w:space="0" w:color="auto"/>
      </w:divBdr>
    </w:div>
    <w:div w:id="18439334">
      <w:bodyDiv w:val="1"/>
      <w:marLeft w:val="0"/>
      <w:marRight w:val="0"/>
      <w:marTop w:val="0"/>
      <w:marBottom w:val="0"/>
      <w:divBdr>
        <w:top w:val="none" w:sz="0" w:space="0" w:color="auto"/>
        <w:left w:val="none" w:sz="0" w:space="0" w:color="auto"/>
        <w:bottom w:val="none" w:sz="0" w:space="0" w:color="auto"/>
        <w:right w:val="none" w:sz="0" w:space="0" w:color="auto"/>
      </w:divBdr>
      <w:divsChild>
        <w:div w:id="1519734166">
          <w:marLeft w:val="0"/>
          <w:marRight w:val="0"/>
          <w:marTop w:val="0"/>
          <w:marBottom w:val="0"/>
          <w:divBdr>
            <w:top w:val="none" w:sz="0" w:space="0" w:color="auto"/>
            <w:left w:val="none" w:sz="0" w:space="0" w:color="auto"/>
            <w:bottom w:val="none" w:sz="0" w:space="0" w:color="auto"/>
            <w:right w:val="none" w:sz="0" w:space="0" w:color="auto"/>
          </w:divBdr>
        </w:div>
      </w:divsChild>
    </w:div>
    <w:div w:id="37898320">
      <w:bodyDiv w:val="1"/>
      <w:marLeft w:val="0"/>
      <w:marRight w:val="0"/>
      <w:marTop w:val="0"/>
      <w:marBottom w:val="0"/>
      <w:divBdr>
        <w:top w:val="none" w:sz="0" w:space="0" w:color="auto"/>
        <w:left w:val="none" w:sz="0" w:space="0" w:color="auto"/>
        <w:bottom w:val="none" w:sz="0" w:space="0" w:color="auto"/>
        <w:right w:val="none" w:sz="0" w:space="0" w:color="auto"/>
      </w:divBdr>
    </w:div>
    <w:div w:id="44260740">
      <w:bodyDiv w:val="1"/>
      <w:marLeft w:val="0"/>
      <w:marRight w:val="0"/>
      <w:marTop w:val="0"/>
      <w:marBottom w:val="0"/>
      <w:divBdr>
        <w:top w:val="none" w:sz="0" w:space="0" w:color="auto"/>
        <w:left w:val="none" w:sz="0" w:space="0" w:color="auto"/>
        <w:bottom w:val="none" w:sz="0" w:space="0" w:color="auto"/>
        <w:right w:val="none" w:sz="0" w:space="0" w:color="auto"/>
      </w:divBdr>
    </w:div>
    <w:div w:id="73358358">
      <w:bodyDiv w:val="1"/>
      <w:marLeft w:val="0"/>
      <w:marRight w:val="0"/>
      <w:marTop w:val="0"/>
      <w:marBottom w:val="0"/>
      <w:divBdr>
        <w:top w:val="none" w:sz="0" w:space="0" w:color="auto"/>
        <w:left w:val="none" w:sz="0" w:space="0" w:color="auto"/>
        <w:bottom w:val="none" w:sz="0" w:space="0" w:color="auto"/>
        <w:right w:val="none" w:sz="0" w:space="0" w:color="auto"/>
      </w:divBdr>
    </w:div>
    <w:div w:id="81265902">
      <w:bodyDiv w:val="1"/>
      <w:marLeft w:val="0"/>
      <w:marRight w:val="0"/>
      <w:marTop w:val="0"/>
      <w:marBottom w:val="0"/>
      <w:divBdr>
        <w:top w:val="none" w:sz="0" w:space="0" w:color="auto"/>
        <w:left w:val="none" w:sz="0" w:space="0" w:color="auto"/>
        <w:bottom w:val="none" w:sz="0" w:space="0" w:color="auto"/>
        <w:right w:val="none" w:sz="0" w:space="0" w:color="auto"/>
      </w:divBdr>
    </w:div>
    <w:div w:id="81613074">
      <w:bodyDiv w:val="1"/>
      <w:marLeft w:val="0"/>
      <w:marRight w:val="0"/>
      <w:marTop w:val="0"/>
      <w:marBottom w:val="0"/>
      <w:divBdr>
        <w:top w:val="none" w:sz="0" w:space="0" w:color="auto"/>
        <w:left w:val="none" w:sz="0" w:space="0" w:color="auto"/>
        <w:bottom w:val="none" w:sz="0" w:space="0" w:color="auto"/>
        <w:right w:val="none" w:sz="0" w:space="0" w:color="auto"/>
      </w:divBdr>
    </w:div>
    <w:div w:id="91242374">
      <w:bodyDiv w:val="1"/>
      <w:marLeft w:val="0"/>
      <w:marRight w:val="0"/>
      <w:marTop w:val="0"/>
      <w:marBottom w:val="0"/>
      <w:divBdr>
        <w:top w:val="none" w:sz="0" w:space="0" w:color="auto"/>
        <w:left w:val="none" w:sz="0" w:space="0" w:color="auto"/>
        <w:bottom w:val="none" w:sz="0" w:space="0" w:color="auto"/>
        <w:right w:val="none" w:sz="0" w:space="0" w:color="auto"/>
      </w:divBdr>
    </w:div>
    <w:div w:id="92552501">
      <w:bodyDiv w:val="1"/>
      <w:marLeft w:val="0"/>
      <w:marRight w:val="0"/>
      <w:marTop w:val="0"/>
      <w:marBottom w:val="0"/>
      <w:divBdr>
        <w:top w:val="none" w:sz="0" w:space="0" w:color="auto"/>
        <w:left w:val="none" w:sz="0" w:space="0" w:color="auto"/>
        <w:bottom w:val="none" w:sz="0" w:space="0" w:color="auto"/>
        <w:right w:val="none" w:sz="0" w:space="0" w:color="auto"/>
      </w:divBdr>
    </w:div>
    <w:div w:id="93941758">
      <w:bodyDiv w:val="1"/>
      <w:marLeft w:val="0"/>
      <w:marRight w:val="0"/>
      <w:marTop w:val="0"/>
      <w:marBottom w:val="0"/>
      <w:divBdr>
        <w:top w:val="none" w:sz="0" w:space="0" w:color="auto"/>
        <w:left w:val="none" w:sz="0" w:space="0" w:color="auto"/>
        <w:bottom w:val="none" w:sz="0" w:space="0" w:color="auto"/>
        <w:right w:val="none" w:sz="0" w:space="0" w:color="auto"/>
      </w:divBdr>
    </w:div>
    <w:div w:id="99683823">
      <w:bodyDiv w:val="1"/>
      <w:marLeft w:val="0"/>
      <w:marRight w:val="0"/>
      <w:marTop w:val="0"/>
      <w:marBottom w:val="0"/>
      <w:divBdr>
        <w:top w:val="none" w:sz="0" w:space="0" w:color="auto"/>
        <w:left w:val="none" w:sz="0" w:space="0" w:color="auto"/>
        <w:bottom w:val="none" w:sz="0" w:space="0" w:color="auto"/>
        <w:right w:val="none" w:sz="0" w:space="0" w:color="auto"/>
      </w:divBdr>
      <w:divsChild>
        <w:div w:id="1226573151">
          <w:marLeft w:val="0"/>
          <w:marRight w:val="0"/>
          <w:marTop w:val="0"/>
          <w:marBottom w:val="0"/>
          <w:divBdr>
            <w:top w:val="none" w:sz="0" w:space="0" w:color="auto"/>
            <w:left w:val="none" w:sz="0" w:space="0" w:color="auto"/>
            <w:bottom w:val="none" w:sz="0" w:space="0" w:color="auto"/>
            <w:right w:val="none" w:sz="0" w:space="0" w:color="auto"/>
          </w:divBdr>
        </w:div>
        <w:div w:id="1857041173">
          <w:marLeft w:val="0"/>
          <w:marRight w:val="0"/>
          <w:marTop w:val="0"/>
          <w:marBottom w:val="0"/>
          <w:divBdr>
            <w:top w:val="none" w:sz="0" w:space="0" w:color="auto"/>
            <w:left w:val="none" w:sz="0" w:space="0" w:color="auto"/>
            <w:bottom w:val="none" w:sz="0" w:space="0" w:color="auto"/>
            <w:right w:val="none" w:sz="0" w:space="0" w:color="auto"/>
          </w:divBdr>
        </w:div>
      </w:divsChild>
    </w:div>
    <w:div w:id="102656222">
      <w:bodyDiv w:val="1"/>
      <w:marLeft w:val="0"/>
      <w:marRight w:val="0"/>
      <w:marTop w:val="0"/>
      <w:marBottom w:val="0"/>
      <w:divBdr>
        <w:top w:val="none" w:sz="0" w:space="0" w:color="auto"/>
        <w:left w:val="none" w:sz="0" w:space="0" w:color="auto"/>
        <w:bottom w:val="none" w:sz="0" w:space="0" w:color="auto"/>
        <w:right w:val="none" w:sz="0" w:space="0" w:color="auto"/>
      </w:divBdr>
    </w:div>
    <w:div w:id="110245895">
      <w:bodyDiv w:val="1"/>
      <w:marLeft w:val="0"/>
      <w:marRight w:val="0"/>
      <w:marTop w:val="0"/>
      <w:marBottom w:val="0"/>
      <w:divBdr>
        <w:top w:val="none" w:sz="0" w:space="0" w:color="auto"/>
        <w:left w:val="none" w:sz="0" w:space="0" w:color="auto"/>
        <w:bottom w:val="none" w:sz="0" w:space="0" w:color="auto"/>
        <w:right w:val="none" w:sz="0" w:space="0" w:color="auto"/>
      </w:divBdr>
    </w:div>
    <w:div w:id="146941991">
      <w:bodyDiv w:val="1"/>
      <w:marLeft w:val="0"/>
      <w:marRight w:val="0"/>
      <w:marTop w:val="0"/>
      <w:marBottom w:val="0"/>
      <w:divBdr>
        <w:top w:val="none" w:sz="0" w:space="0" w:color="auto"/>
        <w:left w:val="none" w:sz="0" w:space="0" w:color="auto"/>
        <w:bottom w:val="none" w:sz="0" w:space="0" w:color="auto"/>
        <w:right w:val="none" w:sz="0" w:space="0" w:color="auto"/>
      </w:divBdr>
    </w:div>
    <w:div w:id="157044189">
      <w:bodyDiv w:val="1"/>
      <w:marLeft w:val="0"/>
      <w:marRight w:val="0"/>
      <w:marTop w:val="0"/>
      <w:marBottom w:val="0"/>
      <w:divBdr>
        <w:top w:val="none" w:sz="0" w:space="0" w:color="auto"/>
        <w:left w:val="none" w:sz="0" w:space="0" w:color="auto"/>
        <w:bottom w:val="none" w:sz="0" w:space="0" w:color="auto"/>
        <w:right w:val="none" w:sz="0" w:space="0" w:color="auto"/>
      </w:divBdr>
    </w:div>
    <w:div w:id="158666495">
      <w:bodyDiv w:val="1"/>
      <w:marLeft w:val="0"/>
      <w:marRight w:val="0"/>
      <w:marTop w:val="0"/>
      <w:marBottom w:val="0"/>
      <w:divBdr>
        <w:top w:val="none" w:sz="0" w:space="0" w:color="auto"/>
        <w:left w:val="none" w:sz="0" w:space="0" w:color="auto"/>
        <w:bottom w:val="none" w:sz="0" w:space="0" w:color="auto"/>
        <w:right w:val="none" w:sz="0" w:space="0" w:color="auto"/>
      </w:divBdr>
      <w:divsChild>
        <w:div w:id="290786912">
          <w:marLeft w:val="0"/>
          <w:marRight w:val="0"/>
          <w:marTop w:val="0"/>
          <w:marBottom w:val="0"/>
          <w:divBdr>
            <w:top w:val="none" w:sz="0" w:space="0" w:color="auto"/>
            <w:left w:val="none" w:sz="0" w:space="0" w:color="auto"/>
            <w:bottom w:val="none" w:sz="0" w:space="0" w:color="auto"/>
            <w:right w:val="none" w:sz="0" w:space="0" w:color="auto"/>
          </w:divBdr>
        </w:div>
      </w:divsChild>
    </w:div>
    <w:div w:id="166287113">
      <w:bodyDiv w:val="1"/>
      <w:marLeft w:val="0"/>
      <w:marRight w:val="0"/>
      <w:marTop w:val="0"/>
      <w:marBottom w:val="0"/>
      <w:divBdr>
        <w:top w:val="none" w:sz="0" w:space="0" w:color="auto"/>
        <w:left w:val="none" w:sz="0" w:space="0" w:color="auto"/>
        <w:bottom w:val="none" w:sz="0" w:space="0" w:color="auto"/>
        <w:right w:val="none" w:sz="0" w:space="0" w:color="auto"/>
      </w:divBdr>
      <w:divsChild>
        <w:div w:id="2078745312">
          <w:marLeft w:val="0"/>
          <w:marRight w:val="0"/>
          <w:marTop w:val="0"/>
          <w:marBottom w:val="0"/>
          <w:divBdr>
            <w:top w:val="none" w:sz="0" w:space="0" w:color="auto"/>
            <w:left w:val="none" w:sz="0" w:space="0" w:color="auto"/>
            <w:bottom w:val="none" w:sz="0" w:space="0" w:color="auto"/>
            <w:right w:val="none" w:sz="0" w:space="0" w:color="auto"/>
          </w:divBdr>
        </w:div>
      </w:divsChild>
    </w:div>
    <w:div w:id="178741460">
      <w:bodyDiv w:val="1"/>
      <w:marLeft w:val="0"/>
      <w:marRight w:val="0"/>
      <w:marTop w:val="0"/>
      <w:marBottom w:val="0"/>
      <w:divBdr>
        <w:top w:val="none" w:sz="0" w:space="0" w:color="auto"/>
        <w:left w:val="none" w:sz="0" w:space="0" w:color="auto"/>
        <w:bottom w:val="none" w:sz="0" w:space="0" w:color="auto"/>
        <w:right w:val="none" w:sz="0" w:space="0" w:color="auto"/>
      </w:divBdr>
    </w:div>
    <w:div w:id="187061691">
      <w:bodyDiv w:val="1"/>
      <w:marLeft w:val="0"/>
      <w:marRight w:val="0"/>
      <w:marTop w:val="0"/>
      <w:marBottom w:val="0"/>
      <w:divBdr>
        <w:top w:val="none" w:sz="0" w:space="0" w:color="auto"/>
        <w:left w:val="none" w:sz="0" w:space="0" w:color="auto"/>
        <w:bottom w:val="none" w:sz="0" w:space="0" w:color="auto"/>
        <w:right w:val="none" w:sz="0" w:space="0" w:color="auto"/>
      </w:divBdr>
    </w:div>
    <w:div w:id="189690644">
      <w:bodyDiv w:val="1"/>
      <w:marLeft w:val="0"/>
      <w:marRight w:val="0"/>
      <w:marTop w:val="0"/>
      <w:marBottom w:val="0"/>
      <w:divBdr>
        <w:top w:val="none" w:sz="0" w:space="0" w:color="auto"/>
        <w:left w:val="none" w:sz="0" w:space="0" w:color="auto"/>
        <w:bottom w:val="none" w:sz="0" w:space="0" w:color="auto"/>
        <w:right w:val="none" w:sz="0" w:space="0" w:color="auto"/>
      </w:divBdr>
    </w:div>
    <w:div w:id="197275834">
      <w:bodyDiv w:val="1"/>
      <w:marLeft w:val="0"/>
      <w:marRight w:val="0"/>
      <w:marTop w:val="0"/>
      <w:marBottom w:val="0"/>
      <w:divBdr>
        <w:top w:val="none" w:sz="0" w:space="0" w:color="auto"/>
        <w:left w:val="none" w:sz="0" w:space="0" w:color="auto"/>
        <w:bottom w:val="none" w:sz="0" w:space="0" w:color="auto"/>
        <w:right w:val="none" w:sz="0" w:space="0" w:color="auto"/>
      </w:divBdr>
    </w:div>
    <w:div w:id="210769215">
      <w:bodyDiv w:val="1"/>
      <w:marLeft w:val="0"/>
      <w:marRight w:val="0"/>
      <w:marTop w:val="0"/>
      <w:marBottom w:val="0"/>
      <w:divBdr>
        <w:top w:val="none" w:sz="0" w:space="0" w:color="auto"/>
        <w:left w:val="none" w:sz="0" w:space="0" w:color="auto"/>
        <w:bottom w:val="none" w:sz="0" w:space="0" w:color="auto"/>
        <w:right w:val="none" w:sz="0" w:space="0" w:color="auto"/>
      </w:divBdr>
    </w:div>
    <w:div w:id="216403947">
      <w:bodyDiv w:val="1"/>
      <w:marLeft w:val="0"/>
      <w:marRight w:val="0"/>
      <w:marTop w:val="0"/>
      <w:marBottom w:val="0"/>
      <w:divBdr>
        <w:top w:val="none" w:sz="0" w:space="0" w:color="auto"/>
        <w:left w:val="none" w:sz="0" w:space="0" w:color="auto"/>
        <w:bottom w:val="none" w:sz="0" w:space="0" w:color="auto"/>
        <w:right w:val="none" w:sz="0" w:space="0" w:color="auto"/>
      </w:divBdr>
    </w:div>
    <w:div w:id="216672354">
      <w:bodyDiv w:val="1"/>
      <w:marLeft w:val="0"/>
      <w:marRight w:val="0"/>
      <w:marTop w:val="0"/>
      <w:marBottom w:val="0"/>
      <w:divBdr>
        <w:top w:val="none" w:sz="0" w:space="0" w:color="auto"/>
        <w:left w:val="none" w:sz="0" w:space="0" w:color="auto"/>
        <w:bottom w:val="none" w:sz="0" w:space="0" w:color="auto"/>
        <w:right w:val="none" w:sz="0" w:space="0" w:color="auto"/>
      </w:divBdr>
    </w:div>
    <w:div w:id="226190122">
      <w:bodyDiv w:val="1"/>
      <w:marLeft w:val="0"/>
      <w:marRight w:val="0"/>
      <w:marTop w:val="0"/>
      <w:marBottom w:val="0"/>
      <w:divBdr>
        <w:top w:val="none" w:sz="0" w:space="0" w:color="auto"/>
        <w:left w:val="none" w:sz="0" w:space="0" w:color="auto"/>
        <w:bottom w:val="none" w:sz="0" w:space="0" w:color="auto"/>
        <w:right w:val="none" w:sz="0" w:space="0" w:color="auto"/>
      </w:divBdr>
    </w:div>
    <w:div w:id="260451986">
      <w:bodyDiv w:val="1"/>
      <w:marLeft w:val="0"/>
      <w:marRight w:val="0"/>
      <w:marTop w:val="0"/>
      <w:marBottom w:val="0"/>
      <w:divBdr>
        <w:top w:val="none" w:sz="0" w:space="0" w:color="auto"/>
        <w:left w:val="none" w:sz="0" w:space="0" w:color="auto"/>
        <w:bottom w:val="none" w:sz="0" w:space="0" w:color="auto"/>
        <w:right w:val="none" w:sz="0" w:space="0" w:color="auto"/>
      </w:divBdr>
    </w:div>
    <w:div w:id="263922677">
      <w:bodyDiv w:val="1"/>
      <w:marLeft w:val="0"/>
      <w:marRight w:val="0"/>
      <w:marTop w:val="0"/>
      <w:marBottom w:val="0"/>
      <w:divBdr>
        <w:top w:val="none" w:sz="0" w:space="0" w:color="auto"/>
        <w:left w:val="none" w:sz="0" w:space="0" w:color="auto"/>
        <w:bottom w:val="none" w:sz="0" w:space="0" w:color="auto"/>
        <w:right w:val="none" w:sz="0" w:space="0" w:color="auto"/>
      </w:divBdr>
    </w:div>
    <w:div w:id="271399097">
      <w:bodyDiv w:val="1"/>
      <w:marLeft w:val="0"/>
      <w:marRight w:val="0"/>
      <w:marTop w:val="0"/>
      <w:marBottom w:val="0"/>
      <w:divBdr>
        <w:top w:val="none" w:sz="0" w:space="0" w:color="auto"/>
        <w:left w:val="none" w:sz="0" w:space="0" w:color="auto"/>
        <w:bottom w:val="none" w:sz="0" w:space="0" w:color="auto"/>
        <w:right w:val="none" w:sz="0" w:space="0" w:color="auto"/>
      </w:divBdr>
    </w:div>
    <w:div w:id="294214942">
      <w:bodyDiv w:val="1"/>
      <w:marLeft w:val="0"/>
      <w:marRight w:val="0"/>
      <w:marTop w:val="0"/>
      <w:marBottom w:val="0"/>
      <w:divBdr>
        <w:top w:val="none" w:sz="0" w:space="0" w:color="auto"/>
        <w:left w:val="none" w:sz="0" w:space="0" w:color="auto"/>
        <w:bottom w:val="none" w:sz="0" w:space="0" w:color="auto"/>
        <w:right w:val="none" w:sz="0" w:space="0" w:color="auto"/>
      </w:divBdr>
    </w:div>
    <w:div w:id="315692195">
      <w:bodyDiv w:val="1"/>
      <w:marLeft w:val="0"/>
      <w:marRight w:val="0"/>
      <w:marTop w:val="0"/>
      <w:marBottom w:val="0"/>
      <w:divBdr>
        <w:top w:val="none" w:sz="0" w:space="0" w:color="auto"/>
        <w:left w:val="none" w:sz="0" w:space="0" w:color="auto"/>
        <w:bottom w:val="none" w:sz="0" w:space="0" w:color="auto"/>
        <w:right w:val="none" w:sz="0" w:space="0" w:color="auto"/>
      </w:divBdr>
    </w:div>
    <w:div w:id="328409376">
      <w:bodyDiv w:val="1"/>
      <w:marLeft w:val="0"/>
      <w:marRight w:val="0"/>
      <w:marTop w:val="0"/>
      <w:marBottom w:val="0"/>
      <w:divBdr>
        <w:top w:val="none" w:sz="0" w:space="0" w:color="auto"/>
        <w:left w:val="none" w:sz="0" w:space="0" w:color="auto"/>
        <w:bottom w:val="none" w:sz="0" w:space="0" w:color="auto"/>
        <w:right w:val="none" w:sz="0" w:space="0" w:color="auto"/>
      </w:divBdr>
    </w:div>
    <w:div w:id="384178790">
      <w:bodyDiv w:val="1"/>
      <w:marLeft w:val="0"/>
      <w:marRight w:val="0"/>
      <w:marTop w:val="0"/>
      <w:marBottom w:val="0"/>
      <w:divBdr>
        <w:top w:val="none" w:sz="0" w:space="0" w:color="auto"/>
        <w:left w:val="none" w:sz="0" w:space="0" w:color="auto"/>
        <w:bottom w:val="none" w:sz="0" w:space="0" w:color="auto"/>
        <w:right w:val="none" w:sz="0" w:space="0" w:color="auto"/>
      </w:divBdr>
    </w:div>
    <w:div w:id="392238658">
      <w:bodyDiv w:val="1"/>
      <w:marLeft w:val="0"/>
      <w:marRight w:val="0"/>
      <w:marTop w:val="0"/>
      <w:marBottom w:val="0"/>
      <w:divBdr>
        <w:top w:val="none" w:sz="0" w:space="0" w:color="auto"/>
        <w:left w:val="none" w:sz="0" w:space="0" w:color="auto"/>
        <w:bottom w:val="none" w:sz="0" w:space="0" w:color="auto"/>
        <w:right w:val="none" w:sz="0" w:space="0" w:color="auto"/>
      </w:divBdr>
    </w:div>
    <w:div w:id="402139557">
      <w:bodyDiv w:val="1"/>
      <w:marLeft w:val="0"/>
      <w:marRight w:val="0"/>
      <w:marTop w:val="0"/>
      <w:marBottom w:val="0"/>
      <w:divBdr>
        <w:top w:val="none" w:sz="0" w:space="0" w:color="auto"/>
        <w:left w:val="none" w:sz="0" w:space="0" w:color="auto"/>
        <w:bottom w:val="none" w:sz="0" w:space="0" w:color="auto"/>
        <w:right w:val="none" w:sz="0" w:space="0" w:color="auto"/>
      </w:divBdr>
    </w:div>
    <w:div w:id="407458389">
      <w:bodyDiv w:val="1"/>
      <w:marLeft w:val="0"/>
      <w:marRight w:val="0"/>
      <w:marTop w:val="0"/>
      <w:marBottom w:val="0"/>
      <w:divBdr>
        <w:top w:val="none" w:sz="0" w:space="0" w:color="auto"/>
        <w:left w:val="none" w:sz="0" w:space="0" w:color="auto"/>
        <w:bottom w:val="none" w:sz="0" w:space="0" w:color="auto"/>
        <w:right w:val="none" w:sz="0" w:space="0" w:color="auto"/>
      </w:divBdr>
    </w:div>
    <w:div w:id="436291861">
      <w:bodyDiv w:val="1"/>
      <w:marLeft w:val="0"/>
      <w:marRight w:val="0"/>
      <w:marTop w:val="0"/>
      <w:marBottom w:val="0"/>
      <w:divBdr>
        <w:top w:val="none" w:sz="0" w:space="0" w:color="auto"/>
        <w:left w:val="none" w:sz="0" w:space="0" w:color="auto"/>
        <w:bottom w:val="none" w:sz="0" w:space="0" w:color="auto"/>
        <w:right w:val="none" w:sz="0" w:space="0" w:color="auto"/>
      </w:divBdr>
    </w:div>
    <w:div w:id="449396752">
      <w:bodyDiv w:val="1"/>
      <w:marLeft w:val="0"/>
      <w:marRight w:val="0"/>
      <w:marTop w:val="0"/>
      <w:marBottom w:val="0"/>
      <w:divBdr>
        <w:top w:val="none" w:sz="0" w:space="0" w:color="auto"/>
        <w:left w:val="none" w:sz="0" w:space="0" w:color="auto"/>
        <w:bottom w:val="none" w:sz="0" w:space="0" w:color="auto"/>
        <w:right w:val="none" w:sz="0" w:space="0" w:color="auto"/>
      </w:divBdr>
    </w:div>
    <w:div w:id="455946419">
      <w:bodyDiv w:val="1"/>
      <w:marLeft w:val="0"/>
      <w:marRight w:val="0"/>
      <w:marTop w:val="0"/>
      <w:marBottom w:val="0"/>
      <w:divBdr>
        <w:top w:val="none" w:sz="0" w:space="0" w:color="auto"/>
        <w:left w:val="none" w:sz="0" w:space="0" w:color="auto"/>
        <w:bottom w:val="none" w:sz="0" w:space="0" w:color="auto"/>
        <w:right w:val="none" w:sz="0" w:space="0" w:color="auto"/>
      </w:divBdr>
    </w:div>
    <w:div w:id="464811108">
      <w:bodyDiv w:val="1"/>
      <w:marLeft w:val="0"/>
      <w:marRight w:val="0"/>
      <w:marTop w:val="0"/>
      <w:marBottom w:val="0"/>
      <w:divBdr>
        <w:top w:val="none" w:sz="0" w:space="0" w:color="auto"/>
        <w:left w:val="none" w:sz="0" w:space="0" w:color="auto"/>
        <w:bottom w:val="none" w:sz="0" w:space="0" w:color="auto"/>
        <w:right w:val="none" w:sz="0" w:space="0" w:color="auto"/>
      </w:divBdr>
    </w:div>
    <w:div w:id="509369989">
      <w:bodyDiv w:val="1"/>
      <w:marLeft w:val="0"/>
      <w:marRight w:val="0"/>
      <w:marTop w:val="0"/>
      <w:marBottom w:val="0"/>
      <w:divBdr>
        <w:top w:val="none" w:sz="0" w:space="0" w:color="auto"/>
        <w:left w:val="none" w:sz="0" w:space="0" w:color="auto"/>
        <w:bottom w:val="none" w:sz="0" w:space="0" w:color="auto"/>
        <w:right w:val="none" w:sz="0" w:space="0" w:color="auto"/>
      </w:divBdr>
    </w:div>
    <w:div w:id="545720217">
      <w:bodyDiv w:val="1"/>
      <w:marLeft w:val="0"/>
      <w:marRight w:val="0"/>
      <w:marTop w:val="0"/>
      <w:marBottom w:val="0"/>
      <w:divBdr>
        <w:top w:val="none" w:sz="0" w:space="0" w:color="auto"/>
        <w:left w:val="none" w:sz="0" w:space="0" w:color="auto"/>
        <w:bottom w:val="none" w:sz="0" w:space="0" w:color="auto"/>
        <w:right w:val="none" w:sz="0" w:space="0" w:color="auto"/>
      </w:divBdr>
    </w:div>
    <w:div w:id="551162088">
      <w:bodyDiv w:val="1"/>
      <w:marLeft w:val="0"/>
      <w:marRight w:val="0"/>
      <w:marTop w:val="0"/>
      <w:marBottom w:val="0"/>
      <w:divBdr>
        <w:top w:val="none" w:sz="0" w:space="0" w:color="auto"/>
        <w:left w:val="none" w:sz="0" w:space="0" w:color="auto"/>
        <w:bottom w:val="none" w:sz="0" w:space="0" w:color="auto"/>
        <w:right w:val="none" w:sz="0" w:space="0" w:color="auto"/>
      </w:divBdr>
    </w:div>
    <w:div w:id="553200063">
      <w:bodyDiv w:val="1"/>
      <w:marLeft w:val="0"/>
      <w:marRight w:val="0"/>
      <w:marTop w:val="0"/>
      <w:marBottom w:val="0"/>
      <w:divBdr>
        <w:top w:val="none" w:sz="0" w:space="0" w:color="auto"/>
        <w:left w:val="none" w:sz="0" w:space="0" w:color="auto"/>
        <w:bottom w:val="none" w:sz="0" w:space="0" w:color="auto"/>
        <w:right w:val="none" w:sz="0" w:space="0" w:color="auto"/>
      </w:divBdr>
    </w:div>
    <w:div w:id="567881767">
      <w:bodyDiv w:val="1"/>
      <w:marLeft w:val="0"/>
      <w:marRight w:val="0"/>
      <w:marTop w:val="0"/>
      <w:marBottom w:val="0"/>
      <w:divBdr>
        <w:top w:val="none" w:sz="0" w:space="0" w:color="auto"/>
        <w:left w:val="none" w:sz="0" w:space="0" w:color="auto"/>
        <w:bottom w:val="none" w:sz="0" w:space="0" w:color="auto"/>
        <w:right w:val="none" w:sz="0" w:space="0" w:color="auto"/>
      </w:divBdr>
    </w:div>
    <w:div w:id="592740252">
      <w:bodyDiv w:val="1"/>
      <w:marLeft w:val="0"/>
      <w:marRight w:val="0"/>
      <w:marTop w:val="0"/>
      <w:marBottom w:val="0"/>
      <w:divBdr>
        <w:top w:val="none" w:sz="0" w:space="0" w:color="auto"/>
        <w:left w:val="none" w:sz="0" w:space="0" w:color="auto"/>
        <w:bottom w:val="none" w:sz="0" w:space="0" w:color="auto"/>
        <w:right w:val="none" w:sz="0" w:space="0" w:color="auto"/>
      </w:divBdr>
    </w:div>
    <w:div w:id="610624572">
      <w:bodyDiv w:val="1"/>
      <w:marLeft w:val="0"/>
      <w:marRight w:val="0"/>
      <w:marTop w:val="0"/>
      <w:marBottom w:val="0"/>
      <w:divBdr>
        <w:top w:val="none" w:sz="0" w:space="0" w:color="auto"/>
        <w:left w:val="none" w:sz="0" w:space="0" w:color="auto"/>
        <w:bottom w:val="none" w:sz="0" w:space="0" w:color="auto"/>
        <w:right w:val="none" w:sz="0" w:space="0" w:color="auto"/>
      </w:divBdr>
    </w:div>
    <w:div w:id="619070446">
      <w:bodyDiv w:val="1"/>
      <w:marLeft w:val="0"/>
      <w:marRight w:val="0"/>
      <w:marTop w:val="0"/>
      <w:marBottom w:val="0"/>
      <w:divBdr>
        <w:top w:val="none" w:sz="0" w:space="0" w:color="auto"/>
        <w:left w:val="none" w:sz="0" w:space="0" w:color="auto"/>
        <w:bottom w:val="none" w:sz="0" w:space="0" w:color="auto"/>
        <w:right w:val="none" w:sz="0" w:space="0" w:color="auto"/>
      </w:divBdr>
    </w:div>
    <w:div w:id="630668867">
      <w:bodyDiv w:val="1"/>
      <w:marLeft w:val="0"/>
      <w:marRight w:val="0"/>
      <w:marTop w:val="0"/>
      <w:marBottom w:val="0"/>
      <w:divBdr>
        <w:top w:val="none" w:sz="0" w:space="0" w:color="auto"/>
        <w:left w:val="none" w:sz="0" w:space="0" w:color="auto"/>
        <w:bottom w:val="none" w:sz="0" w:space="0" w:color="auto"/>
        <w:right w:val="none" w:sz="0" w:space="0" w:color="auto"/>
      </w:divBdr>
    </w:div>
    <w:div w:id="670642395">
      <w:bodyDiv w:val="1"/>
      <w:marLeft w:val="0"/>
      <w:marRight w:val="0"/>
      <w:marTop w:val="0"/>
      <w:marBottom w:val="0"/>
      <w:divBdr>
        <w:top w:val="none" w:sz="0" w:space="0" w:color="auto"/>
        <w:left w:val="none" w:sz="0" w:space="0" w:color="auto"/>
        <w:bottom w:val="none" w:sz="0" w:space="0" w:color="auto"/>
        <w:right w:val="none" w:sz="0" w:space="0" w:color="auto"/>
      </w:divBdr>
    </w:div>
    <w:div w:id="676344017">
      <w:bodyDiv w:val="1"/>
      <w:marLeft w:val="0"/>
      <w:marRight w:val="0"/>
      <w:marTop w:val="0"/>
      <w:marBottom w:val="0"/>
      <w:divBdr>
        <w:top w:val="none" w:sz="0" w:space="0" w:color="auto"/>
        <w:left w:val="none" w:sz="0" w:space="0" w:color="auto"/>
        <w:bottom w:val="none" w:sz="0" w:space="0" w:color="auto"/>
        <w:right w:val="none" w:sz="0" w:space="0" w:color="auto"/>
      </w:divBdr>
    </w:div>
    <w:div w:id="738020890">
      <w:bodyDiv w:val="1"/>
      <w:marLeft w:val="0"/>
      <w:marRight w:val="0"/>
      <w:marTop w:val="0"/>
      <w:marBottom w:val="0"/>
      <w:divBdr>
        <w:top w:val="none" w:sz="0" w:space="0" w:color="auto"/>
        <w:left w:val="none" w:sz="0" w:space="0" w:color="auto"/>
        <w:bottom w:val="none" w:sz="0" w:space="0" w:color="auto"/>
        <w:right w:val="none" w:sz="0" w:space="0" w:color="auto"/>
      </w:divBdr>
    </w:div>
    <w:div w:id="740836024">
      <w:bodyDiv w:val="1"/>
      <w:marLeft w:val="0"/>
      <w:marRight w:val="0"/>
      <w:marTop w:val="0"/>
      <w:marBottom w:val="0"/>
      <w:divBdr>
        <w:top w:val="none" w:sz="0" w:space="0" w:color="auto"/>
        <w:left w:val="none" w:sz="0" w:space="0" w:color="auto"/>
        <w:bottom w:val="none" w:sz="0" w:space="0" w:color="auto"/>
        <w:right w:val="none" w:sz="0" w:space="0" w:color="auto"/>
      </w:divBdr>
    </w:div>
    <w:div w:id="762609584">
      <w:bodyDiv w:val="1"/>
      <w:marLeft w:val="0"/>
      <w:marRight w:val="0"/>
      <w:marTop w:val="0"/>
      <w:marBottom w:val="0"/>
      <w:divBdr>
        <w:top w:val="none" w:sz="0" w:space="0" w:color="auto"/>
        <w:left w:val="none" w:sz="0" w:space="0" w:color="auto"/>
        <w:bottom w:val="none" w:sz="0" w:space="0" w:color="auto"/>
        <w:right w:val="none" w:sz="0" w:space="0" w:color="auto"/>
      </w:divBdr>
    </w:div>
    <w:div w:id="764693499">
      <w:bodyDiv w:val="1"/>
      <w:marLeft w:val="0"/>
      <w:marRight w:val="0"/>
      <w:marTop w:val="0"/>
      <w:marBottom w:val="0"/>
      <w:divBdr>
        <w:top w:val="none" w:sz="0" w:space="0" w:color="auto"/>
        <w:left w:val="none" w:sz="0" w:space="0" w:color="auto"/>
        <w:bottom w:val="none" w:sz="0" w:space="0" w:color="auto"/>
        <w:right w:val="none" w:sz="0" w:space="0" w:color="auto"/>
      </w:divBdr>
    </w:div>
    <w:div w:id="765149781">
      <w:bodyDiv w:val="1"/>
      <w:marLeft w:val="0"/>
      <w:marRight w:val="0"/>
      <w:marTop w:val="0"/>
      <w:marBottom w:val="0"/>
      <w:divBdr>
        <w:top w:val="none" w:sz="0" w:space="0" w:color="auto"/>
        <w:left w:val="none" w:sz="0" w:space="0" w:color="auto"/>
        <w:bottom w:val="none" w:sz="0" w:space="0" w:color="auto"/>
        <w:right w:val="none" w:sz="0" w:space="0" w:color="auto"/>
      </w:divBdr>
    </w:div>
    <w:div w:id="776174742">
      <w:bodyDiv w:val="1"/>
      <w:marLeft w:val="0"/>
      <w:marRight w:val="0"/>
      <w:marTop w:val="0"/>
      <w:marBottom w:val="0"/>
      <w:divBdr>
        <w:top w:val="none" w:sz="0" w:space="0" w:color="auto"/>
        <w:left w:val="none" w:sz="0" w:space="0" w:color="auto"/>
        <w:bottom w:val="none" w:sz="0" w:space="0" w:color="auto"/>
        <w:right w:val="none" w:sz="0" w:space="0" w:color="auto"/>
      </w:divBdr>
    </w:div>
    <w:div w:id="790366832">
      <w:bodyDiv w:val="1"/>
      <w:marLeft w:val="0"/>
      <w:marRight w:val="0"/>
      <w:marTop w:val="0"/>
      <w:marBottom w:val="0"/>
      <w:divBdr>
        <w:top w:val="none" w:sz="0" w:space="0" w:color="auto"/>
        <w:left w:val="none" w:sz="0" w:space="0" w:color="auto"/>
        <w:bottom w:val="none" w:sz="0" w:space="0" w:color="auto"/>
        <w:right w:val="none" w:sz="0" w:space="0" w:color="auto"/>
      </w:divBdr>
    </w:div>
    <w:div w:id="804665796">
      <w:bodyDiv w:val="1"/>
      <w:marLeft w:val="0"/>
      <w:marRight w:val="0"/>
      <w:marTop w:val="0"/>
      <w:marBottom w:val="0"/>
      <w:divBdr>
        <w:top w:val="none" w:sz="0" w:space="0" w:color="auto"/>
        <w:left w:val="none" w:sz="0" w:space="0" w:color="auto"/>
        <w:bottom w:val="none" w:sz="0" w:space="0" w:color="auto"/>
        <w:right w:val="none" w:sz="0" w:space="0" w:color="auto"/>
      </w:divBdr>
    </w:div>
    <w:div w:id="807284133">
      <w:bodyDiv w:val="1"/>
      <w:marLeft w:val="0"/>
      <w:marRight w:val="0"/>
      <w:marTop w:val="0"/>
      <w:marBottom w:val="0"/>
      <w:divBdr>
        <w:top w:val="none" w:sz="0" w:space="0" w:color="auto"/>
        <w:left w:val="none" w:sz="0" w:space="0" w:color="auto"/>
        <w:bottom w:val="none" w:sz="0" w:space="0" w:color="auto"/>
        <w:right w:val="none" w:sz="0" w:space="0" w:color="auto"/>
      </w:divBdr>
    </w:div>
    <w:div w:id="861557306">
      <w:bodyDiv w:val="1"/>
      <w:marLeft w:val="0"/>
      <w:marRight w:val="0"/>
      <w:marTop w:val="0"/>
      <w:marBottom w:val="0"/>
      <w:divBdr>
        <w:top w:val="none" w:sz="0" w:space="0" w:color="auto"/>
        <w:left w:val="none" w:sz="0" w:space="0" w:color="auto"/>
        <w:bottom w:val="none" w:sz="0" w:space="0" w:color="auto"/>
        <w:right w:val="none" w:sz="0" w:space="0" w:color="auto"/>
      </w:divBdr>
    </w:div>
    <w:div w:id="873271602">
      <w:bodyDiv w:val="1"/>
      <w:marLeft w:val="0"/>
      <w:marRight w:val="0"/>
      <w:marTop w:val="0"/>
      <w:marBottom w:val="0"/>
      <w:divBdr>
        <w:top w:val="none" w:sz="0" w:space="0" w:color="auto"/>
        <w:left w:val="none" w:sz="0" w:space="0" w:color="auto"/>
        <w:bottom w:val="none" w:sz="0" w:space="0" w:color="auto"/>
        <w:right w:val="none" w:sz="0" w:space="0" w:color="auto"/>
      </w:divBdr>
    </w:div>
    <w:div w:id="890657536">
      <w:bodyDiv w:val="1"/>
      <w:marLeft w:val="0"/>
      <w:marRight w:val="0"/>
      <w:marTop w:val="0"/>
      <w:marBottom w:val="0"/>
      <w:divBdr>
        <w:top w:val="none" w:sz="0" w:space="0" w:color="auto"/>
        <w:left w:val="none" w:sz="0" w:space="0" w:color="auto"/>
        <w:bottom w:val="none" w:sz="0" w:space="0" w:color="auto"/>
        <w:right w:val="none" w:sz="0" w:space="0" w:color="auto"/>
      </w:divBdr>
    </w:div>
    <w:div w:id="902445667">
      <w:bodyDiv w:val="1"/>
      <w:marLeft w:val="0"/>
      <w:marRight w:val="0"/>
      <w:marTop w:val="0"/>
      <w:marBottom w:val="0"/>
      <w:divBdr>
        <w:top w:val="none" w:sz="0" w:space="0" w:color="auto"/>
        <w:left w:val="none" w:sz="0" w:space="0" w:color="auto"/>
        <w:bottom w:val="none" w:sz="0" w:space="0" w:color="auto"/>
        <w:right w:val="none" w:sz="0" w:space="0" w:color="auto"/>
      </w:divBdr>
    </w:div>
    <w:div w:id="916020569">
      <w:bodyDiv w:val="1"/>
      <w:marLeft w:val="0"/>
      <w:marRight w:val="0"/>
      <w:marTop w:val="0"/>
      <w:marBottom w:val="0"/>
      <w:divBdr>
        <w:top w:val="none" w:sz="0" w:space="0" w:color="auto"/>
        <w:left w:val="none" w:sz="0" w:space="0" w:color="auto"/>
        <w:bottom w:val="none" w:sz="0" w:space="0" w:color="auto"/>
        <w:right w:val="none" w:sz="0" w:space="0" w:color="auto"/>
      </w:divBdr>
    </w:div>
    <w:div w:id="933392660">
      <w:bodyDiv w:val="1"/>
      <w:marLeft w:val="0"/>
      <w:marRight w:val="0"/>
      <w:marTop w:val="0"/>
      <w:marBottom w:val="0"/>
      <w:divBdr>
        <w:top w:val="none" w:sz="0" w:space="0" w:color="auto"/>
        <w:left w:val="none" w:sz="0" w:space="0" w:color="auto"/>
        <w:bottom w:val="none" w:sz="0" w:space="0" w:color="auto"/>
        <w:right w:val="none" w:sz="0" w:space="0" w:color="auto"/>
      </w:divBdr>
    </w:div>
    <w:div w:id="944310257">
      <w:bodyDiv w:val="1"/>
      <w:marLeft w:val="0"/>
      <w:marRight w:val="0"/>
      <w:marTop w:val="0"/>
      <w:marBottom w:val="0"/>
      <w:divBdr>
        <w:top w:val="none" w:sz="0" w:space="0" w:color="auto"/>
        <w:left w:val="none" w:sz="0" w:space="0" w:color="auto"/>
        <w:bottom w:val="none" w:sz="0" w:space="0" w:color="auto"/>
        <w:right w:val="none" w:sz="0" w:space="0" w:color="auto"/>
      </w:divBdr>
    </w:div>
    <w:div w:id="954336221">
      <w:bodyDiv w:val="1"/>
      <w:marLeft w:val="0"/>
      <w:marRight w:val="0"/>
      <w:marTop w:val="0"/>
      <w:marBottom w:val="0"/>
      <w:divBdr>
        <w:top w:val="none" w:sz="0" w:space="0" w:color="auto"/>
        <w:left w:val="none" w:sz="0" w:space="0" w:color="auto"/>
        <w:bottom w:val="none" w:sz="0" w:space="0" w:color="auto"/>
        <w:right w:val="none" w:sz="0" w:space="0" w:color="auto"/>
      </w:divBdr>
    </w:div>
    <w:div w:id="961958630">
      <w:bodyDiv w:val="1"/>
      <w:marLeft w:val="0"/>
      <w:marRight w:val="0"/>
      <w:marTop w:val="0"/>
      <w:marBottom w:val="0"/>
      <w:divBdr>
        <w:top w:val="none" w:sz="0" w:space="0" w:color="auto"/>
        <w:left w:val="none" w:sz="0" w:space="0" w:color="auto"/>
        <w:bottom w:val="none" w:sz="0" w:space="0" w:color="auto"/>
        <w:right w:val="none" w:sz="0" w:space="0" w:color="auto"/>
      </w:divBdr>
    </w:div>
    <w:div w:id="981539188">
      <w:bodyDiv w:val="1"/>
      <w:marLeft w:val="0"/>
      <w:marRight w:val="0"/>
      <w:marTop w:val="0"/>
      <w:marBottom w:val="0"/>
      <w:divBdr>
        <w:top w:val="none" w:sz="0" w:space="0" w:color="auto"/>
        <w:left w:val="none" w:sz="0" w:space="0" w:color="auto"/>
        <w:bottom w:val="none" w:sz="0" w:space="0" w:color="auto"/>
        <w:right w:val="none" w:sz="0" w:space="0" w:color="auto"/>
      </w:divBdr>
    </w:div>
    <w:div w:id="986779936">
      <w:bodyDiv w:val="1"/>
      <w:marLeft w:val="0"/>
      <w:marRight w:val="0"/>
      <w:marTop w:val="0"/>
      <w:marBottom w:val="0"/>
      <w:divBdr>
        <w:top w:val="none" w:sz="0" w:space="0" w:color="auto"/>
        <w:left w:val="none" w:sz="0" w:space="0" w:color="auto"/>
        <w:bottom w:val="none" w:sz="0" w:space="0" w:color="auto"/>
        <w:right w:val="none" w:sz="0" w:space="0" w:color="auto"/>
      </w:divBdr>
    </w:div>
    <w:div w:id="999844231">
      <w:bodyDiv w:val="1"/>
      <w:marLeft w:val="0"/>
      <w:marRight w:val="0"/>
      <w:marTop w:val="0"/>
      <w:marBottom w:val="0"/>
      <w:divBdr>
        <w:top w:val="none" w:sz="0" w:space="0" w:color="auto"/>
        <w:left w:val="none" w:sz="0" w:space="0" w:color="auto"/>
        <w:bottom w:val="none" w:sz="0" w:space="0" w:color="auto"/>
        <w:right w:val="none" w:sz="0" w:space="0" w:color="auto"/>
      </w:divBdr>
    </w:div>
    <w:div w:id="1004749347">
      <w:bodyDiv w:val="1"/>
      <w:marLeft w:val="0"/>
      <w:marRight w:val="0"/>
      <w:marTop w:val="0"/>
      <w:marBottom w:val="0"/>
      <w:divBdr>
        <w:top w:val="none" w:sz="0" w:space="0" w:color="auto"/>
        <w:left w:val="none" w:sz="0" w:space="0" w:color="auto"/>
        <w:bottom w:val="none" w:sz="0" w:space="0" w:color="auto"/>
        <w:right w:val="none" w:sz="0" w:space="0" w:color="auto"/>
      </w:divBdr>
    </w:div>
    <w:div w:id="1006129937">
      <w:bodyDiv w:val="1"/>
      <w:marLeft w:val="0"/>
      <w:marRight w:val="0"/>
      <w:marTop w:val="0"/>
      <w:marBottom w:val="0"/>
      <w:divBdr>
        <w:top w:val="none" w:sz="0" w:space="0" w:color="auto"/>
        <w:left w:val="none" w:sz="0" w:space="0" w:color="auto"/>
        <w:bottom w:val="none" w:sz="0" w:space="0" w:color="auto"/>
        <w:right w:val="none" w:sz="0" w:space="0" w:color="auto"/>
      </w:divBdr>
    </w:div>
    <w:div w:id="1017653857">
      <w:bodyDiv w:val="1"/>
      <w:marLeft w:val="0"/>
      <w:marRight w:val="0"/>
      <w:marTop w:val="0"/>
      <w:marBottom w:val="0"/>
      <w:divBdr>
        <w:top w:val="none" w:sz="0" w:space="0" w:color="auto"/>
        <w:left w:val="none" w:sz="0" w:space="0" w:color="auto"/>
        <w:bottom w:val="none" w:sz="0" w:space="0" w:color="auto"/>
        <w:right w:val="none" w:sz="0" w:space="0" w:color="auto"/>
      </w:divBdr>
    </w:div>
    <w:div w:id="1024163590">
      <w:bodyDiv w:val="1"/>
      <w:marLeft w:val="0"/>
      <w:marRight w:val="0"/>
      <w:marTop w:val="0"/>
      <w:marBottom w:val="0"/>
      <w:divBdr>
        <w:top w:val="none" w:sz="0" w:space="0" w:color="auto"/>
        <w:left w:val="none" w:sz="0" w:space="0" w:color="auto"/>
        <w:bottom w:val="none" w:sz="0" w:space="0" w:color="auto"/>
        <w:right w:val="none" w:sz="0" w:space="0" w:color="auto"/>
      </w:divBdr>
    </w:div>
    <w:div w:id="1056661218">
      <w:bodyDiv w:val="1"/>
      <w:marLeft w:val="0"/>
      <w:marRight w:val="0"/>
      <w:marTop w:val="0"/>
      <w:marBottom w:val="0"/>
      <w:divBdr>
        <w:top w:val="none" w:sz="0" w:space="0" w:color="auto"/>
        <w:left w:val="none" w:sz="0" w:space="0" w:color="auto"/>
        <w:bottom w:val="none" w:sz="0" w:space="0" w:color="auto"/>
        <w:right w:val="none" w:sz="0" w:space="0" w:color="auto"/>
      </w:divBdr>
    </w:div>
    <w:div w:id="1066880907">
      <w:bodyDiv w:val="1"/>
      <w:marLeft w:val="0"/>
      <w:marRight w:val="0"/>
      <w:marTop w:val="0"/>
      <w:marBottom w:val="0"/>
      <w:divBdr>
        <w:top w:val="none" w:sz="0" w:space="0" w:color="auto"/>
        <w:left w:val="none" w:sz="0" w:space="0" w:color="auto"/>
        <w:bottom w:val="none" w:sz="0" w:space="0" w:color="auto"/>
        <w:right w:val="none" w:sz="0" w:space="0" w:color="auto"/>
      </w:divBdr>
    </w:div>
    <w:div w:id="1099763937">
      <w:bodyDiv w:val="1"/>
      <w:marLeft w:val="0"/>
      <w:marRight w:val="0"/>
      <w:marTop w:val="0"/>
      <w:marBottom w:val="0"/>
      <w:divBdr>
        <w:top w:val="none" w:sz="0" w:space="0" w:color="auto"/>
        <w:left w:val="none" w:sz="0" w:space="0" w:color="auto"/>
        <w:bottom w:val="none" w:sz="0" w:space="0" w:color="auto"/>
        <w:right w:val="none" w:sz="0" w:space="0" w:color="auto"/>
      </w:divBdr>
    </w:div>
    <w:div w:id="1110050583">
      <w:bodyDiv w:val="1"/>
      <w:marLeft w:val="0"/>
      <w:marRight w:val="0"/>
      <w:marTop w:val="0"/>
      <w:marBottom w:val="0"/>
      <w:divBdr>
        <w:top w:val="none" w:sz="0" w:space="0" w:color="auto"/>
        <w:left w:val="none" w:sz="0" w:space="0" w:color="auto"/>
        <w:bottom w:val="none" w:sz="0" w:space="0" w:color="auto"/>
        <w:right w:val="none" w:sz="0" w:space="0" w:color="auto"/>
      </w:divBdr>
      <w:divsChild>
        <w:div w:id="1207331055">
          <w:marLeft w:val="0"/>
          <w:marRight w:val="0"/>
          <w:marTop w:val="0"/>
          <w:marBottom w:val="0"/>
          <w:divBdr>
            <w:top w:val="none" w:sz="0" w:space="0" w:color="auto"/>
            <w:left w:val="none" w:sz="0" w:space="0" w:color="auto"/>
            <w:bottom w:val="none" w:sz="0" w:space="0" w:color="auto"/>
            <w:right w:val="none" w:sz="0" w:space="0" w:color="auto"/>
          </w:divBdr>
        </w:div>
      </w:divsChild>
    </w:div>
    <w:div w:id="1124351618">
      <w:bodyDiv w:val="1"/>
      <w:marLeft w:val="0"/>
      <w:marRight w:val="0"/>
      <w:marTop w:val="0"/>
      <w:marBottom w:val="0"/>
      <w:divBdr>
        <w:top w:val="none" w:sz="0" w:space="0" w:color="auto"/>
        <w:left w:val="none" w:sz="0" w:space="0" w:color="auto"/>
        <w:bottom w:val="none" w:sz="0" w:space="0" w:color="auto"/>
        <w:right w:val="none" w:sz="0" w:space="0" w:color="auto"/>
      </w:divBdr>
    </w:div>
    <w:div w:id="1128082770">
      <w:bodyDiv w:val="1"/>
      <w:marLeft w:val="0"/>
      <w:marRight w:val="0"/>
      <w:marTop w:val="0"/>
      <w:marBottom w:val="0"/>
      <w:divBdr>
        <w:top w:val="none" w:sz="0" w:space="0" w:color="auto"/>
        <w:left w:val="none" w:sz="0" w:space="0" w:color="auto"/>
        <w:bottom w:val="none" w:sz="0" w:space="0" w:color="auto"/>
        <w:right w:val="none" w:sz="0" w:space="0" w:color="auto"/>
      </w:divBdr>
    </w:div>
    <w:div w:id="1138842772">
      <w:bodyDiv w:val="1"/>
      <w:marLeft w:val="0"/>
      <w:marRight w:val="0"/>
      <w:marTop w:val="0"/>
      <w:marBottom w:val="0"/>
      <w:divBdr>
        <w:top w:val="none" w:sz="0" w:space="0" w:color="auto"/>
        <w:left w:val="none" w:sz="0" w:space="0" w:color="auto"/>
        <w:bottom w:val="none" w:sz="0" w:space="0" w:color="auto"/>
        <w:right w:val="none" w:sz="0" w:space="0" w:color="auto"/>
      </w:divBdr>
    </w:div>
    <w:div w:id="1141121323">
      <w:bodyDiv w:val="1"/>
      <w:marLeft w:val="0"/>
      <w:marRight w:val="0"/>
      <w:marTop w:val="0"/>
      <w:marBottom w:val="0"/>
      <w:divBdr>
        <w:top w:val="none" w:sz="0" w:space="0" w:color="auto"/>
        <w:left w:val="none" w:sz="0" w:space="0" w:color="auto"/>
        <w:bottom w:val="none" w:sz="0" w:space="0" w:color="auto"/>
        <w:right w:val="none" w:sz="0" w:space="0" w:color="auto"/>
      </w:divBdr>
    </w:div>
    <w:div w:id="1155681087">
      <w:bodyDiv w:val="1"/>
      <w:marLeft w:val="0"/>
      <w:marRight w:val="0"/>
      <w:marTop w:val="0"/>
      <w:marBottom w:val="0"/>
      <w:divBdr>
        <w:top w:val="none" w:sz="0" w:space="0" w:color="auto"/>
        <w:left w:val="none" w:sz="0" w:space="0" w:color="auto"/>
        <w:bottom w:val="none" w:sz="0" w:space="0" w:color="auto"/>
        <w:right w:val="none" w:sz="0" w:space="0" w:color="auto"/>
      </w:divBdr>
      <w:divsChild>
        <w:div w:id="370309190">
          <w:marLeft w:val="0"/>
          <w:marRight w:val="0"/>
          <w:marTop w:val="0"/>
          <w:marBottom w:val="0"/>
          <w:divBdr>
            <w:top w:val="none" w:sz="0" w:space="0" w:color="auto"/>
            <w:left w:val="none" w:sz="0" w:space="0" w:color="auto"/>
            <w:bottom w:val="none" w:sz="0" w:space="0" w:color="auto"/>
            <w:right w:val="none" w:sz="0" w:space="0" w:color="auto"/>
          </w:divBdr>
          <w:divsChild>
            <w:div w:id="1313371672">
              <w:marLeft w:val="0"/>
              <w:marRight w:val="0"/>
              <w:marTop w:val="0"/>
              <w:marBottom w:val="0"/>
              <w:divBdr>
                <w:top w:val="none" w:sz="0" w:space="0" w:color="auto"/>
                <w:left w:val="none" w:sz="0" w:space="0" w:color="auto"/>
                <w:bottom w:val="none" w:sz="0" w:space="0" w:color="auto"/>
                <w:right w:val="none" w:sz="0" w:space="0" w:color="auto"/>
              </w:divBdr>
              <w:divsChild>
                <w:div w:id="2016498676">
                  <w:marLeft w:val="0"/>
                  <w:marRight w:val="0"/>
                  <w:marTop w:val="0"/>
                  <w:marBottom w:val="0"/>
                  <w:divBdr>
                    <w:top w:val="none" w:sz="0" w:space="0" w:color="auto"/>
                    <w:left w:val="none" w:sz="0" w:space="0" w:color="auto"/>
                    <w:bottom w:val="none" w:sz="0" w:space="0" w:color="auto"/>
                    <w:right w:val="none" w:sz="0" w:space="0" w:color="auto"/>
                  </w:divBdr>
                  <w:divsChild>
                    <w:div w:id="31453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8617205">
      <w:bodyDiv w:val="1"/>
      <w:marLeft w:val="0"/>
      <w:marRight w:val="0"/>
      <w:marTop w:val="0"/>
      <w:marBottom w:val="0"/>
      <w:divBdr>
        <w:top w:val="none" w:sz="0" w:space="0" w:color="auto"/>
        <w:left w:val="none" w:sz="0" w:space="0" w:color="auto"/>
        <w:bottom w:val="none" w:sz="0" w:space="0" w:color="auto"/>
        <w:right w:val="none" w:sz="0" w:space="0" w:color="auto"/>
      </w:divBdr>
    </w:div>
    <w:div w:id="1162114438">
      <w:bodyDiv w:val="1"/>
      <w:marLeft w:val="0"/>
      <w:marRight w:val="0"/>
      <w:marTop w:val="0"/>
      <w:marBottom w:val="0"/>
      <w:divBdr>
        <w:top w:val="none" w:sz="0" w:space="0" w:color="auto"/>
        <w:left w:val="none" w:sz="0" w:space="0" w:color="auto"/>
        <w:bottom w:val="none" w:sz="0" w:space="0" w:color="auto"/>
        <w:right w:val="none" w:sz="0" w:space="0" w:color="auto"/>
      </w:divBdr>
      <w:divsChild>
        <w:div w:id="2904171">
          <w:marLeft w:val="0"/>
          <w:marRight w:val="0"/>
          <w:marTop w:val="0"/>
          <w:marBottom w:val="0"/>
          <w:divBdr>
            <w:top w:val="none" w:sz="0" w:space="0" w:color="auto"/>
            <w:left w:val="none" w:sz="0" w:space="0" w:color="auto"/>
            <w:bottom w:val="none" w:sz="0" w:space="0" w:color="auto"/>
            <w:right w:val="none" w:sz="0" w:space="0" w:color="auto"/>
          </w:divBdr>
          <w:divsChild>
            <w:div w:id="243564419">
              <w:marLeft w:val="0"/>
              <w:marRight w:val="0"/>
              <w:marTop w:val="0"/>
              <w:marBottom w:val="0"/>
              <w:divBdr>
                <w:top w:val="none" w:sz="0" w:space="0" w:color="auto"/>
                <w:left w:val="none" w:sz="0" w:space="0" w:color="auto"/>
                <w:bottom w:val="none" w:sz="0" w:space="0" w:color="auto"/>
                <w:right w:val="none" w:sz="0" w:space="0" w:color="auto"/>
              </w:divBdr>
              <w:divsChild>
                <w:div w:id="1953705574">
                  <w:marLeft w:val="0"/>
                  <w:marRight w:val="0"/>
                  <w:marTop w:val="0"/>
                  <w:marBottom w:val="0"/>
                  <w:divBdr>
                    <w:top w:val="none" w:sz="0" w:space="0" w:color="auto"/>
                    <w:left w:val="none" w:sz="0" w:space="0" w:color="auto"/>
                    <w:bottom w:val="none" w:sz="0" w:space="0" w:color="auto"/>
                    <w:right w:val="none" w:sz="0" w:space="0" w:color="auto"/>
                  </w:divBdr>
                  <w:divsChild>
                    <w:div w:id="1740204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1431354">
      <w:bodyDiv w:val="1"/>
      <w:marLeft w:val="0"/>
      <w:marRight w:val="0"/>
      <w:marTop w:val="0"/>
      <w:marBottom w:val="0"/>
      <w:divBdr>
        <w:top w:val="none" w:sz="0" w:space="0" w:color="auto"/>
        <w:left w:val="none" w:sz="0" w:space="0" w:color="auto"/>
        <w:bottom w:val="none" w:sz="0" w:space="0" w:color="auto"/>
        <w:right w:val="none" w:sz="0" w:space="0" w:color="auto"/>
      </w:divBdr>
    </w:div>
    <w:div w:id="1228882782">
      <w:bodyDiv w:val="1"/>
      <w:marLeft w:val="0"/>
      <w:marRight w:val="0"/>
      <w:marTop w:val="0"/>
      <w:marBottom w:val="0"/>
      <w:divBdr>
        <w:top w:val="none" w:sz="0" w:space="0" w:color="auto"/>
        <w:left w:val="none" w:sz="0" w:space="0" w:color="auto"/>
        <w:bottom w:val="none" w:sz="0" w:space="0" w:color="auto"/>
        <w:right w:val="none" w:sz="0" w:space="0" w:color="auto"/>
      </w:divBdr>
    </w:div>
    <w:div w:id="1231889703">
      <w:bodyDiv w:val="1"/>
      <w:marLeft w:val="0"/>
      <w:marRight w:val="0"/>
      <w:marTop w:val="0"/>
      <w:marBottom w:val="0"/>
      <w:divBdr>
        <w:top w:val="none" w:sz="0" w:space="0" w:color="auto"/>
        <w:left w:val="none" w:sz="0" w:space="0" w:color="auto"/>
        <w:bottom w:val="none" w:sz="0" w:space="0" w:color="auto"/>
        <w:right w:val="none" w:sz="0" w:space="0" w:color="auto"/>
      </w:divBdr>
    </w:div>
    <w:div w:id="1239554895">
      <w:bodyDiv w:val="1"/>
      <w:marLeft w:val="0"/>
      <w:marRight w:val="0"/>
      <w:marTop w:val="0"/>
      <w:marBottom w:val="0"/>
      <w:divBdr>
        <w:top w:val="none" w:sz="0" w:space="0" w:color="auto"/>
        <w:left w:val="none" w:sz="0" w:space="0" w:color="auto"/>
        <w:bottom w:val="none" w:sz="0" w:space="0" w:color="auto"/>
        <w:right w:val="none" w:sz="0" w:space="0" w:color="auto"/>
      </w:divBdr>
    </w:div>
    <w:div w:id="1267620096">
      <w:bodyDiv w:val="1"/>
      <w:marLeft w:val="0"/>
      <w:marRight w:val="0"/>
      <w:marTop w:val="0"/>
      <w:marBottom w:val="0"/>
      <w:divBdr>
        <w:top w:val="none" w:sz="0" w:space="0" w:color="auto"/>
        <w:left w:val="none" w:sz="0" w:space="0" w:color="auto"/>
        <w:bottom w:val="none" w:sz="0" w:space="0" w:color="auto"/>
        <w:right w:val="none" w:sz="0" w:space="0" w:color="auto"/>
      </w:divBdr>
    </w:div>
    <w:div w:id="1269045872">
      <w:bodyDiv w:val="1"/>
      <w:marLeft w:val="0"/>
      <w:marRight w:val="0"/>
      <w:marTop w:val="0"/>
      <w:marBottom w:val="0"/>
      <w:divBdr>
        <w:top w:val="none" w:sz="0" w:space="0" w:color="auto"/>
        <w:left w:val="none" w:sz="0" w:space="0" w:color="auto"/>
        <w:bottom w:val="none" w:sz="0" w:space="0" w:color="auto"/>
        <w:right w:val="none" w:sz="0" w:space="0" w:color="auto"/>
      </w:divBdr>
      <w:divsChild>
        <w:div w:id="345910539">
          <w:marLeft w:val="0"/>
          <w:marRight w:val="0"/>
          <w:marTop w:val="0"/>
          <w:marBottom w:val="0"/>
          <w:divBdr>
            <w:top w:val="none" w:sz="0" w:space="0" w:color="auto"/>
            <w:left w:val="none" w:sz="0" w:space="0" w:color="auto"/>
            <w:bottom w:val="none" w:sz="0" w:space="0" w:color="auto"/>
            <w:right w:val="none" w:sz="0" w:space="0" w:color="auto"/>
          </w:divBdr>
        </w:div>
        <w:div w:id="576406674">
          <w:marLeft w:val="0"/>
          <w:marRight w:val="0"/>
          <w:marTop w:val="0"/>
          <w:marBottom w:val="0"/>
          <w:divBdr>
            <w:top w:val="none" w:sz="0" w:space="0" w:color="auto"/>
            <w:left w:val="none" w:sz="0" w:space="0" w:color="auto"/>
            <w:bottom w:val="none" w:sz="0" w:space="0" w:color="auto"/>
            <w:right w:val="none" w:sz="0" w:space="0" w:color="auto"/>
          </w:divBdr>
        </w:div>
        <w:div w:id="916482421">
          <w:marLeft w:val="0"/>
          <w:marRight w:val="0"/>
          <w:marTop w:val="0"/>
          <w:marBottom w:val="0"/>
          <w:divBdr>
            <w:top w:val="none" w:sz="0" w:space="0" w:color="auto"/>
            <w:left w:val="none" w:sz="0" w:space="0" w:color="auto"/>
            <w:bottom w:val="none" w:sz="0" w:space="0" w:color="auto"/>
            <w:right w:val="none" w:sz="0" w:space="0" w:color="auto"/>
          </w:divBdr>
        </w:div>
      </w:divsChild>
    </w:div>
    <w:div w:id="1279145745">
      <w:bodyDiv w:val="1"/>
      <w:marLeft w:val="0"/>
      <w:marRight w:val="0"/>
      <w:marTop w:val="0"/>
      <w:marBottom w:val="0"/>
      <w:divBdr>
        <w:top w:val="none" w:sz="0" w:space="0" w:color="auto"/>
        <w:left w:val="none" w:sz="0" w:space="0" w:color="auto"/>
        <w:bottom w:val="none" w:sz="0" w:space="0" w:color="auto"/>
        <w:right w:val="none" w:sz="0" w:space="0" w:color="auto"/>
      </w:divBdr>
    </w:div>
    <w:div w:id="1279531596">
      <w:bodyDiv w:val="1"/>
      <w:marLeft w:val="0"/>
      <w:marRight w:val="0"/>
      <w:marTop w:val="0"/>
      <w:marBottom w:val="0"/>
      <w:divBdr>
        <w:top w:val="none" w:sz="0" w:space="0" w:color="auto"/>
        <w:left w:val="none" w:sz="0" w:space="0" w:color="auto"/>
        <w:bottom w:val="none" w:sz="0" w:space="0" w:color="auto"/>
        <w:right w:val="none" w:sz="0" w:space="0" w:color="auto"/>
      </w:divBdr>
      <w:divsChild>
        <w:div w:id="2120906819">
          <w:marLeft w:val="547"/>
          <w:marRight w:val="0"/>
          <w:marTop w:val="0"/>
          <w:marBottom w:val="0"/>
          <w:divBdr>
            <w:top w:val="none" w:sz="0" w:space="0" w:color="auto"/>
            <w:left w:val="none" w:sz="0" w:space="0" w:color="auto"/>
            <w:bottom w:val="none" w:sz="0" w:space="0" w:color="auto"/>
            <w:right w:val="none" w:sz="0" w:space="0" w:color="auto"/>
          </w:divBdr>
        </w:div>
        <w:div w:id="945313678">
          <w:marLeft w:val="547"/>
          <w:marRight w:val="0"/>
          <w:marTop w:val="0"/>
          <w:marBottom w:val="0"/>
          <w:divBdr>
            <w:top w:val="none" w:sz="0" w:space="0" w:color="auto"/>
            <w:left w:val="none" w:sz="0" w:space="0" w:color="auto"/>
            <w:bottom w:val="none" w:sz="0" w:space="0" w:color="auto"/>
            <w:right w:val="none" w:sz="0" w:space="0" w:color="auto"/>
          </w:divBdr>
        </w:div>
        <w:div w:id="283191459">
          <w:marLeft w:val="547"/>
          <w:marRight w:val="0"/>
          <w:marTop w:val="0"/>
          <w:marBottom w:val="0"/>
          <w:divBdr>
            <w:top w:val="none" w:sz="0" w:space="0" w:color="auto"/>
            <w:left w:val="none" w:sz="0" w:space="0" w:color="auto"/>
            <w:bottom w:val="none" w:sz="0" w:space="0" w:color="auto"/>
            <w:right w:val="none" w:sz="0" w:space="0" w:color="auto"/>
          </w:divBdr>
        </w:div>
        <w:div w:id="1279873610">
          <w:marLeft w:val="547"/>
          <w:marRight w:val="0"/>
          <w:marTop w:val="0"/>
          <w:marBottom w:val="0"/>
          <w:divBdr>
            <w:top w:val="none" w:sz="0" w:space="0" w:color="auto"/>
            <w:left w:val="none" w:sz="0" w:space="0" w:color="auto"/>
            <w:bottom w:val="none" w:sz="0" w:space="0" w:color="auto"/>
            <w:right w:val="none" w:sz="0" w:space="0" w:color="auto"/>
          </w:divBdr>
        </w:div>
        <w:div w:id="1557429300">
          <w:marLeft w:val="547"/>
          <w:marRight w:val="0"/>
          <w:marTop w:val="0"/>
          <w:marBottom w:val="0"/>
          <w:divBdr>
            <w:top w:val="none" w:sz="0" w:space="0" w:color="auto"/>
            <w:left w:val="none" w:sz="0" w:space="0" w:color="auto"/>
            <w:bottom w:val="none" w:sz="0" w:space="0" w:color="auto"/>
            <w:right w:val="none" w:sz="0" w:space="0" w:color="auto"/>
          </w:divBdr>
        </w:div>
        <w:div w:id="1300306075">
          <w:marLeft w:val="547"/>
          <w:marRight w:val="0"/>
          <w:marTop w:val="0"/>
          <w:marBottom w:val="0"/>
          <w:divBdr>
            <w:top w:val="none" w:sz="0" w:space="0" w:color="auto"/>
            <w:left w:val="none" w:sz="0" w:space="0" w:color="auto"/>
            <w:bottom w:val="none" w:sz="0" w:space="0" w:color="auto"/>
            <w:right w:val="none" w:sz="0" w:space="0" w:color="auto"/>
          </w:divBdr>
        </w:div>
        <w:div w:id="339894958">
          <w:marLeft w:val="547"/>
          <w:marRight w:val="0"/>
          <w:marTop w:val="0"/>
          <w:marBottom w:val="0"/>
          <w:divBdr>
            <w:top w:val="none" w:sz="0" w:space="0" w:color="auto"/>
            <w:left w:val="none" w:sz="0" w:space="0" w:color="auto"/>
            <w:bottom w:val="none" w:sz="0" w:space="0" w:color="auto"/>
            <w:right w:val="none" w:sz="0" w:space="0" w:color="auto"/>
          </w:divBdr>
        </w:div>
      </w:divsChild>
    </w:div>
    <w:div w:id="1280338865">
      <w:bodyDiv w:val="1"/>
      <w:marLeft w:val="0"/>
      <w:marRight w:val="0"/>
      <w:marTop w:val="0"/>
      <w:marBottom w:val="0"/>
      <w:divBdr>
        <w:top w:val="none" w:sz="0" w:space="0" w:color="auto"/>
        <w:left w:val="none" w:sz="0" w:space="0" w:color="auto"/>
        <w:bottom w:val="none" w:sz="0" w:space="0" w:color="auto"/>
        <w:right w:val="none" w:sz="0" w:space="0" w:color="auto"/>
      </w:divBdr>
      <w:divsChild>
        <w:div w:id="735207699">
          <w:marLeft w:val="0"/>
          <w:marRight w:val="0"/>
          <w:marTop w:val="0"/>
          <w:marBottom w:val="0"/>
          <w:divBdr>
            <w:top w:val="none" w:sz="0" w:space="0" w:color="auto"/>
            <w:left w:val="none" w:sz="0" w:space="0" w:color="auto"/>
            <w:bottom w:val="none" w:sz="0" w:space="0" w:color="auto"/>
            <w:right w:val="none" w:sz="0" w:space="0" w:color="auto"/>
          </w:divBdr>
          <w:divsChild>
            <w:div w:id="1183594901">
              <w:marLeft w:val="0"/>
              <w:marRight w:val="0"/>
              <w:marTop w:val="0"/>
              <w:marBottom w:val="0"/>
              <w:divBdr>
                <w:top w:val="none" w:sz="0" w:space="0" w:color="auto"/>
                <w:left w:val="none" w:sz="0" w:space="0" w:color="auto"/>
                <w:bottom w:val="none" w:sz="0" w:space="0" w:color="auto"/>
                <w:right w:val="none" w:sz="0" w:space="0" w:color="auto"/>
              </w:divBdr>
              <w:divsChild>
                <w:div w:id="1930768079">
                  <w:marLeft w:val="0"/>
                  <w:marRight w:val="0"/>
                  <w:marTop w:val="0"/>
                  <w:marBottom w:val="0"/>
                  <w:divBdr>
                    <w:top w:val="none" w:sz="0" w:space="0" w:color="auto"/>
                    <w:left w:val="none" w:sz="0" w:space="0" w:color="auto"/>
                    <w:bottom w:val="none" w:sz="0" w:space="0" w:color="auto"/>
                    <w:right w:val="none" w:sz="0" w:space="0" w:color="auto"/>
                  </w:divBdr>
                  <w:divsChild>
                    <w:div w:id="454830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1788096">
      <w:bodyDiv w:val="1"/>
      <w:marLeft w:val="0"/>
      <w:marRight w:val="0"/>
      <w:marTop w:val="0"/>
      <w:marBottom w:val="0"/>
      <w:divBdr>
        <w:top w:val="none" w:sz="0" w:space="0" w:color="auto"/>
        <w:left w:val="none" w:sz="0" w:space="0" w:color="auto"/>
        <w:bottom w:val="none" w:sz="0" w:space="0" w:color="auto"/>
        <w:right w:val="none" w:sz="0" w:space="0" w:color="auto"/>
      </w:divBdr>
    </w:div>
    <w:div w:id="1300068344">
      <w:bodyDiv w:val="1"/>
      <w:marLeft w:val="0"/>
      <w:marRight w:val="0"/>
      <w:marTop w:val="0"/>
      <w:marBottom w:val="0"/>
      <w:divBdr>
        <w:top w:val="none" w:sz="0" w:space="0" w:color="auto"/>
        <w:left w:val="none" w:sz="0" w:space="0" w:color="auto"/>
        <w:bottom w:val="none" w:sz="0" w:space="0" w:color="auto"/>
        <w:right w:val="none" w:sz="0" w:space="0" w:color="auto"/>
      </w:divBdr>
      <w:divsChild>
        <w:div w:id="574438066">
          <w:marLeft w:val="0"/>
          <w:marRight w:val="0"/>
          <w:marTop w:val="0"/>
          <w:marBottom w:val="0"/>
          <w:divBdr>
            <w:top w:val="none" w:sz="0" w:space="0" w:color="auto"/>
            <w:left w:val="none" w:sz="0" w:space="0" w:color="auto"/>
            <w:bottom w:val="none" w:sz="0" w:space="0" w:color="auto"/>
            <w:right w:val="none" w:sz="0" w:space="0" w:color="auto"/>
          </w:divBdr>
          <w:divsChild>
            <w:div w:id="2145848211">
              <w:marLeft w:val="0"/>
              <w:marRight w:val="0"/>
              <w:marTop w:val="0"/>
              <w:marBottom w:val="0"/>
              <w:divBdr>
                <w:top w:val="none" w:sz="0" w:space="0" w:color="auto"/>
                <w:left w:val="none" w:sz="0" w:space="0" w:color="auto"/>
                <w:bottom w:val="none" w:sz="0" w:space="0" w:color="auto"/>
                <w:right w:val="none" w:sz="0" w:space="0" w:color="auto"/>
              </w:divBdr>
              <w:divsChild>
                <w:div w:id="241374279">
                  <w:marLeft w:val="0"/>
                  <w:marRight w:val="0"/>
                  <w:marTop w:val="0"/>
                  <w:marBottom w:val="0"/>
                  <w:divBdr>
                    <w:top w:val="none" w:sz="0" w:space="0" w:color="auto"/>
                    <w:left w:val="none" w:sz="0" w:space="0" w:color="auto"/>
                    <w:bottom w:val="none" w:sz="0" w:space="0" w:color="auto"/>
                    <w:right w:val="none" w:sz="0" w:space="0" w:color="auto"/>
                  </w:divBdr>
                  <w:divsChild>
                    <w:div w:id="1514805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892648">
      <w:bodyDiv w:val="1"/>
      <w:marLeft w:val="0"/>
      <w:marRight w:val="0"/>
      <w:marTop w:val="0"/>
      <w:marBottom w:val="0"/>
      <w:divBdr>
        <w:top w:val="none" w:sz="0" w:space="0" w:color="auto"/>
        <w:left w:val="none" w:sz="0" w:space="0" w:color="auto"/>
        <w:bottom w:val="none" w:sz="0" w:space="0" w:color="auto"/>
        <w:right w:val="none" w:sz="0" w:space="0" w:color="auto"/>
      </w:divBdr>
    </w:div>
    <w:div w:id="1317297418">
      <w:bodyDiv w:val="1"/>
      <w:marLeft w:val="0"/>
      <w:marRight w:val="0"/>
      <w:marTop w:val="0"/>
      <w:marBottom w:val="0"/>
      <w:divBdr>
        <w:top w:val="none" w:sz="0" w:space="0" w:color="auto"/>
        <w:left w:val="none" w:sz="0" w:space="0" w:color="auto"/>
        <w:bottom w:val="none" w:sz="0" w:space="0" w:color="auto"/>
        <w:right w:val="none" w:sz="0" w:space="0" w:color="auto"/>
      </w:divBdr>
    </w:div>
    <w:div w:id="1321737668">
      <w:bodyDiv w:val="1"/>
      <w:marLeft w:val="0"/>
      <w:marRight w:val="0"/>
      <w:marTop w:val="0"/>
      <w:marBottom w:val="0"/>
      <w:divBdr>
        <w:top w:val="none" w:sz="0" w:space="0" w:color="auto"/>
        <w:left w:val="none" w:sz="0" w:space="0" w:color="auto"/>
        <w:bottom w:val="none" w:sz="0" w:space="0" w:color="auto"/>
        <w:right w:val="none" w:sz="0" w:space="0" w:color="auto"/>
      </w:divBdr>
    </w:div>
    <w:div w:id="1330866499">
      <w:bodyDiv w:val="1"/>
      <w:marLeft w:val="0"/>
      <w:marRight w:val="0"/>
      <w:marTop w:val="0"/>
      <w:marBottom w:val="0"/>
      <w:divBdr>
        <w:top w:val="none" w:sz="0" w:space="0" w:color="auto"/>
        <w:left w:val="none" w:sz="0" w:space="0" w:color="auto"/>
        <w:bottom w:val="none" w:sz="0" w:space="0" w:color="auto"/>
        <w:right w:val="none" w:sz="0" w:space="0" w:color="auto"/>
      </w:divBdr>
    </w:div>
    <w:div w:id="1344823480">
      <w:bodyDiv w:val="1"/>
      <w:marLeft w:val="0"/>
      <w:marRight w:val="0"/>
      <w:marTop w:val="0"/>
      <w:marBottom w:val="0"/>
      <w:divBdr>
        <w:top w:val="none" w:sz="0" w:space="0" w:color="auto"/>
        <w:left w:val="none" w:sz="0" w:space="0" w:color="auto"/>
        <w:bottom w:val="none" w:sz="0" w:space="0" w:color="auto"/>
        <w:right w:val="none" w:sz="0" w:space="0" w:color="auto"/>
      </w:divBdr>
    </w:div>
    <w:div w:id="1374190518">
      <w:bodyDiv w:val="1"/>
      <w:marLeft w:val="0"/>
      <w:marRight w:val="0"/>
      <w:marTop w:val="0"/>
      <w:marBottom w:val="0"/>
      <w:divBdr>
        <w:top w:val="none" w:sz="0" w:space="0" w:color="auto"/>
        <w:left w:val="none" w:sz="0" w:space="0" w:color="auto"/>
        <w:bottom w:val="none" w:sz="0" w:space="0" w:color="auto"/>
        <w:right w:val="none" w:sz="0" w:space="0" w:color="auto"/>
      </w:divBdr>
    </w:div>
    <w:div w:id="1391029303">
      <w:bodyDiv w:val="1"/>
      <w:marLeft w:val="0"/>
      <w:marRight w:val="0"/>
      <w:marTop w:val="0"/>
      <w:marBottom w:val="0"/>
      <w:divBdr>
        <w:top w:val="none" w:sz="0" w:space="0" w:color="auto"/>
        <w:left w:val="none" w:sz="0" w:space="0" w:color="auto"/>
        <w:bottom w:val="none" w:sz="0" w:space="0" w:color="auto"/>
        <w:right w:val="none" w:sz="0" w:space="0" w:color="auto"/>
      </w:divBdr>
    </w:div>
    <w:div w:id="1402291932">
      <w:bodyDiv w:val="1"/>
      <w:marLeft w:val="0"/>
      <w:marRight w:val="0"/>
      <w:marTop w:val="0"/>
      <w:marBottom w:val="0"/>
      <w:divBdr>
        <w:top w:val="none" w:sz="0" w:space="0" w:color="auto"/>
        <w:left w:val="none" w:sz="0" w:space="0" w:color="auto"/>
        <w:bottom w:val="none" w:sz="0" w:space="0" w:color="auto"/>
        <w:right w:val="none" w:sz="0" w:space="0" w:color="auto"/>
      </w:divBdr>
    </w:div>
    <w:div w:id="1452555686">
      <w:bodyDiv w:val="1"/>
      <w:marLeft w:val="0"/>
      <w:marRight w:val="0"/>
      <w:marTop w:val="0"/>
      <w:marBottom w:val="0"/>
      <w:divBdr>
        <w:top w:val="none" w:sz="0" w:space="0" w:color="auto"/>
        <w:left w:val="none" w:sz="0" w:space="0" w:color="auto"/>
        <w:bottom w:val="none" w:sz="0" w:space="0" w:color="auto"/>
        <w:right w:val="none" w:sz="0" w:space="0" w:color="auto"/>
      </w:divBdr>
    </w:div>
    <w:div w:id="1488130002">
      <w:bodyDiv w:val="1"/>
      <w:marLeft w:val="0"/>
      <w:marRight w:val="0"/>
      <w:marTop w:val="0"/>
      <w:marBottom w:val="0"/>
      <w:divBdr>
        <w:top w:val="none" w:sz="0" w:space="0" w:color="auto"/>
        <w:left w:val="none" w:sz="0" w:space="0" w:color="auto"/>
        <w:bottom w:val="none" w:sz="0" w:space="0" w:color="auto"/>
        <w:right w:val="none" w:sz="0" w:space="0" w:color="auto"/>
      </w:divBdr>
    </w:div>
    <w:div w:id="1489857066">
      <w:bodyDiv w:val="1"/>
      <w:marLeft w:val="0"/>
      <w:marRight w:val="0"/>
      <w:marTop w:val="0"/>
      <w:marBottom w:val="0"/>
      <w:divBdr>
        <w:top w:val="none" w:sz="0" w:space="0" w:color="auto"/>
        <w:left w:val="none" w:sz="0" w:space="0" w:color="auto"/>
        <w:bottom w:val="none" w:sz="0" w:space="0" w:color="auto"/>
        <w:right w:val="none" w:sz="0" w:space="0" w:color="auto"/>
      </w:divBdr>
    </w:div>
    <w:div w:id="1512642918">
      <w:bodyDiv w:val="1"/>
      <w:marLeft w:val="0"/>
      <w:marRight w:val="0"/>
      <w:marTop w:val="0"/>
      <w:marBottom w:val="0"/>
      <w:divBdr>
        <w:top w:val="none" w:sz="0" w:space="0" w:color="auto"/>
        <w:left w:val="none" w:sz="0" w:space="0" w:color="auto"/>
        <w:bottom w:val="none" w:sz="0" w:space="0" w:color="auto"/>
        <w:right w:val="none" w:sz="0" w:space="0" w:color="auto"/>
      </w:divBdr>
    </w:div>
    <w:div w:id="1518275282">
      <w:bodyDiv w:val="1"/>
      <w:marLeft w:val="0"/>
      <w:marRight w:val="0"/>
      <w:marTop w:val="0"/>
      <w:marBottom w:val="0"/>
      <w:divBdr>
        <w:top w:val="none" w:sz="0" w:space="0" w:color="auto"/>
        <w:left w:val="none" w:sz="0" w:space="0" w:color="auto"/>
        <w:bottom w:val="none" w:sz="0" w:space="0" w:color="auto"/>
        <w:right w:val="none" w:sz="0" w:space="0" w:color="auto"/>
      </w:divBdr>
    </w:div>
    <w:div w:id="1525895848">
      <w:bodyDiv w:val="1"/>
      <w:marLeft w:val="0"/>
      <w:marRight w:val="0"/>
      <w:marTop w:val="0"/>
      <w:marBottom w:val="0"/>
      <w:divBdr>
        <w:top w:val="none" w:sz="0" w:space="0" w:color="auto"/>
        <w:left w:val="none" w:sz="0" w:space="0" w:color="auto"/>
        <w:bottom w:val="none" w:sz="0" w:space="0" w:color="auto"/>
        <w:right w:val="none" w:sz="0" w:space="0" w:color="auto"/>
      </w:divBdr>
    </w:div>
    <w:div w:id="1527015164">
      <w:bodyDiv w:val="1"/>
      <w:marLeft w:val="0"/>
      <w:marRight w:val="0"/>
      <w:marTop w:val="0"/>
      <w:marBottom w:val="0"/>
      <w:divBdr>
        <w:top w:val="none" w:sz="0" w:space="0" w:color="auto"/>
        <w:left w:val="none" w:sz="0" w:space="0" w:color="auto"/>
        <w:bottom w:val="none" w:sz="0" w:space="0" w:color="auto"/>
        <w:right w:val="none" w:sz="0" w:space="0" w:color="auto"/>
      </w:divBdr>
    </w:div>
    <w:div w:id="1566987441">
      <w:bodyDiv w:val="1"/>
      <w:marLeft w:val="0"/>
      <w:marRight w:val="0"/>
      <w:marTop w:val="0"/>
      <w:marBottom w:val="0"/>
      <w:divBdr>
        <w:top w:val="none" w:sz="0" w:space="0" w:color="auto"/>
        <w:left w:val="none" w:sz="0" w:space="0" w:color="auto"/>
        <w:bottom w:val="none" w:sz="0" w:space="0" w:color="auto"/>
        <w:right w:val="none" w:sz="0" w:space="0" w:color="auto"/>
      </w:divBdr>
    </w:div>
    <w:div w:id="1591426141">
      <w:bodyDiv w:val="1"/>
      <w:marLeft w:val="0"/>
      <w:marRight w:val="0"/>
      <w:marTop w:val="0"/>
      <w:marBottom w:val="0"/>
      <w:divBdr>
        <w:top w:val="none" w:sz="0" w:space="0" w:color="auto"/>
        <w:left w:val="none" w:sz="0" w:space="0" w:color="auto"/>
        <w:bottom w:val="none" w:sz="0" w:space="0" w:color="auto"/>
        <w:right w:val="none" w:sz="0" w:space="0" w:color="auto"/>
      </w:divBdr>
    </w:div>
    <w:div w:id="1637293400">
      <w:bodyDiv w:val="1"/>
      <w:marLeft w:val="0"/>
      <w:marRight w:val="0"/>
      <w:marTop w:val="0"/>
      <w:marBottom w:val="0"/>
      <w:divBdr>
        <w:top w:val="none" w:sz="0" w:space="0" w:color="auto"/>
        <w:left w:val="none" w:sz="0" w:space="0" w:color="auto"/>
        <w:bottom w:val="none" w:sz="0" w:space="0" w:color="auto"/>
        <w:right w:val="none" w:sz="0" w:space="0" w:color="auto"/>
      </w:divBdr>
    </w:div>
    <w:div w:id="1654410049">
      <w:bodyDiv w:val="1"/>
      <w:marLeft w:val="0"/>
      <w:marRight w:val="0"/>
      <w:marTop w:val="0"/>
      <w:marBottom w:val="0"/>
      <w:divBdr>
        <w:top w:val="none" w:sz="0" w:space="0" w:color="auto"/>
        <w:left w:val="none" w:sz="0" w:space="0" w:color="auto"/>
        <w:bottom w:val="none" w:sz="0" w:space="0" w:color="auto"/>
        <w:right w:val="none" w:sz="0" w:space="0" w:color="auto"/>
      </w:divBdr>
    </w:div>
    <w:div w:id="1657496070">
      <w:bodyDiv w:val="1"/>
      <w:marLeft w:val="0"/>
      <w:marRight w:val="0"/>
      <w:marTop w:val="0"/>
      <w:marBottom w:val="0"/>
      <w:divBdr>
        <w:top w:val="none" w:sz="0" w:space="0" w:color="auto"/>
        <w:left w:val="none" w:sz="0" w:space="0" w:color="auto"/>
        <w:bottom w:val="none" w:sz="0" w:space="0" w:color="auto"/>
        <w:right w:val="none" w:sz="0" w:space="0" w:color="auto"/>
      </w:divBdr>
    </w:div>
    <w:div w:id="1662083643">
      <w:bodyDiv w:val="1"/>
      <w:marLeft w:val="0"/>
      <w:marRight w:val="0"/>
      <w:marTop w:val="0"/>
      <w:marBottom w:val="0"/>
      <w:divBdr>
        <w:top w:val="none" w:sz="0" w:space="0" w:color="auto"/>
        <w:left w:val="none" w:sz="0" w:space="0" w:color="auto"/>
        <w:bottom w:val="none" w:sz="0" w:space="0" w:color="auto"/>
        <w:right w:val="none" w:sz="0" w:space="0" w:color="auto"/>
      </w:divBdr>
    </w:div>
    <w:div w:id="1674257816">
      <w:bodyDiv w:val="1"/>
      <w:marLeft w:val="0"/>
      <w:marRight w:val="0"/>
      <w:marTop w:val="0"/>
      <w:marBottom w:val="0"/>
      <w:divBdr>
        <w:top w:val="none" w:sz="0" w:space="0" w:color="auto"/>
        <w:left w:val="none" w:sz="0" w:space="0" w:color="auto"/>
        <w:bottom w:val="none" w:sz="0" w:space="0" w:color="auto"/>
        <w:right w:val="none" w:sz="0" w:space="0" w:color="auto"/>
      </w:divBdr>
    </w:div>
    <w:div w:id="1700743080">
      <w:bodyDiv w:val="1"/>
      <w:marLeft w:val="0"/>
      <w:marRight w:val="0"/>
      <w:marTop w:val="0"/>
      <w:marBottom w:val="0"/>
      <w:divBdr>
        <w:top w:val="none" w:sz="0" w:space="0" w:color="auto"/>
        <w:left w:val="none" w:sz="0" w:space="0" w:color="auto"/>
        <w:bottom w:val="none" w:sz="0" w:space="0" w:color="auto"/>
        <w:right w:val="none" w:sz="0" w:space="0" w:color="auto"/>
      </w:divBdr>
    </w:div>
    <w:div w:id="1702365725">
      <w:bodyDiv w:val="1"/>
      <w:marLeft w:val="0"/>
      <w:marRight w:val="0"/>
      <w:marTop w:val="0"/>
      <w:marBottom w:val="0"/>
      <w:divBdr>
        <w:top w:val="none" w:sz="0" w:space="0" w:color="auto"/>
        <w:left w:val="none" w:sz="0" w:space="0" w:color="auto"/>
        <w:bottom w:val="none" w:sz="0" w:space="0" w:color="auto"/>
        <w:right w:val="none" w:sz="0" w:space="0" w:color="auto"/>
      </w:divBdr>
    </w:div>
    <w:div w:id="1731540881">
      <w:bodyDiv w:val="1"/>
      <w:marLeft w:val="0"/>
      <w:marRight w:val="0"/>
      <w:marTop w:val="0"/>
      <w:marBottom w:val="0"/>
      <w:divBdr>
        <w:top w:val="none" w:sz="0" w:space="0" w:color="auto"/>
        <w:left w:val="none" w:sz="0" w:space="0" w:color="auto"/>
        <w:bottom w:val="none" w:sz="0" w:space="0" w:color="auto"/>
        <w:right w:val="none" w:sz="0" w:space="0" w:color="auto"/>
      </w:divBdr>
    </w:div>
    <w:div w:id="1740011703">
      <w:bodyDiv w:val="1"/>
      <w:marLeft w:val="0"/>
      <w:marRight w:val="0"/>
      <w:marTop w:val="0"/>
      <w:marBottom w:val="0"/>
      <w:divBdr>
        <w:top w:val="none" w:sz="0" w:space="0" w:color="auto"/>
        <w:left w:val="none" w:sz="0" w:space="0" w:color="auto"/>
        <w:bottom w:val="none" w:sz="0" w:space="0" w:color="auto"/>
        <w:right w:val="none" w:sz="0" w:space="0" w:color="auto"/>
      </w:divBdr>
    </w:div>
    <w:div w:id="1751659565">
      <w:bodyDiv w:val="1"/>
      <w:marLeft w:val="0"/>
      <w:marRight w:val="0"/>
      <w:marTop w:val="0"/>
      <w:marBottom w:val="0"/>
      <w:divBdr>
        <w:top w:val="none" w:sz="0" w:space="0" w:color="auto"/>
        <w:left w:val="none" w:sz="0" w:space="0" w:color="auto"/>
        <w:bottom w:val="none" w:sz="0" w:space="0" w:color="auto"/>
        <w:right w:val="none" w:sz="0" w:space="0" w:color="auto"/>
      </w:divBdr>
    </w:div>
    <w:div w:id="1753774139">
      <w:bodyDiv w:val="1"/>
      <w:marLeft w:val="0"/>
      <w:marRight w:val="0"/>
      <w:marTop w:val="0"/>
      <w:marBottom w:val="0"/>
      <w:divBdr>
        <w:top w:val="none" w:sz="0" w:space="0" w:color="auto"/>
        <w:left w:val="none" w:sz="0" w:space="0" w:color="auto"/>
        <w:bottom w:val="none" w:sz="0" w:space="0" w:color="auto"/>
        <w:right w:val="none" w:sz="0" w:space="0" w:color="auto"/>
      </w:divBdr>
    </w:div>
    <w:div w:id="1766682825">
      <w:bodyDiv w:val="1"/>
      <w:marLeft w:val="0"/>
      <w:marRight w:val="0"/>
      <w:marTop w:val="0"/>
      <w:marBottom w:val="0"/>
      <w:divBdr>
        <w:top w:val="none" w:sz="0" w:space="0" w:color="auto"/>
        <w:left w:val="none" w:sz="0" w:space="0" w:color="auto"/>
        <w:bottom w:val="none" w:sz="0" w:space="0" w:color="auto"/>
        <w:right w:val="none" w:sz="0" w:space="0" w:color="auto"/>
      </w:divBdr>
    </w:div>
    <w:div w:id="1772428865">
      <w:bodyDiv w:val="1"/>
      <w:marLeft w:val="0"/>
      <w:marRight w:val="0"/>
      <w:marTop w:val="0"/>
      <w:marBottom w:val="0"/>
      <w:divBdr>
        <w:top w:val="none" w:sz="0" w:space="0" w:color="auto"/>
        <w:left w:val="none" w:sz="0" w:space="0" w:color="auto"/>
        <w:bottom w:val="none" w:sz="0" w:space="0" w:color="auto"/>
        <w:right w:val="none" w:sz="0" w:space="0" w:color="auto"/>
      </w:divBdr>
    </w:div>
    <w:div w:id="1776554693">
      <w:bodyDiv w:val="1"/>
      <w:marLeft w:val="0"/>
      <w:marRight w:val="0"/>
      <w:marTop w:val="0"/>
      <w:marBottom w:val="0"/>
      <w:divBdr>
        <w:top w:val="none" w:sz="0" w:space="0" w:color="auto"/>
        <w:left w:val="none" w:sz="0" w:space="0" w:color="auto"/>
        <w:bottom w:val="none" w:sz="0" w:space="0" w:color="auto"/>
        <w:right w:val="none" w:sz="0" w:space="0" w:color="auto"/>
      </w:divBdr>
    </w:div>
    <w:div w:id="1798647139">
      <w:bodyDiv w:val="1"/>
      <w:marLeft w:val="0"/>
      <w:marRight w:val="0"/>
      <w:marTop w:val="0"/>
      <w:marBottom w:val="0"/>
      <w:divBdr>
        <w:top w:val="none" w:sz="0" w:space="0" w:color="auto"/>
        <w:left w:val="none" w:sz="0" w:space="0" w:color="auto"/>
        <w:bottom w:val="none" w:sz="0" w:space="0" w:color="auto"/>
        <w:right w:val="none" w:sz="0" w:space="0" w:color="auto"/>
      </w:divBdr>
    </w:div>
    <w:div w:id="1811903442">
      <w:bodyDiv w:val="1"/>
      <w:marLeft w:val="0"/>
      <w:marRight w:val="0"/>
      <w:marTop w:val="0"/>
      <w:marBottom w:val="0"/>
      <w:divBdr>
        <w:top w:val="none" w:sz="0" w:space="0" w:color="auto"/>
        <w:left w:val="none" w:sz="0" w:space="0" w:color="auto"/>
        <w:bottom w:val="none" w:sz="0" w:space="0" w:color="auto"/>
        <w:right w:val="none" w:sz="0" w:space="0" w:color="auto"/>
      </w:divBdr>
    </w:div>
    <w:div w:id="1815368921">
      <w:bodyDiv w:val="1"/>
      <w:marLeft w:val="0"/>
      <w:marRight w:val="0"/>
      <w:marTop w:val="0"/>
      <w:marBottom w:val="0"/>
      <w:divBdr>
        <w:top w:val="none" w:sz="0" w:space="0" w:color="auto"/>
        <w:left w:val="none" w:sz="0" w:space="0" w:color="auto"/>
        <w:bottom w:val="none" w:sz="0" w:space="0" w:color="auto"/>
        <w:right w:val="none" w:sz="0" w:space="0" w:color="auto"/>
      </w:divBdr>
    </w:div>
    <w:div w:id="1817800422">
      <w:bodyDiv w:val="1"/>
      <w:marLeft w:val="0"/>
      <w:marRight w:val="0"/>
      <w:marTop w:val="0"/>
      <w:marBottom w:val="0"/>
      <w:divBdr>
        <w:top w:val="none" w:sz="0" w:space="0" w:color="auto"/>
        <w:left w:val="none" w:sz="0" w:space="0" w:color="auto"/>
        <w:bottom w:val="none" w:sz="0" w:space="0" w:color="auto"/>
        <w:right w:val="none" w:sz="0" w:space="0" w:color="auto"/>
      </w:divBdr>
    </w:div>
    <w:div w:id="1819687647">
      <w:bodyDiv w:val="1"/>
      <w:marLeft w:val="0"/>
      <w:marRight w:val="0"/>
      <w:marTop w:val="0"/>
      <w:marBottom w:val="0"/>
      <w:divBdr>
        <w:top w:val="none" w:sz="0" w:space="0" w:color="auto"/>
        <w:left w:val="none" w:sz="0" w:space="0" w:color="auto"/>
        <w:bottom w:val="none" w:sz="0" w:space="0" w:color="auto"/>
        <w:right w:val="none" w:sz="0" w:space="0" w:color="auto"/>
      </w:divBdr>
    </w:div>
    <w:div w:id="1838184125">
      <w:bodyDiv w:val="1"/>
      <w:marLeft w:val="0"/>
      <w:marRight w:val="0"/>
      <w:marTop w:val="0"/>
      <w:marBottom w:val="0"/>
      <w:divBdr>
        <w:top w:val="none" w:sz="0" w:space="0" w:color="auto"/>
        <w:left w:val="none" w:sz="0" w:space="0" w:color="auto"/>
        <w:bottom w:val="none" w:sz="0" w:space="0" w:color="auto"/>
        <w:right w:val="none" w:sz="0" w:space="0" w:color="auto"/>
      </w:divBdr>
      <w:divsChild>
        <w:div w:id="1556772722">
          <w:marLeft w:val="0"/>
          <w:marRight w:val="0"/>
          <w:marTop w:val="0"/>
          <w:marBottom w:val="0"/>
          <w:divBdr>
            <w:top w:val="none" w:sz="0" w:space="0" w:color="auto"/>
            <w:left w:val="none" w:sz="0" w:space="0" w:color="auto"/>
            <w:bottom w:val="none" w:sz="0" w:space="0" w:color="auto"/>
            <w:right w:val="none" w:sz="0" w:space="0" w:color="auto"/>
          </w:divBdr>
        </w:div>
      </w:divsChild>
    </w:div>
    <w:div w:id="1839881541">
      <w:bodyDiv w:val="1"/>
      <w:marLeft w:val="0"/>
      <w:marRight w:val="0"/>
      <w:marTop w:val="0"/>
      <w:marBottom w:val="0"/>
      <w:divBdr>
        <w:top w:val="none" w:sz="0" w:space="0" w:color="auto"/>
        <w:left w:val="none" w:sz="0" w:space="0" w:color="auto"/>
        <w:bottom w:val="none" w:sz="0" w:space="0" w:color="auto"/>
        <w:right w:val="none" w:sz="0" w:space="0" w:color="auto"/>
      </w:divBdr>
    </w:div>
    <w:div w:id="1840583866">
      <w:bodyDiv w:val="1"/>
      <w:marLeft w:val="0"/>
      <w:marRight w:val="0"/>
      <w:marTop w:val="0"/>
      <w:marBottom w:val="0"/>
      <w:divBdr>
        <w:top w:val="none" w:sz="0" w:space="0" w:color="auto"/>
        <w:left w:val="none" w:sz="0" w:space="0" w:color="auto"/>
        <w:bottom w:val="none" w:sz="0" w:space="0" w:color="auto"/>
        <w:right w:val="none" w:sz="0" w:space="0" w:color="auto"/>
      </w:divBdr>
    </w:div>
    <w:div w:id="1853489991">
      <w:bodyDiv w:val="1"/>
      <w:marLeft w:val="0"/>
      <w:marRight w:val="0"/>
      <w:marTop w:val="0"/>
      <w:marBottom w:val="0"/>
      <w:divBdr>
        <w:top w:val="none" w:sz="0" w:space="0" w:color="auto"/>
        <w:left w:val="none" w:sz="0" w:space="0" w:color="auto"/>
        <w:bottom w:val="none" w:sz="0" w:space="0" w:color="auto"/>
        <w:right w:val="none" w:sz="0" w:space="0" w:color="auto"/>
      </w:divBdr>
    </w:div>
    <w:div w:id="1854219145">
      <w:bodyDiv w:val="1"/>
      <w:marLeft w:val="0"/>
      <w:marRight w:val="0"/>
      <w:marTop w:val="0"/>
      <w:marBottom w:val="0"/>
      <w:divBdr>
        <w:top w:val="none" w:sz="0" w:space="0" w:color="auto"/>
        <w:left w:val="none" w:sz="0" w:space="0" w:color="auto"/>
        <w:bottom w:val="none" w:sz="0" w:space="0" w:color="auto"/>
        <w:right w:val="none" w:sz="0" w:space="0" w:color="auto"/>
      </w:divBdr>
    </w:div>
    <w:div w:id="1862164765">
      <w:bodyDiv w:val="1"/>
      <w:marLeft w:val="0"/>
      <w:marRight w:val="0"/>
      <w:marTop w:val="0"/>
      <w:marBottom w:val="0"/>
      <w:divBdr>
        <w:top w:val="none" w:sz="0" w:space="0" w:color="auto"/>
        <w:left w:val="none" w:sz="0" w:space="0" w:color="auto"/>
        <w:bottom w:val="none" w:sz="0" w:space="0" w:color="auto"/>
        <w:right w:val="none" w:sz="0" w:space="0" w:color="auto"/>
      </w:divBdr>
    </w:div>
    <w:div w:id="1890215915">
      <w:bodyDiv w:val="1"/>
      <w:marLeft w:val="0"/>
      <w:marRight w:val="0"/>
      <w:marTop w:val="0"/>
      <w:marBottom w:val="0"/>
      <w:divBdr>
        <w:top w:val="none" w:sz="0" w:space="0" w:color="auto"/>
        <w:left w:val="none" w:sz="0" w:space="0" w:color="auto"/>
        <w:bottom w:val="none" w:sz="0" w:space="0" w:color="auto"/>
        <w:right w:val="none" w:sz="0" w:space="0" w:color="auto"/>
      </w:divBdr>
    </w:div>
    <w:div w:id="1898198112">
      <w:bodyDiv w:val="1"/>
      <w:marLeft w:val="0"/>
      <w:marRight w:val="0"/>
      <w:marTop w:val="0"/>
      <w:marBottom w:val="0"/>
      <w:divBdr>
        <w:top w:val="none" w:sz="0" w:space="0" w:color="auto"/>
        <w:left w:val="none" w:sz="0" w:space="0" w:color="auto"/>
        <w:bottom w:val="none" w:sz="0" w:space="0" w:color="auto"/>
        <w:right w:val="none" w:sz="0" w:space="0" w:color="auto"/>
      </w:divBdr>
    </w:div>
    <w:div w:id="1909343255">
      <w:bodyDiv w:val="1"/>
      <w:marLeft w:val="0"/>
      <w:marRight w:val="0"/>
      <w:marTop w:val="0"/>
      <w:marBottom w:val="0"/>
      <w:divBdr>
        <w:top w:val="none" w:sz="0" w:space="0" w:color="auto"/>
        <w:left w:val="none" w:sz="0" w:space="0" w:color="auto"/>
        <w:bottom w:val="none" w:sz="0" w:space="0" w:color="auto"/>
        <w:right w:val="none" w:sz="0" w:space="0" w:color="auto"/>
      </w:divBdr>
      <w:divsChild>
        <w:div w:id="1316185725">
          <w:marLeft w:val="0"/>
          <w:marRight w:val="0"/>
          <w:marTop w:val="0"/>
          <w:marBottom w:val="0"/>
          <w:divBdr>
            <w:top w:val="none" w:sz="0" w:space="0" w:color="auto"/>
            <w:left w:val="none" w:sz="0" w:space="0" w:color="auto"/>
            <w:bottom w:val="none" w:sz="0" w:space="0" w:color="auto"/>
            <w:right w:val="none" w:sz="0" w:space="0" w:color="auto"/>
          </w:divBdr>
          <w:divsChild>
            <w:div w:id="1015159145">
              <w:marLeft w:val="0"/>
              <w:marRight w:val="0"/>
              <w:marTop w:val="0"/>
              <w:marBottom w:val="0"/>
              <w:divBdr>
                <w:top w:val="none" w:sz="0" w:space="0" w:color="auto"/>
                <w:left w:val="none" w:sz="0" w:space="0" w:color="auto"/>
                <w:bottom w:val="none" w:sz="0" w:space="0" w:color="auto"/>
                <w:right w:val="none" w:sz="0" w:space="0" w:color="auto"/>
              </w:divBdr>
              <w:divsChild>
                <w:div w:id="1682587507">
                  <w:marLeft w:val="0"/>
                  <w:marRight w:val="0"/>
                  <w:marTop w:val="0"/>
                  <w:marBottom w:val="0"/>
                  <w:divBdr>
                    <w:top w:val="none" w:sz="0" w:space="0" w:color="auto"/>
                    <w:left w:val="none" w:sz="0" w:space="0" w:color="auto"/>
                    <w:bottom w:val="none" w:sz="0" w:space="0" w:color="auto"/>
                    <w:right w:val="none" w:sz="0" w:space="0" w:color="auto"/>
                  </w:divBdr>
                  <w:divsChild>
                    <w:div w:id="1781140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0382164">
      <w:bodyDiv w:val="1"/>
      <w:marLeft w:val="0"/>
      <w:marRight w:val="0"/>
      <w:marTop w:val="0"/>
      <w:marBottom w:val="0"/>
      <w:divBdr>
        <w:top w:val="none" w:sz="0" w:space="0" w:color="auto"/>
        <w:left w:val="none" w:sz="0" w:space="0" w:color="auto"/>
        <w:bottom w:val="none" w:sz="0" w:space="0" w:color="auto"/>
        <w:right w:val="none" w:sz="0" w:space="0" w:color="auto"/>
      </w:divBdr>
    </w:div>
    <w:div w:id="1933003331">
      <w:bodyDiv w:val="1"/>
      <w:marLeft w:val="0"/>
      <w:marRight w:val="0"/>
      <w:marTop w:val="0"/>
      <w:marBottom w:val="0"/>
      <w:divBdr>
        <w:top w:val="none" w:sz="0" w:space="0" w:color="auto"/>
        <w:left w:val="none" w:sz="0" w:space="0" w:color="auto"/>
        <w:bottom w:val="none" w:sz="0" w:space="0" w:color="auto"/>
        <w:right w:val="none" w:sz="0" w:space="0" w:color="auto"/>
      </w:divBdr>
    </w:div>
    <w:div w:id="1949501321">
      <w:bodyDiv w:val="1"/>
      <w:marLeft w:val="0"/>
      <w:marRight w:val="0"/>
      <w:marTop w:val="0"/>
      <w:marBottom w:val="0"/>
      <w:divBdr>
        <w:top w:val="none" w:sz="0" w:space="0" w:color="auto"/>
        <w:left w:val="none" w:sz="0" w:space="0" w:color="auto"/>
        <w:bottom w:val="none" w:sz="0" w:space="0" w:color="auto"/>
        <w:right w:val="none" w:sz="0" w:space="0" w:color="auto"/>
      </w:divBdr>
    </w:div>
    <w:div w:id="1953244442">
      <w:bodyDiv w:val="1"/>
      <w:marLeft w:val="0"/>
      <w:marRight w:val="0"/>
      <w:marTop w:val="0"/>
      <w:marBottom w:val="0"/>
      <w:divBdr>
        <w:top w:val="none" w:sz="0" w:space="0" w:color="auto"/>
        <w:left w:val="none" w:sz="0" w:space="0" w:color="auto"/>
        <w:bottom w:val="none" w:sz="0" w:space="0" w:color="auto"/>
        <w:right w:val="none" w:sz="0" w:space="0" w:color="auto"/>
      </w:divBdr>
    </w:div>
    <w:div w:id="1955598570">
      <w:bodyDiv w:val="1"/>
      <w:marLeft w:val="0"/>
      <w:marRight w:val="0"/>
      <w:marTop w:val="0"/>
      <w:marBottom w:val="0"/>
      <w:divBdr>
        <w:top w:val="none" w:sz="0" w:space="0" w:color="auto"/>
        <w:left w:val="none" w:sz="0" w:space="0" w:color="auto"/>
        <w:bottom w:val="none" w:sz="0" w:space="0" w:color="auto"/>
        <w:right w:val="none" w:sz="0" w:space="0" w:color="auto"/>
      </w:divBdr>
    </w:div>
    <w:div w:id="1961917106">
      <w:bodyDiv w:val="1"/>
      <w:marLeft w:val="0"/>
      <w:marRight w:val="0"/>
      <w:marTop w:val="0"/>
      <w:marBottom w:val="0"/>
      <w:divBdr>
        <w:top w:val="none" w:sz="0" w:space="0" w:color="auto"/>
        <w:left w:val="none" w:sz="0" w:space="0" w:color="auto"/>
        <w:bottom w:val="none" w:sz="0" w:space="0" w:color="auto"/>
        <w:right w:val="none" w:sz="0" w:space="0" w:color="auto"/>
      </w:divBdr>
    </w:div>
    <w:div w:id="1965456925">
      <w:bodyDiv w:val="1"/>
      <w:marLeft w:val="0"/>
      <w:marRight w:val="0"/>
      <w:marTop w:val="0"/>
      <w:marBottom w:val="0"/>
      <w:divBdr>
        <w:top w:val="none" w:sz="0" w:space="0" w:color="auto"/>
        <w:left w:val="none" w:sz="0" w:space="0" w:color="auto"/>
        <w:bottom w:val="none" w:sz="0" w:space="0" w:color="auto"/>
        <w:right w:val="none" w:sz="0" w:space="0" w:color="auto"/>
      </w:divBdr>
      <w:divsChild>
        <w:div w:id="810250881">
          <w:marLeft w:val="0"/>
          <w:marRight w:val="0"/>
          <w:marTop w:val="0"/>
          <w:marBottom w:val="0"/>
          <w:divBdr>
            <w:top w:val="none" w:sz="0" w:space="0" w:color="auto"/>
            <w:left w:val="none" w:sz="0" w:space="0" w:color="auto"/>
            <w:bottom w:val="none" w:sz="0" w:space="0" w:color="auto"/>
            <w:right w:val="none" w:sz="0" w:space="0" w:color="auto"/>
          </w:divBdr>
          <w:divsChild>
            <w:div w:id="799106223">
              <w:marLeft w:val="0"/>
              <w:marRight w:val="0"/>
              <w:marTop w:val="0"/>
              <w:marBottom w:val="0"/>
              <w:divBdr>
                <w:top w:val="none" w:sz="0" w:space="0" w:color="auto"/>
                <w:left w:val="none" w:sz="0" w:space="0" w:color="auto"/>
                <w:bottom w:val="none" w:sz="0" w:space="0" w:color="auto"/>
                <w:right w:val="none" w:sz="0" w:space="0" w:color="auto"/>
              </w:divBdr>
              <w:divsChild>
                <w:div w:id="722367130">
                  <w:marLeft w:val="0"/>
                  <w:marRight w:val="0"/>
                  <w:marTop w:val="0"/>
                  <w:marBottom w:val="0"/>
                  <w:divBdr>
                    <w:top w:val="none" w:sz="0" w:space="0" w:color="auto"/>
                    <w:left w:val="none" w:sz="0" w:space="0" w:color="auto"/>
                    <w:bottom w:val="none" w:sz="0" w:space="0" w:color="auto"/>
                    <w:right w:val="none" w:sz="0" w:space="0" w:color="auto"/>
                  </w:divBdr>
                  <w:divsChild>
                    <w:div w:id="65583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2585822">
      <w:bodyDiv w:val="1"/>
      <w:marLeft w:val="0"/>
      <w:marRight w:val="0"/>
      <w:marTop w:val="0"/>
      <w:marBottom w:val="0"/>
      <w:divBdr>
        <w:top w:val="none" w:sz="0" w:space="0" w:color="auto"/>
        <w:left w:val="none" w:sz="0" w:space="0" w:color="auto"/>
        <w:bottom w:val="none" w:sz="0" w:space="0" w:color="auto"/>
        <w:right w:val="none" w:sz="0" w:space="0" w:color="auto"/>
      </w:divBdr>
    </w:div>
    <w:div w:id="2031254868">
      <w:bodyDiv w:val="1"/>
      <w:marLeft w:val="0"/>
      <w:marRight w:val="0"/>
      <w:marTop w:val="0"/>
      <w:marBottom w:val="0"/>
      <w:divBdr>
        <w:top w:val="none" w:sz="0" w:space="0" w:color="auto"/>
        <w:left w:val="none" w:sz="0" w:space="0" w:color="auto"/>
        <w:bottom w:val="none" w:sz="0" w:space="0" w:color="auto"/>
        <w:right w:val="none" w:sz="0" w:space="0" w:color="auto"/>
      </w:divBdr>
    </w:div>
    <w:div w:id="2087727400">
      <w:bodyDiv w:val="1"/>
      <w:marLeft w:val="0"/>
      <w:marRight w:val="0"/>
      <w:marTop w:val="0"/>
      <w:marBottom w:val="0"/>
      <w:divBdr>
        <w:top w:val="none" w:sz="0" w:space="0" w:color="auto"/>
        <w:left w:val="none" w:sz="0" w:space="0" w:color="auto"/>
        <w:bottom w:val="none" w:sz="0" w:space="0" w:color="auto"/>
        <w:right w:val="none" w:sz="0" w:space="0" w:color="auto"/>
      </w:divBdr>
      <w:divsChild>
        <w:div w:id="486484454">
          <w:marLeft w:val="0"/>
          <w:marRight w:val="0"/>
          <w:marTop w:val="0"/>
          <w:marBottom w:val="0"/>
          <w:divBdr>
            <w:top w:val="none" w:sz="0" w:space="0" w:color="auto"/>
            <w:left w:val="none" w:sz="0" w:space="0" w:color="auto"/>
            <w:bottom w:val="none" w:sz="0" w:space="0" w:color="auto"/>
            <w:right w:val="none" w:sz="0" w:space="0" w:color="auto"/>
          </w:divBdr>
        </w:div>
      </w:divsChild>
    </w:div>
    <w:div w:id="2124183449">
      <w:bodyDiv w:val="1"/>
      <w:marLeft w:val="0"/>
      <w:marRight w:val="0"/>
      <w:marTop w:val="0"/>
      <w:marBottom w:val="0"/>
      <w:divBdr>
        <w:top w:val="none" w:sz="0" w:space="0" w:color="auto"/>
        <w:left w:val="none" w:sz="0" w:space="0" w:color="auto"/>
        <w:bottom w:val="none" w:sz="0" w:space="0" w:color="auto"/>
        <w:right w:val="none" w:sz="0" w:space="0" w:color="auto"/>
      </w:divBdr>
    </w:div>
    <w:div w:id="21437693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doi.org/10.3390/jcm14020653"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5CF5B3-AE41-4C78-B941-7D2660E37A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6635</Words>
  <Characters>37820</Characters>
  <Application>Microsoft Office Word</Application>
  <DocSecurity>0</DocSecurity>
  <Lines>315</Lines>
  <Paragraphs>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c:creator>
  <cp:keywords/>
  <dc:description/>
  <cp:lastModifiedBy>Trupti Sudge</cp:lastModifiedBy>
  <cp:revision>2</cp:revision>
  <dcterms:created xsi:type="dcterms:W3CDTF">2025-04-08T06:56:00Z</dcterms:created>
  <dcterms:modified xsi:type="dcterms:W3CDTF">2025-04-08T06:56:00Z</dcterms:modified>
</cp:coreProperties>
</file>