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3F8B" w:rsidRDefault="006B35A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53.3pt;height:218.3pt">
            <v:imagedata r:id="rId4" o:title="supp_BA_MTV_percentage"/>
          </v:shape>
        </w:pict>
      </w:r>
    </w:p>
    <w:p w:rsidR="006B35A2" w:rsidRPr="006B35A2" w:rsidRDefault="00EC3F8B" w:rsidP="006B35A2">
      <w:pPr>
        <w:spacing w:line="480" w:lineRule="auto"/>
        <w:jc w:val="both"/>
        <w:rPr>
          <w:lang w:val="en-US"/>
        </w:rPr>
      </w:pPr>
      <w:r w:rsidRPr="00EC3F8B">
        <w:rPr>
          <w:b/>
          <w:lang w:val="en-US"/>
        </w:rPr>
        <w:t>Supplemental Figure 1</w:t>
      </w:r>
      <w:r>
        <w:rPr>
          <w:lang w:val="en-US"/>
        </w:rPr>
        <w:t>. Bland-Altman p</w:t>
      </w:r>
      <w:r w:rsidRPr="00EC3F8B">
        <w:rPr>
          <w:lang w:val="en-US"/>
        </w:rPr>
        <w:t xml:space="preserve">lots for </w:t>
      </w:r>
      <w:r>
        <w:rPr>
          <w:lang w:val="en-US"/>
        </w:rPr>
        <w:t xml:space="preserve">MTV. (A) </w:t>
      </w:r>
      <w:r w:rsidR="006B35A2" w:rsidRPr="006B35A2">
        <w:rPr>
          <w:lang w:val="en-US"/>
        </w:rPr>
        <w:t>Bland-Altman plot showing th</w:t>
      </w:r>
      <w:r w:rsidR="006B35A2">
        <w:rPr>
          <w:lang w:val="en-US"/>
        </w:rPr>
        <w:t xml:space="preserve">e percentage differences </w:t>
      </w:r>
      <w:r w:rsidR="006B35A2" w:rsidRPr="0015290A">
        <w:rPr>
          <w:lang w:val="en-US"/>
        </w:rPr>
        <w:t>between SUV4.0</w:t>
      </w:r>
      <w:r w:rsidR="006B35A2" w:rsidRPr="0015290A">
        <w:rPr>
          <w:lang w:val="en-US"/>
        </w:rPr>
        <w:t xml:space="preserve"> and</w:t>
      </w:r>
      <w:r w:rsidR="006B35A2" w:rsidRPr="0015290A">
        <w:rPr>
          <w:lang w:val="en-US"/>
        </w:rPr>
        <w:t xml:space="preserve"> LIONZ</w:t>
      </w:r>
      <w:r w:rsidR="009130D3">
        <w:rPr>
          <w:lang w:val="en-US"/>
        </w:rPr>
        <w:t xml:space="preserve">. The mean difference </w:t>
      </w:r>
      <w:r w:rsidR="006B35A2" w:rsidRPr="0015290A">
        <w:rPr>
          <w:lang w:val="en-US"/>
        </w:rPr>
        <w:t xml:space="preserve">is </w:t>
      </w:r>
      <w:r w:rsidR="006B35A2" w:rsidRPr="0015290A">
        <w:rPr>
          <w:rStyle w:val="Strong"/>
          <w:b w:val="0"/>
          <w:lang w:val="en-US"/>
        </w:rPr>
        <w:t>-45.42%</w:t>
      </w:r>
      <w:r w:rsidR="006B35A2" w:rsidRPr="0015290A">
        <w:rPr>
          <w:lang w:val="en-US"/>
        </w:rPr>
        <w:t xml:space="preserve"> (</w:t>
      </w:r>
      <w:r w:rsidR="009130D3">
        <w:rPr>
          <w:lang w:val="en-US"/>
        </w:rPr>
        <w:t>mean diff</w:t>
      </w:r>
      <w:r w:rsidR="006B35A2" w:rsidRPr="0015290A">
        <w:rPr>
          <w:lang w:val="en-US"/>
        </w:rPr>
        <w:t xml:space="preserve">), with limits of agreement ranging from </w:t>
      </w:r>
      <w:r w:rsidR="006B35A2" w:rsidRPr="0015290A">
        <w:rPr>
          <w:rStyle w:val="Strong"/>
          <w:b w:val="0"/>
          <w:lang w:val="en-US"/>
        </w:rPr>
        <w:t>-359.81%</w:t>
      </w:r>
      <w:r w:rsidR="0015290A">
        <w:rPr>
          <w:rStyle w:val="Strong"/>
          <w:b w:val="0"/>
          <w:lang w:val="en-US"/>
        </w:rPr>
        <w:t xml:space="preserve"> (upper limit)</w:t>
      </w:r>
      <w:r w:rsidR="006B35A2" w:rsidRPr="0015290A">
        <w:rPr>
          <w:rStyle w:val="Strong"/>
          <w:b w:val="0"/>
          <w:lang w:val="en-US"/>
        </w:rPr>
        <w:t xml:space="preserve"> to 268.97%</w:t>
      </w:r>
      <w:r w:rsidR="006B35A2" w:rsidRPr="0015290A">
        <w:rPr>
          <w:lang w:val="en-US"/>
        </w:rPr>
        <w:t xml:space="preserve"> (</w:t>
      </w:r>
      <w:r w:rsidR="0015290A">
        <w:rPr>
          <w:lang w:val="en-US"/>
        </w:rPr>
        <w:t>lower limit</w:t>
      </w:r>
      <w:r w:rsidR="009130D3">
        <w:rPr>
          <w:lang w:val="en-US"/>
        </w:rPr>
        <w:t xml:space="preserve">). </w:t>
      </w:r>
      <w:r w:rsidR="006B35A2" w:rsidRPr="0015290A">
        <w:rPr>
          <w:lang w:val="en-US"/>
        </w:rPr>
        <w:t xml:space="preserve">(B) </w:t>
      </w:r>
      <w:r w:rsidR="006B35A2" w:rsidRPr="0015290A">
        <w:rPr>
          <w:lang w:val="en-US"/>
        </w:rPr>
        <w:t>Bland-Altman plot showing the percentage differences between SUV4.0 and LIONZ</w:t>
      </w:r>
      <w:r w:rsidR="006B35A2" w:rsidRPr="0015290A">
        <w:rPr>
          <w:vertAlign w:val="superscript"/>
          <w:lang w:val="en-US"/>
        </w:rPr>
        <w:t>SUV4</w:t>
      </w:r>
      <w:r w:rsidR="009130D3">
        <w:rPr>
          <w:lang w:val="en-US"/>
        </w:rPr>
        <w:t xml:space="preserve">. The mean difference </w:t>
      </w:r>
      <w:r w:rsidR="006B35A2" w:rsidRPr="0015290A">
        <w:rPr>
          <w:lang w:val="en-US"/>
        </w:rPr>
        <w:t xml:space="preserve">is </w:t>
      </w:r>
      <w:r w:rsidR="006B35A2" w:rsidRPr="0015290A">
        <w:rPr>
          <w:rStyle w:val="Strong"/>
          <w:b w:val="0"/>
          <w:lang w:val="en-US"/>
        </w:rPr>
        <w:t>-4.</w:t>
      </w:r>
      <w:r w:rsidR="006B35A2" w:rsidRPr="0015290A">
        <w:rPr>
          <w:rStyle w:val="Strong"/>
          <w:b w:val="0"/>
          <w:lang w:val="en-US"/>
        </w:rPr>
        <w:t>2%</w:t>
      </w:r>
      <w:r w:rsidR="006B35A2" w:rsidRPr="0015290A">
        <w:rPr>
          <w:lang w:val="en-US"/>
        </w:rPr>
        <w:t xml:space="preserve"> (</w:t>
      </w:r>
      <w:r w:rsidR="009130D3">
        <w:rPr>
          <w:lang w:val="en-US"/>
        </w:rPr>
        <w:t>mean diff</w:t>
      </w:r>
      <w:r w:rsidR="006B35A2" w:rsidRPr="0015290A">
        <w:rPr>
          <w:lang w:val="en-US"/>
        </w:rPr>
        <w:t xml:space="preserve">), with limits of agreement ranging from </w:t>
      </w:r>
      <w:r w:rsidR="006B35A2" w:rsidRPr="0015290A">
        <w:rPr>
          <w:rStyle w:val="Strong"/>
          <w:b w:val="0"/>
          <w:lang w:val="en-US"/>
        </w:rPr>
        <w:t>-</w:t>
      </w:r>
      <w:r w:rsidR="0015290A" w:rsidRPr="0015290A">
        <w:rPr>
          <w:rStyle w:val="Strong"/>
          <w:b w:val="0"/>
          <w:lang w:val="en-US"/>
        </w:rPr>
        <w:t>253.25</w:t>
      </w:r>
      <w:r w:rsidR="006B35A2" w:rsidRPr="0015290A">
        <w:rPr>
          <w:rStyle w:val="Strong"/>
          <w:b w:val="0"/>
          <w:lang w:val="en-US"/>
        </w:rPr>
        <w:t>%</w:t>
      </w:r>
      <w:r w:rsidR="0015290A">
        <w:rPr>
          <w:rStyle w:val="Strong"/>
          <w:b w:val="0"/>
          <w:lang w:val="en-US"/>
        </w:rPr>
        <w:t xml:space="preserve"> </w:t>
      </w:r>
      <w:r w:rsidR="0015290A">
        <w:rPr>
          <w:rStyle w:val="Strong"/>
          <w:b w:val="0"/>
          <w:lang w:val="en-US"/>
        </w:rPr>
        <w:t>(upper limit)</w:t>
      </w:r>
      <w:r w:rsidR="006B35A2" w:rsidRPr="0015290A">
        <w:rPr>
          <w:rStyle w:val="Strong"/>
          <w:b w:val="0"/>
          <w:lang w:val="en-US"/>
        </w:rPr>
        <w:t xml:space="preserve"> to </w:t>
      </w:r>
      <w:r w:rsidR="0015290A" w:rsidRPr="0015290A">
        <w:rPr>
          <w:rStyle w:val="Strong"/>
          <w:b w:val="0"/>
          <w:lang w:val="en-US"/>
        </w:rPr>
        <w:t>244</w:t>
      </w:r>
      <w:r w:rsidR="006B35A2" w:rsidRPr="0015290A">
        <w:rPr>
          <w:rStyle w:val="Strong"/>
          <w:b w:val="0"/>
          <w:lang w:val="en-US"/>
        </w:rPr>
        <w:t>.</w:t>
      </w:r>
      <w:r w:rsidR="0015290A" w:rsidRPr="0015290A">
        <w:rPr>
          <w:rStyle w:val="Strong"/>
          <w:b w:val="0"/>
          <w:lang w:val="en-US"/>
        </w:rPr>
        <w:t>84</w:t>
      </w:r>
      <w:r w:rsidR="006B35A2" w:rsidRPr="0015290A">
        <w:rPr>
          <w:rStyle w:val="Strong"/>
          <w:b w:val="0"/>
          <w:lang w:val="en-US"/>
        </w:rPr>
        <w:t>%</w:t>
      </w:r>
      <w:r w:rsidR="006B35A2" w:rsidRPr="0015290A">
        <w:rPr>
          <w:lang w:val="en-US"/>
        </w:rPr>
        <w:t xml:space="preserve"> (</w:t>
      </w:r>
      <w:r w:rsidR="0015290A">
        <w:rPr>
          <w:rStyle w:val="Strong"/>
          <w:b w:val="0"/>
          <w:lang w:val="en-US"/>
        </w:rPr>
        <w:t>lower</w:t>
      </w:r>
      <w:r w:rsidR="009130D3">
        <w:rPr>
          <w:rStyle w:val="Strong"/>
          <w:b w:val="0"/>
          <w:lang w:val="en-US"/>
        </w:rPr>
        <w:t xml:space="preserve"> limit</w:t>
      </w:r>
      <w:r w:rsidR="006B35A2" w:rsidRPr="0015290A">
        <w:rPr>
          <w:lang w:val="en-US"/>
        </w:rPr>
        <w:t>). The shaded region represents the range within ±1.96 standard deviations from the mean difference.</w:t>
      </w:r>
    </w:p>
    <w:p w:rsidR="006B35A2" w:rsidRDefault="006B35A2" w:rsidP="00EC3F8B">
      <w:pPr>
        <w:spacing w:line="480" w:lineRule="auto"/>
        <w:jc w:val="both"/>
        <w:rPr>
          <w:lang w:val="en-US"/>
        </w:rPr>
      </w:pPr>
      <w:bookmarkStart w:id="0" w:name="_GoBack"/>
      <w:bookmarkEnd w:id="0"/>
    </w:p>
    <w:p w:rsidR="00EC3F8B" w:rsidRPr="00EC3F8B" w:rsidRDefault="00EC3F8B">
      <w:pPr>
        <w:rPr>
          <w:lang w:val="en-US"/>
        </w:rPr>
      </w:pPr>
    </w:p>
    <w:sectPr w:rsidR="00EC3F8B" w:rsidRPr="00EC3F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F8B"/>
    <w:rsid w:val="0015290A"/>
    <w:rsid w:val="002A2229"/>
    <w:rsid w:val="006B35A2"/>
    <w:rsid w:val="009130D3"/>
    <w:rsid w:val="00AF1C14"/>
    <w:rsid w:val="00C8329F"/>
    <w:rsid w:val="00CF6132"/>
    <w:rsid w:val="00EC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BF4F0B2"/>
  <w15:chartTrackingRefBased/>
  <w15:docId w15:val="{AA21CE36-E278-4772-98BC-1A485F946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B35A2"/>
    <w:rPr>
      <w:i/>
      <w:iCs/>
    </w:rPr>
  </w:style>
  <w:style w:type="character" w:styleId="Strong">
    <w:name w:val="Strong"/>
    <w:basedOn w:val="DefaultParagraphFont"/>
    <w:uiPriority w:val="22"/>
    <w:qFormat/>
    <w:rsid w:val="006B35A2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B35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B35A2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gntyacmba4b">
    <w:name w:val="gntyacmba4b"/>
    <w:basedOn w:val="DefaultParagraphFont"/>
    <w:rsid w:val="006B35A2"/>
  </w:style>
  <w:style w:type="character" w:customStyle="1" w:styleId="gntyacmbh4b">
    <w:name w:val="gntyacmbh4b"/>
    <w:basedOn w:val="DefaultParagraphFont"/>
    <w:rsid w:val="006B35A2"/>
  </w:style>
  <w:style w:type="character" w:customStyle="1" w:styleId="gntyacmbg3b">
    <w:name w:val="gntyacmbg3b"/>
    <w:basedOn w:val="DefaultParagraphFont"/>
    <w:rsid w:val="006B35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29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4226</TotalTime>
  <Pages>1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Ferrández Ferrández, M.C. (Maria)</dc:creator>
  <cp:keywords/>
  <dc:description/>
  <cp:lastModifiedBy>Ferrández Ferrández, M.C. (Maria)</cp:lastModifiedBy>
  <cp:revision>5</cp:revision>
  <dcterms:created xsi:type="dcterms:W3CDTF">2024-11-18T12:43:00Z</dcterms:created>
  <dcterms:modified xsi:type="dcterms:W3CDTF">2025-02-24T14:08:00Z</dcterms:modified>
</cp:coreProperties>
</file>