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  <w:r w:rsidRPr="403B780C">
        <w:rPr>
          <w:rFonts w:ascii="Times New Roman" w:hAnsi="Times New Roman"/>
          <w:b/>
          <w:bCs/>
          <w:sz w:val="24"/>
          <w:szCs w:val="24"/>
          <w:lang w:val="en-US"/>
        </w:rPr>
        <w:t>Supplemental Table 1</w:t>
      </w:r>
      <w:r w:rsidRPr="403B780C">
        <w:rPr>
          <w:rFonts w:ascii="Times New Roman" w:hAnsi="Times New Roman"/>
          <w:sz w:val="24"/>
          <w:szCs w:val="24"/>
          <w:lang w:val="en-US"/>
        </w:rPr>
        <w:t xml:space="preserve">. Subjective perception of migraine </w:t>
      </w:r>
      <w:proofErr w:type="gramStart"/>
      <w:r w:rsidRPr="403B780C">
        <w:rPr>
          <w:rFonts w:ascii="Times New Roman" w:hAnsi="Times New Roman"/>
          <w:sz w:val="24"/>
          <w:szCs w:val="24"/>
          <w:lang w:val="en-US"/>
        </w:rPr>
        <w:t>in regard to</w:t>
      </w:r>
      <w:proofErr w:type="gramEnd"/>
      <w:r w:rsidRPr="403B780C">
        <w:rPr>
          <w:rFonts w:ascii="Times New Roman" w:hAnsi="Times New Roman"/>
          <w:sz w:val="24"/>
          <w:szCs w:val="24"/>
          <w:lang w:val="en-US"/>
        </w:rPr>
        <w:t xml:space="preserve"> CoViD-19.</w:t>
      </w:r>
    </w:p>
    <w:tbl>
      <w:tblPr>
        <w:tblStyle w:val="Grigliatabella"/>
        <w:tblW w:w="2110" w:type="pct"/>
        <w:tblLook w:val="04A0" w:firstRow="1" w:lastRow="0" w:firstColumn="1" w:lastColumn="0" w:noHBand="0" w:noVBand="1"/>
      </w:tblPr>
      <w:tblGrid>
        <w:gridCol w:w="2770"/>
        <w:gridCol w:w="1297"/>
      </w:tblGrid>
      <w:tr w:rsidR="008B54ED" w:rsidRPr="00B12C76" w:rsidTr="008B54ED">
        <w:tc>
          <w:tcPr>
            <w:tcW w:w="34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9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All (n=433)</w:t>
            </w:r>
          </w:p>
        </w:tc>
      </w:tr>
      <w:tr w:rsidR="008B54ED" w:rsidRPr="008B54ED" w:rsidTr="008B54ED">
        <w:tc>
          <w:tcPr>
            <w:tcW w:w="340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Migraine perceived as a facilitating factor for CoViD-19</w:t>
            </w: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159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8B54ED" w:rsidRPr="00B12C76" w:rsidTr="008B54ED">
        <w:tc>
          <w:tcPr>
            <w:tcW w:w="3406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Yes</w:t>
            </w:r>
          </w:p>
        </w:tc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33 (7.6)</w:t>
            </w:r>
          </w:p>
        </w:tc>
      </w:tr>
      <w:tr w:rsidR="008B54ED" w:rsidRPr="00B12C76" w:rsidTr="008B54ED">
        <w:tc>
          <w:tcPr>
            <w:tcW w:w="3406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No</w:t>
            </w:r>
          </w:p>
        </w:tc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347 (80.1)</w:t>
            </w:r>
          </w:p>
        </w:tc>
      </w:tr>
      <w:tr w:rsidR="008B54ED" w:rsidRPr="00B12C76" w:rsidTr="008B54ED">
        <w:tc>
          <w:tcPr>
            <w:tcW w:w="3406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Do not know</w:t>
            </w:r>
          </w:p>
        </w:tc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53 (12.2)</w:t>
            </w:r>
          </w:p>
        </w:tc>
      </w:tr>
      <w:tr w:rsidR="008B54ED" w:rsidRPr="008B54ED" w:rsidTr="008B54ED">
        <w:tc>
          <w:tcPr>
            <w:tcW w:w="3406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Perceived outcome of migraine in relation to CoViD-19</w:t>
            </w: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8B54ED" w:rsidRPr="00B12C76" w:rsidTr="008B54ED">
        <w:tc>
          <w:tcPr>
            <w:tcW w:w="3406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Improved</w:t>
            </w:r>
          </w:p>
        </w:tc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145 (33.5)</w:t>
            </w:r>
          </w:p>
        </w:tc>
      </w:tr>
      <w:tr w:rsidR="008B54ED" w:rsidRPr="00B12C76" w:rsidTr="008B54ED">
        <w:tc>
          <w:tcPr>
            <w:tcW w:w="3406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Worsened</w:t>
            </w:r>
          </w:p>
        </w:tc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103 (23.8)</w:t>
            </w:r>
          </w:p>
        </w:tc>
      </w:tr>
      <w:tr w:rsidR="008B54ED" w:rsidRPr="00B12C76" w:rsidTr="008B54ED">
        <w:tc>
          <w:tcPr>
            <w:tcW w:w="340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Unchanged</w:t>
            </w:r>
          </w:p>
        </w:tc>
        <w:tc>
          <w:tcPr>
            <w:tcW w:w="159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B54ED" w:rsidRPr="00B12C76" w:rsidRDefault="008B54ED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185 (42.7)</w:t>
            </w:r>
          </w:p>
        </w:tc>
      </w:tr>
    </w:tbl>
    <w:p w:rsidR="00FE5AA8" w:rsidRPr="00D429F5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FE5AA8" w:rsidRPr="00FE5AA8" w:rsidRDefault="00FE5AA8" w:rsidP="00FE5AA8">
      <w:pPr>
        <w:rPr>
          <w:lang w:val="en-US"/>
        </w:rPr>
      </w:pPr>
      <w:r w:rsidRPr="00FE5AA8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Supplemental Table 2</w:t>
      </w:r>
      <w:r w:rsidRPr="00FE5AA8">
        <w:rPr>
          <w:rFonts w:ascii="Times New Roman" w:eastAsia="Times New Roman" w:hAnsi="Times New Roman"/>
          <w:sz w:val="24"/>
          <w:szCs w:val="24"/>
          <w:lang w:val="en-US"/>
        </w:rPr>
        <w:t>. Preventive treatment during social distancing compared with the previous two months in the included patients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606"/>
        <w:gridCol w:w="1606"/>
      </w:tblGrid>
      <w:tr w:rsidR="008B54ED" w:rsidRPr="00FE5AA8" w:rsidTr="00423AD4">
        <w:tc>
          <w:tcPr>
            <w:tcW w:w="1606" w:type="dxa"/>
          </w:tcPr>
          <w:p w:rsidR="008B54ED" w:rsidRPr="00FE5AA8" w:rsidRDefault="008B54ED" w:rsidP="00423AD4">
            <w:pPr>
              <w:rPr>
                <w:lang w:val="en-US"/>
              </w:rPr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6" w:type="dxa"/>
          </w:tcPr>
          <w:p w:rsidR="008B54ED" w:rsidRPr="00FE5AA8" w:rsidRDefault="008B54ED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All (n=433)</w:t>
            </w:r>
          </w:p>
        </w:tc>
      </w:tr>
      <w:tr w:rsidR="008B54ED" w:rsidRPr="00FE5AA8" w:rsidTr="00423AD4">
        <w:tc>
          <w:tcPr>
            <w:tcW w:w="1606" w:type="dxa"/>
          </w:tcPr>
          <w:p w:rsidR="008B54ED" w:rsidRPr="00FE5AA8" w:rsidRDefault="008B54ED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Discontinued treatment, n (%)</w:t>
            </w:r>
          </w:p>
        </w:tc>
        <w:tc>
          <w:tcPr>
            <w:tcW w:w="1606" w:type="dxa"/>
          </w:tcPr>
          <w:p w:rsidR="008B54ED" w:rsidRPr="00FE5AA8" w:rsidRDefault="008B54ED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88 (20.3)</w:t>
            </w:r>
          </w:p>
        </w:tc>
      </w:tr>
      <w:tr w:rsidR="008B54ED" w:rsidRPr="00FE5AA8" w:rsidTr="00423AD4">
        <w:tc>
          <w:tcPr>
            <w:tcW w:w="1606" w:type="dxa"/>
          </w:tcPr>
          <w:p w:rsidR="008B54ED" w:rsidRPr="00FE5AA8" w:rsidRDefault="008B54ED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Reason for discontinuing, n (%)</w:t>
            </w:r>
          </w:p>
        </w:tc>
        <w:tc>
          <w:tcPr>
            <w:tcW w:w="1606" w:type="dxa"/>
          </w:tcPr>
          <w:p w:rsidR="008B54ED" w:rsidRPr="00FE5AA8" w:rsidRDefault="008B54ED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8B54ED" w:rsidRPr="00FE5AA8" w:rsidTr="00423AD4">
        <w:tc>
          <w:tcPr>
            <w:tcW w:w="1606" w:type="dxa"/>
          </w:tcPr>
          <w:p w:rsidR="008B54ED" w:rsidRPr="00FE5AA8" w:rsidRDefault="008B54ED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    Logistic*</w:t>
            </w:r>
          </w:p>
        </w:tc>
        <w:tc>
          <w:tcPr>
            <w:tcW w:w="1606" w:type="dxa"/>
          </w:tcPr>
          <w:p w:rsidR="008B54ED" w:rsidRPr="00FE5AA8" w:rsidRDefault="008B54ED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31 (35.2)</w:t>
            </w:r>
          </w:p>
        </w:tc>
      </w:tr>
      <w:tr w:rsidR="008B54ED" w:rsidRPr="00FE5AA8" w:rsidTr="00423AD4">
        <w:tc>
          <w:tcPr>
            <w:tcW w:w="1606" w:type="dxa"/>
          </w:tcPr>
          <w:p w:rsidR="008B54ED" w:rsidRPr="00FE5AA8" w:rsidRDefault="008B54ED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    Drug failure**</w:t>
            </w:r>
          </w:p>
        </w:tc>
        <w:tc>
          <w:tcPr>
            <w:tcW w:w="1606" w:type="dxa"/>
          </w:tcPr>
          <w:p w:rsidR="008B54ED" w:rsidRPr="00FE5AA8" w:rsidRDefault="008B54ED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23 (26.1)</w:t>
            </w:r>
          </w:p>
        </w:tc>
      </w:tr>
      <w:tr w:rsidR="008B54ED" w:rsidRPr="00FE5AA8" w:rsidTr="00423AD4">
        <w:tc>
          <w:tcPr>
            <w:tcW w:w="1606" w:type="dxa"/>
          </w:tcPr>
          <w:p w:rsidR="008B54ED" w:rsidRPr="00FE5AA8" w:rsidRDefault="008B54ED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    Other</w:t>
            </w:r>
          </w:p>
        </w:tc>
        <w:tc>
          <w:tcPr>
            <w:tcW w:w="1606" w:type="dxa"/>
          </w:tcPr>
          <w:p w:rsidR="008B54ED" w:rsidRPr="00FE5AA8" w:rsidRDefault="008B54ED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34 (38.6)</w:t>
            </w:r>
          </w:p>
        </w:tc>
      </w:tr>
    </w:tbl>
    <w:p w:rsidR="00FE5AA8" w:rsidRPr="00FE5AA8" w:rsidRDefault="00FE5AA8" w:rsidP="00FE5AA8">
      <w:pPr>
        <w:rPr>
          <w:lang w:val="en-US"/>
        </w:rPr>
      </w:pPr>
      <w:r w:rsidRPr="00FE5AA8">
        <w:rPr>
          <w:rFonts w:ascii="Times New Roman" w:eastAsia="Times New Roman" w:hAnsi="Times New Roman"/>
          <w:sz w:val="24"/>
          <w:szCs w:val="24"/>
          <w:lang w:val="en-US"/>
        </w:rPr>
        <w:t>*difficulties in drug administration (in-hospital treatments) or dispensing</w:t>
      </w:r>
    </w:p>
    <w:p w:rsidR="00FE5AA8" w:rsidRPr="00FE5AA8" w:rsidRDefault="00FE5AA8" w:rsidP="00FE5AA8">
      <w:pPr>
        <w:rPr>
          <w:lang w:val="en-US"/>
        </w:rPr>
      </w:pPr>
      <w:r w:rsidRPr="00FE5AA8">
        <w:rPr>
          <w:rFonts w:ascii="Times New Roman" w:eastAsia="Times New Roman" w:hAnsi="Times New Roman"/>
          <w:sz w:val="24"/>
          <w:szCs w:val="24"/>
          <w:lang w:val="en-US"/>
        </w:rPr>
        <w:t>**due to either ineffectiveness or adverse events</w:t>
      </w:r>
    </w:p>
    <w:p w:rsidR="00556D8A" w:rsidRDefault="00556D8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556D8A" w:rsidRDefault="00556D8A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Table 3</w:t>
      </w:r>
      <w:r w:rsidRPr="006A73C2">
        <w:rPr>
          <w:rFonts w:ascii="Times New Roman" w:hAnsi="Times New Roman"/>
          <w:sz w:val="24"/>
          <w:szCs w:val="24"/>
          <w:lang w:val="en-US"/>
        </w:rPr>
        <w:t>. Baseline characteristics of the i</w:t>
      </w:r>
      <w:r>
        <w:rPr>
          <w:rFonts w:ascii="Times New Roman" w:hAnsi="Times New Roman"/>
          <w:sz w:val="24"/>
          <w:szCs w:val="24"/>
          <w:lang w:val="en-US"/>
        </w:rPr>
        <w:t>ncluded subjects</w:t>
      </w:r>
    </w:p>
    <w:tbl>
      <w:tblPr>
        <w:tblStyle w:val="Grigliatabellachiara"/>
        <w:tblW w:w="4398" w:type="pct"/>
        <w:tblLook w:val="04A0" w:firstRow="1" w:lastRow="0" w:firstColumn="1" w:lastColumn="0" w:noHBand="0" w:noVBand="1"/>
      </w:tblPr>
      <w:tblGrid>
        <w:gridCol w:w="2467"/>
        <w:gridCol w:w="1299"/>
        <w:gridCol w:w="1344"/>
        <w:gridCol w:w="1299"/>
        <w:gridCol w:w="1194"/>
        <w:gridCol w:w="866"/>
      </w:tblGrid>
      <w:tr w:rsidR="00556D8A" w:rsidRPr="008B7E04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North (n=105)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Center (n=101)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South (n=227)</w:t>
            </w:r>
          </w:p>
        </w:tc>
        <w:tc>
          <w:tcPr>
            <w:tcW w:w="0" w:type="auto"/>
          </w:tcPr>
          <w:p w:rsidR="00556D8A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Statistic</w:t>
            </w:r>
          </w:p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Comparison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556D8A" w:rsidRPr="008B7E04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Gender, n (%)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545454"/>
                <w:sz w:val="21"/>
                <w:szCs w:val="21"/>
                <w:shd w:val="clear" w:color="auto" w:fill="FFFFFF"/>
              </w:rPr>
              <w:t>χ</w:t>
            </w:r>
            <w:r w:rsidRPr="008B7E04">
              <w:rPr>
                <w:rFonts w:ascii="Arial" w:hAnsi="Arial" w:cs="Arial"/>
                <w:color w:val="545454"/>
                <w:shd w:val="clear" w:color="auto" w:fill="FFFFFF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3.7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Female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(73.3)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(72.3)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(80.6)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Male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(26.7)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(27.7)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(19.4)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Age (years), </w:t>
            </w:r>
            <w:proofErr w:type="spellStart"/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mean±SE</w:t>
            </w:r>
            <w:proofErr w:type="spellEnd"/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47.24±1.17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42.00±1.51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43.36±0.71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 4.9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0.008*</w:t>
            </w: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BMI, </w:t>
            </w:r>
            <w:proofErr w:type="spellStart"/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mean±SE</w:t>
            </w:r>
            <w:proofErr w:type="spellEnd"/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24±0.004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24±0.005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24±0.003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 0.12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0.880</w:t>
            </w: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Headache frequency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8126D">
              <w:rPr>
                <w:rFonts w:ascii="Times New Roman" w:hAnsi="Times New Roman"/>
                <w:sz w:val="16"/>
                <w:szCs w:val="16"/>
                <w:lang w:val="en-US"/>
              </w:rPr>
              <w:t>10.57±0.81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8126D">
              <w:rPr>
                <w:rFonts w:ascii="Times New Roman" w:hAnsi="Times New Roman"/>
                <w:sz w:val="16"/>
                <w:szCs w:val="16"/>
                <w:lang w:val="en-US"/>
              </w:rPr>
              <w:t>8.19±0.84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8126D">
              <w:rPr>
                <w:rFonts w:ascii="Times New Roman" w:hAnsi="Times New Roman"/>
                <w:sz w:val="16"/>
                <w:szCs w:val="16"/>
                <w:lang w:val="en-US"/>
              </w:rPr>
              <w:t>9.50±0.56</w:t>
            </w:r>
          </w:p>
        </w:tc>
        <w:tc>
          <w:tcPr>
            <w:tcW w:w="0" w:type="auto"/>
          </w:tcPr>
          <w:p w:rsidR="00556D8A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 2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Education years, n (%)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0-5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(1.9)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(4.0)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(4.4)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6-8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(27.6)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(20.8)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(15.0)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9-13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(31.4)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(51.5)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(39.6)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&gt;13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(39.0)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(23.8)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(41.0)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545454"/>
                <w:sz w:val="21"/>
                <w:szCs w:val="21"/>
                <w:shd w:val="clear" w:color="auto" w:fill="FFFFFF"/>
              </w:rPr>
              <w:t>χ</w:t>
            </w:r>
            <w:r>
              <w:rPr>
                <w:rFonts w:ascii="Arial" w:hAnsi="Arial" w:cs="Arial"/>
                <w:color w:val="545454"/>
                <w:shd w:val="clear" w:color="auto" w:fill="FFFFFF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18.8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</w:tr>
      <w:tr w:rsidR="00556D8A" w:rsidRPr="00F35B35" w:rsidTr="00F54685"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Days of social distancing, </w:t>
            </w:r>
            <w:proofErr w:type="spellStart"/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mean±SE</w:t>
            </w:r>
            <w:proofErr w:type="spellEnd"/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24.6±1.98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32.26±2.00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31.56±1.35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 4.9</w:t>
            </w:r>
          </w:p>
        </w:tc>
        <w:tc>
          <w:tcPr>
            <w:tcW w:w="0" w:type="auto"/>
          </w:tcPr>
          <w:p w:rsidR="00556D8A" w:rsidRPr="00F35B35" w:rsidRDefault="00556D8A" w:rsidP="00F54685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5B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0.008**</w:t>
            </w:r>
          </w:p>
        </w:tc>
      </w:tr>
    </w:tbl>
    <w:p w:rsidR="00556D8A" w:rsidRDefault="00556D8A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BMI indicates body mass index; NS, not significant; SE, standard error</w:t>
      </w:r>
    </w:p>
    <w:p w:rsidR="00556D8A" w:rsidRDefault="00556D8A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F: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One way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Anova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test</w:t>
      </w:r>
    </w:p>
    <w:p w:rsidR="00556D8A" w:rsidRDefault="00556D8A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Arial" w:hAnsi="Arial" w:cs="Arial"/>
          <w:color w:val="545454"/>
          <w:sz w:val="21"/>
          <w:szCs w:val="21"/>
          <w:shd w:val="clear" w:color="auto" w:fill="FFFFFF"/>
        </w:rPr>
        <w:t>χ</w:t>
      </w:r>
      <w:proofErr w:type="gramStart"/>
      <w:r w:rsidRPr="00F767B6">
        <w:rPr>
          <w:rFonts w:ascii="Arial" w:hAnsi="Arial" w:cs="Arial"/>
          <w:color w:val="545454"/>
          <w:shd w:val="clear" w:color="auto" w:fill="FFFFFF"/>
          <w:vertAlign w:val="superscript"/>
          <w:lang w:val="en-US"/>
        </w:rPr>
        <w:t>2</w:t>
      </w:r>
      <w:r>
        <w:rPr>
          <w:rFonts w:ascii="Arial" w:hAnsi="Arial" w:cs="Arial"/>
          <w:color w:val="545454"/>
          <w:shd w:val="clear" w:color="auto" w:fill="FFFFFF"/>
          <w:vertAlign w:val="superscript"/>
          <w:lang w:val="en-US"/>
        </w:rPr>
        <w:t xml:space="preserve"> :</w:t>
      </w:r>
      <w:proofErr w:type="gramEnd"/>
      <w:r>
        <w:rPr>
          <w:rFonts w:ascii="Arial" w:hAnsi="Arial" w:cs="Arial"/>
          <w:color w:val="545454"/>
          <w:shd w:val="clear" w:color="auto" w:fill="FFFFFF"/>
          <w:vertAlign w:val="superscript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Chi square</w:t>
      </w:r>
    </w:p>
    <w:p w:rsidR="00556D8A" w:rsidRDefault="00946869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r w:rsidR="00556D8A">
        <w:rPr>
          <w:rFonts w:ascii="Times New Roman" w:hAnsi="Times New Roman"/>
          <w:sz w:val="24"/>
          <w:szCs w:val="24"/>
          <w:lang w:val="en-US"/>
        </w:rPr>
        <w:t xml:space="preserve"> (North vs Center) post hoc Bonferroni test</w:t>
      </w:r>
    </w:p>
    <w:p w:rsidR="00556D8A" w:rsidRDefault="00946869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**</w:t>
      </w:r>
      <w:bookmarkStart w:id="0" w:name="_GoBack"/>
      <w:bookmarkEnd w:id="0"/>
      <w:r w:rsidR="00556D8A">
        <w:rPr>
          <w:rFonts w:ascii="Times New Roman" w:hAnsi="Times New Roman"/>
          <w:sz w:val="24"/>
          <w:szCs w:val="24"/>
          <w:lang w:val="en-US"/>
        </w:rPr>
        <w:t xml:space="preserve"> (North vs Center vs South) post hoc Bonferroni test</w:t>
      </w:r>
    </w:p>
    <w:p w:rsidR="00556D8A" w:rsidRDefault="00556D8A" w:rsidP="00556D8A">
      <w:pPr>
        <w:rPr>
          <w:rFonts w:ascii="Times New Roman" w:hAnsi="Times New Roman"/>
          <w:sz w:val="24"/>
          <w:szCs w:val="24"/>
          <w:lang w:val="en-US"/>
        </w:rPr>
      </w:pPr>
    </w:p>
    <w:p w:rsidR="00556D8A" w:rsidRDefault="00556D8A" w:rsidP="00556D8A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:rsidR="00D75E63" w:rsidRPr="00FE5AA8" w:rsidRDefault="00D75E63">
      <w:pPr>
        <w:rPr>
          <w:lang w:val="en-US"/>
        </w:rPr>
      </w:pPr>
    </w:p>
    <w:sectPr w:rsidR="00D75E63" w:rsidRPr="00FE5AA8" w:rsidSect="00BA79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AA8"/>
    <w:rsid w:val="00556D8A"/>
    <w:rsid w:val="008B54ED"/>
    <w:rsid w:val="00946869"/>
    <w:rsid w:val="00D75E63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F5F3B"/>
  <w15:chartTrackingRefBased/>
  <w15:docId w15:val="{A8A52D69-4A15-452B-A95A-4DCB0272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E5AA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chiara">
    <w:name w:val="Grid Table Light"/>
    <w:basedOn w:val="Tabellanormale"/>
    <w:uiPriority w:val="40"/>
    <w:rsid w:val="00556D8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DE TOMMASO</dc:creator>
  <cp:keywords/>
  <dc:description/>
  <cp:lastModifiedBy>MARINA DE TOMMASO</cp:lastModifiedBy>
  <cp:revision>3</cp:revision>
  <dcterms:created xsi:type="dcterms:W3CDTF">2020-08-02T15:18:00Z</dcterms:created>
  <dcterms:modified xsi:type="dcterms:W3CDTF">2020-08-03T13:36:00Z</dcterms:modified>
</cp:coreProperties>
</file>