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04D82" w14:textId="77777777" w:rsidR="005512DF" w:rsidRPr="008A4505" w:rsidRDefault="005512DF" w:rsidP="005512DF">
      <w:pPr>
        <w:rPr>
          <w:b/>
          <w:bCs/>
          <w:sz w:val="32"/>
          <w:szCs w:val="32"/>
        </w:rPr>
      </w:pPr>
      <w:r w:rsidRPr="008A4505">
        <w:rPr>
          <w:b/>
          <w:bCs/>
          <w:sz w:val="32"/>
          <w:szCs w:val="32"/>
        </w:rPr>
        <w:t>Substantial increases in future precipitation extremes – insights from a large ensemble of</w:t>
      </w:r>
      <w:r>
        <w:rPr>
          <w:b/>
          <w:bCs/>
          <w:sz w:val="32"/>
          <w:szCs w:val="32"/>
        </w:rPr>
        <w:t xml:space="preserve"> downscaled</w:t>
      </w:r>
      <w:r w:rsidRPr="008A4505">
        <w:rPr>
          <w:b/>
          <w:bCs/>
          <w:sz w:val="32"/>
          <w:szCs w:val="32"/>
        </w:rPr>
        <w:t xml:space="preserve"> CMIP6 models</w:t>
      </w:r>
    </w:p>
    <w:p w14:paraId="5162D247" w14:textId="021CACEB" w:rsidR="0068358F" w:rsidRDefault="0068358F" w:rsidP="0068358F">
      <w:r>
        <w:t>Rohan Eccles</w:t>
      </w:r>
      <w:r>
        <w:rPr>
          <w:vertAlign w:val="superscript"/>
        </w:rPr>
        <w:t>1</w:t>
      </w:r>
      <w:r>
        <w:t>*, Jozef Syktus</w:t>
      </w:r>
      <w:r>
        <w:rPr>
          <w:vertAlign w:val="superscript"/>
        </w:rPr>
        <w:t>2</w:t>
      </w:r>
      <w:r>
        <w:t>, Ralph Trancoso</w:t>
      </w:r>
      <w:r>
        <w:rPr>
          <w:vertAlign w:val="superscript"/>
        </w:rPr>
        <w:t>1,2</w:t>
      </w:r>
      <w:r>
        <w:t>, Sarah Chapman</w:t>
      </w:r>
      <w:r>
        <w:rPr>
          <w:vertAlign w:val="superscript"/>
        </w:rPr>
        <w:t>1,2</w:t>
      </w:r>
      <w:r>
        <w:t>, Conrad Wasko</w:t>
      </w:r>
      <w:r>
        <w:rPr>
          <w:vertAlign w:val="superscript"/>
        </w:rPr>
        <w:t>3</w:t>
      </w:r>
      <w:r>
        <w:t>, Jason P. Evans</w:t>
      </w:r>
      <w:r>
        <w:rPr>
          <w:vertAlign w:val="superscript"/>
        </w:rPr>
        <w:t>4,5</w:t>
      </w:r>
      <w:r>
        <w:t>, Marcus Thatcher</w:t>
      </w:r>
      <w:r>
        <w:rPr>
          <w:vertAlign w:val="superscript"/>
        </w:rPr>
        <w:t>6</w:t>
      </w:r>
      <w:r>
        <w:t>, Giovanni Di Virgilio</w:t>
      </w:r>
      <w:r>
        <w:rPr>
          <w:vertAlign w:val="superscript"/>
        </w:rPr>
        <w:t>5,7</w:t>
      </w:r>
      <w:r>
        <w:t>, Christian Stassen</w:t>
      </w:r>
      <w:r>
        <w:rPr>
          <w:vertAlign w:val="superscript"/>
        </w:rPr>
        <w:t>8</w:t>
      </w:r>
    </w:p>
    <w:p w14:paraId="5729D305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1 </w:t>
      </w:r>
      <w:r>
        <w:rPr>
          <w:i/>
          <w:sz w:val="20"/>
          <w:szCs w:val="20"/>
        </w:rPr>
        <w:t>Climate Projections and Services, Queensland Treasury, Queensland Government, Brisbane, Australia</w:t>
      </w:r>
    </w:p>
    <w:p w14:paraId="7A914FDD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2 </w:t>
      </w:r>
      <w:r>
        <w:rPr>
          <w:i/>
          <w:sz w:val="20"/>
          <w:szCs w:val="20"/>
        </w:rPr>
        <w:t>School of The Environment, The University of Queensland, Brisbane, Australia</w:t>
      </w:r>
    </w:p>
    <w:p w14:paraId="33B1C473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3 </w:t>
      </w:r>
      <w:r>
        <w:rPr>
          <w:i/>
          <w:sz w:val="20"/>
          <w:szCs w:val="20"/>
        </w:rPr>
        <w:t>School of Civil Engineering, The University of Sydney, Sydney, NSW, Australia</w:t>
      </w:r>
    </w:p>
    <w:p w14:paraId="45CA50A9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4</w:t>
      </w:r>
      <w:r>
        <w:rPr>
          <w:i/>
          <w:sz w:val="20"/>
          <w:szCs w:val="20"/>
        </w:rPr>
        <w:t xml:space="preserve"> Climate Change Research Centre, School of Biological, Earth and Environmental Sciences, University of New South Wales, Sydney, Australia</w:t>
      </w:r>
    </w:p>
    <w:p w14:paraId="7D8537E9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5</w:t>
      </w:r>
      <w:r>
        <w:rPr>
          <w:i/>
          <w:sz w:val="20"/>
          <w:szCs w:val="20"/>
        </w:rPr>
        <w:t xml:space="preserve"> Australian Research Council Centre of Excellence for Weather of the 21st Century, University of New South Wales, Sydney, Australia</w:t>
      </w:r>
    </w:p>
    <w:p w14:paraId="7ABEE1A6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6 </w:t>
      </w:r>
      <w:r>
        <w:rPr>
          <w:i/>
          <w:sz w:val="20"/>
          <w:szCs w:val="20"/>
        </w:rPr>
        <w:t>CSIRO Environment, Melbourne, VIC, Australia</w:t>
      </w:r>
    </w:p>
    <w:p w14:paraId="07E38ED3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7</w:t>
      </w:r>
      <w:r>
        <w:rPr>
          <w:i/>
          <w:sz w:val="20"/>
          <w:szCs w:val="20"/>
        </w:rPr>
        <w:t xml:space="preserve"> Climate &amp; Atmospheric Science, NSW Department of Climate Change, Energy, the Environment and Water, Sydney, Australia</w:t>
      </w:r>
    </w:p>
    <w:p w14:paraId="3FEAEF52" w14:textId="77777777" w:rsidR="0068358F" w:rsidRDefault="0068358F" w:rsidP="0068358F">
      <w:pPr>
        <w:spacing w:before="40" w:after="0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8</w:t>
      </w:r>
      <w:r>
        <w:rPr>
          <w:i/>
          <w:sz w:val="20"/>
          <w:szCs w:val="20"/>
        </w:rPr>
        <w:t xml:space="preserve"> Bureau of Meteorology, Melbourne, Australia</w:t>
      </w:r>
    </w:p>
    <w:p w14:paraId="2D7F1B16" w14:textId="32EBFF3F" w:rsidR="006015CA" w:rsidRDefault="006015CA" w:rsidP="0068358F">
      <w:pPr>
        <w:rPr>
          <w:b/>
          <w:sz w:val="32"/>
          <w:szCs w:val="32"/>
        </w:rPr>
      </w:pPr>
    </w:p>
    <w:p w14:paraId="2D7F1B17" w14:textId="77777777" w:rsidR="006015CA" w:rsidRDefault="00865F2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Supplementary Material</w:t>
      </w:r>
    </w:p>
    <w:p w14:paraId="2D7F1B18" w14:textId="50C5749A" w:rsidR="006015CA" w:rsidRDefault="00865F2D">
      <w:r>
        <w:t>This supplementary material contains Figure S1 to Figure S</w:t>
      </w:r>
      <w:r w:rsidR="00115A48">
        <w:t>2</w:t>
      </w:r>
      <w:r>
        <w:t xml:space="preserve"> and Table S1 to Table S4.</w:t>
      </w:r>
    </w:p>
    <w:p w14:paraId="2D7F1B19" w14:textId="77777777" w:rsidR="006015CA" w:rsidRDefault="00865F2D">
      <w:pPr>
        <w:spacing w:before="0" w:after="160" w:line="259" w:lineRule="auto"/>
        <w:jc w:val="left"/>
        <w:rPr>
          <w:b/>
          <w:sz w:val="32"/>
          <w:szCs w:val="32"/>
        </w:rPr>
      </w:pPr>
      <w:r>
        <w:br w:type="page"/>
      </w:r>
    </w:p>
    <w:p w14:paraId="2D7F1B1A" w14:textId="77777777" w:rsidR="006015CA" w:rsidRDefault="00865F2D">
      <w:pPr>
        <w:pStyle w:val="Heading1"/>
        <w:rPr>
          <w:sz w:val="22"/>
          <w:szCs w:val="22"/>
        </w:rPr>
      </w:pPr>
      <w:r>
        <w:lastRenderedPageBreak/>
        <w:t>Ensemble evaluation</w:t>
      </w:r>
    </w:p>
    <w:p w14:paraId="2D7F1B1B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Calibri" w:hAnsi="Calibri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hAnsi="Calibri"/>
          <w:color w:val="000000"/>
          <w:sz w:val="20"/>
          <w:szCs w:val="20"/>
        </w:rPr>
        <w:t>Table S1. Percent bias of the mean precipitation over capital city regions for each of the model ensembles compared to AGCD for 1981-2020. Mean Absolute Percentage Error (MAPE) biases are presented for all capital city areas and across Australia as a whole.</w:t>
      </w:r>
    </w:p>
    <w:tbl>
      <w:tblPr>
        <w:tblStyle w:val="a"/>
        <w:tblW w:w="6146" w:type="dxa"/>
        <w:jc w:val="center"/>
        <w:tblLayout w:type="fixed"/>
        <w:tblLook w:val="0400" w:firstRow="0" w:lastRow="0" w:firstColumn="0" w:lastColumn="0" w:noHBand="0" w:noVBand="1"/>
      </w:tblPr>
      <w:tblGrid>
        <w:gridCol w:w="1583"/>
        <w:gridCol w:w="692"/>
        <w:gridCol w:w="887"/>
        <w:gridCol w:w="998"/>
        <w:gridCol w:w="1038"/>
        <w:gridCol w:w="948"/>
      </w:tblGrid>
      <w:tr w:rsidR="006015CA" w14:paraId="2D7F1B22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1C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Region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1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CMIP6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1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QldFCP-2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1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CCAM-ACS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2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BARPA-ACS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2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NARCliM2</w:t>
            </w:r>
          </w:p>
        </w:tc>
      </w:tr>
      <w:tr w:rsidR="006015CA" w14:paraId="2D7F1B29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23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6F8FD"/>
            <w:vAlign w:val="center"/>
          </w:tcPr>
          <w:p w14:paraId="2D7F1B2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9B0B2"/>
            <w:vAlign w:val="center"/>
          </w:tcPr>
          <w:p w14:paraId="2D7F1B2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-25.8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5F7FD"/>
            <w:vAlign w:val="center"/>
          </w:tcPr>
          <w:p w14:paraId="2D7F1B2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BF3F6"/>
            <w:vAlign w:val="center"/>
          </w:tcPr>
          <w:p w14:paraId="2D7F1B2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-3.0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E2E5"/>
            <w:vAlign w:val="center"/>
          </w:tcPr>
          <w:p w14:paraId="2D7F1B2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-8.6</w:t>
            </w:r>
          </w:p>
        </w:tc>
      </w:tr>
      <w:tr w:rsidR="006015CA" w14:paraId="2D7F1B30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2A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Adelaide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9AEB0"/>
            <w:vAlign w:val="center"/>
          </w:tcPr>
          <w:p w14:paraId="2D7F1B2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-26.4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ABEC1"/>
            <w:vAlign w:val="center"/>
          </w:tcPr>
          <w:p w14:paraId="2D7F1B2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-20.8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F6F9"/>
            <w:vAlign w:val="center"/>
          </w:tcPr>
          <w:p w14:paraId="2D7F1B2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D4E0F1"/>
            <w:vAlign w:val="center"/>
          </w:tcPr>
          <w:p w14:paraId="2D7F1B2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98E91"/>
            <w:vAlign w:val="center"/>
          </w:tcPr>
          <w:p w14:paraId="2D7F1B2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-37.1</w:t>
            </w:r>
          </w:p>
        </w:tc>
      </w:tr>
      <w:tr w:rsidR="006015CA" w14:paraId="2D7F1B37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31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Brisbane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EDF2FA"/>
            <w:vAlign w:val="center"/>
          </w:tcPr>
          <w:p w14:paraId="2D7F1B3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AEFF9"/>
            <w:vAlign w:val="center"/>
          </w:tcPr>
          <w:p w14:paraId="2D7F1B3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9E3F3"/>
            <w:vAlign w:val="center"/>
          </w:tcPr>
          <w:p w14:paraId="2D7F1B3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DDE7F5"/>
            <w:vAlign w:val="center"/>
          </w:tcPr>
          <w:p w14:paraId="2D7F1B3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D9DB"/>
            <w:vAlign w:val="center"/>
          </w:tcPr>
          <w:p w14:paraId="2D7F1B3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-11.9</w:t>
            </w:r>
          </w:p>
        </w:tc>
      </w:tr>
      <w:tr w:rsidR="006015CA" w14:paraId="2D7F1B3E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38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Darwin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BE0E3"/>
            <w:vAlign w:val="center"/>
          </w:tcPr>
          <w:p w14:paraId="2D7F1B3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-9.4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9A0A2"/>
            <w:vAlign w:val="center"/>
          </w:tcPr>
          <w:p w14:paraId="2D7F1B3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-31.2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F3F6"/>
            <w:vAlign w:val="center"/>
          </w:tcPr>
          <w:p w14:paraId="2D7F1B3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BD7DA"/>
            <w:vAlign w:val="center"/>
          </w:tcPr>
          <w:p w14:paraId="2D7F1B3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-12.5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9A4A7"/>
            <w:vAlign w:val="center"/>
          </w:tcPr>
          <w:p w14:paraId="2D7F1B3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-29.7</w:t>
            </w:r>
          </w:p>
        </w:tc>
      </w:tr>
      <w:tr w:rsidR="006015CA" w14:paraId="2D7F1B45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3F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Hobart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EC5E4"/>
            <w:vAlign w:val="center"/>
          </w:tcPr>
          <w:p w14:paraId="2D7F1B4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24.3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9A9AC"/>
            <w:vAlign w:val="center"/>
          </w:tcPr>
          <w:p w14:paraId="2D7F1B4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-28.0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ECEF"/>
            <w:vAlign w:val="center"/>
          </w:tcPr>
          <w:p w14:paraId="2D7F1B4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ACCCF"/>
            <w:vAlign w:val="center"/>
          </w:tcPr>
          <w:p w14:paraId="2D7F1B4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-16.0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ACDCF"/>
            <w:vAlign w:val="center"/>
          </w:tcPr>
          <w:p w14:paraId="2D7F1B4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-15.9</w:t>
            </w:r>
          </w:p>
        </w:tc>
      </w:tr>
      <w:tr w:rsidR="006015CA" w14:paraId="2D7F1B4C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46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Melbourne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BE8EB"/>
            <w:vAlign w:val="center"/>
          </w:tcPr>
          <w:p w14:paraId="2D7F1B4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-6.6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AC9CC"/>
            <w:vAlign w:val="center"/>
          </w:tcPr>
          <w:p w14:paraId="2D7F1B4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-17.2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EAED"/>
            <w:vAlign w:val="center"/>
          </w:tcPr>
          <w:p w14:paraId="2D7F1B4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6EDF8"/>
            <w:vAlign w:val="center"/>
          </w:tcPr>
          <w:p w14:paraId="2D7F1B4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9ACAF"/>
            <w:vAlign w:val="center"/>
          </w:tcPr>
          <w:p w14:paraId="2D7F1B4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-27.0</w:t>
            </w:r>
          </w:p>
        </w:tc>
      </w:tr>
      <w:tr w:rsidR="006015CA" w14:paraId="2D7F1B53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7F1B4D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Perth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F99193"/>
            <w:vAlign w:val="center"/>
          </w:tcPr>
          <w:p w14:paraId="2D7F1B4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-36.2</w:t>
            </w: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F87072"/>
            <w:vAlign w:val="center"/>
          </w:tcPr>
          <w:p w14:paraId="2D7F1B4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-47.4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FAC7C9"/>
            <w:vAlign w:val="center"/>
          </w:tcPr>
          <w:p w14:paraId="2D7F1B5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-17.9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FAD4D7"/>
            <w:vAlign w:val="center"/>
          </w:tcPr>
          <w:p w14:paraId="2D7F1B5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-13.4</w:t>
            </w: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shd w:val="clear" w:color="auto" w:fill="F87E81"/>
            <w:vAlign w:val="center"/>
          </w:tcPr>
          <w:p w14:paraId="2D7F1B5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-42.6</w:t>
            </w:r>
          </w:p>
        </w:tc>
      </w:tr>
      <w:tr w:rsidR="006015CA" w14:paraId="2D7F1B5A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54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Sydney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BE9EC"/>
            <w:vAlign w:val="center"/>
          </w:tcPr>
          <w:p w14:paraId="2D7F1B5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-6.1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B6B8"/>
            <w:vAlign w:val="center"/>
          </w:tcPr>
          <w:p w14:paraId="2D7F1B5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-23.7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7F9FE"/>
            <w:vAlign w:val="center"/>
          </w:tcPr>
          <w:p w14:paraId="2D7F1B5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F6FC"/>
            <w:vAlign w:val="center"/>
          </w:tcPr>
          <w:p w14:paraId="2D7F1B5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CBCE"/>
            <w:vAlign w:val="center"/>
          </w:tcPr>
          <w:p w14:paraId="2D7F1B5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-16.4</w:t>
            </w:r>
          </w:p>
        </w:tc>
      </w:tr>
      <w:tr w:rsidR="006015CA" w14:paraId="2D7F1B61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2D7F1B5B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capital cities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right w:val="nil"/>
            </w:tcBorders>
            <w:shd w:val="clear" w:color="auto" w:fill="F9D5AE"/>
            <w:vAlign w:val="center"/>
          </w:tcPr>
          <w:p w14:paraId="2D7F1B5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right w:val="nil"/>
            </w:tcBorders>
            <w:shd w:val="clear" w:color="auto" w:fill="F5B673"/>
            <w:vAlign w:val="center"/>
          </w:tcPr>
          <w:p w14:paraId="2D7F1B5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right w:val="nil"/>
            </w:tcBorders>
            <w:shd w:val="clear" w:color="auto" w:fill="FDEDDD"/>
            <w:vAlign w:val="center"/>
          </w:tcPr>
          <w:p w14:paraId="2D7F1B5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right w:val="nil"/>
            </w:tcBorders>
            <w:shd w:val="clear" w:color="auto" w:fill="FBE3CA"/>
            <w:vAlign w:val="center"/>
          </w:tcPr>
          <w:p w14:paraId="2D7F1B5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right w:val="nil"/>
            </w:tcBorders>
            <w:shd w:val="clear" w:color="auto" w:fill="F5BA7A"/>
            <w:vAlign w:val="center"/>
          </w:tcPr>
          <w:p w14:paraId="2D7F1B6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23.6</w:t>
            </w:r>
          </w:p>
        </w:tc>
      </w:tr>
      <w:tr w:rsidR="006015CA" w14:paraId="2D7F1B68" w14:textId="77777777">
        <w:trPr>
          <w:trHeight w:val="290"/>
          <w:jc w:val="center"/>
        </w:trPr>
        <w:tc>
          <w:tcPr>
            <w:tcW w:w="15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2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Australia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6BC7D"/>
            <w:vAlign w:val="center"/>
          </w:tcPr>
          <w:p w14:paraId="2D7F1B6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23.1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7C896"/>
            <w:vAlign w:val="center"/>
          </w:tcPr>
          <w:p w14:paraId="2D7F1B6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A552"/>
            <w:vAlign w:val="center"/>
          </w:tcPr>
          <w:p w14:paraId="2D7F1B6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30.8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8CFA3"/>
            <w:vAlign w:val="center"/>
          </w:tcPr>
          <w:p w14:paraId="2D7F1B6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7C28A"/>
            <w:vAlign w:val="center"/>
          </w:tcPr>
          <w:p w14:paraId="2D7F1B6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20.9</w:t>
            </w:r>
          </w:p>
        </w:tc>
      </w:tr>
    </w:tbl>
    <w:p w14:paraId="2D7F1B69" w14:textId="77777777" w:rsidR="006015CA" w:rsidRDefault="006015C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rFonts w:ascii="Calibri" w:hAnsi="Calibri"/>
          <w:color w:val="000000"/>
          <w:sz w:val="20"/>
          <w:szCs w:val="20"/>
        </w:rPr>
      </w:pPr>
    </w:p>
    <w:p w14:paraId="2D7F1B6A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Table S2. Percent bias of the 99</w:t>
      </w:r>
      <w:r>
        <w:rPr>
          <w:rFonts w:ascii="Calibri" w:hAnsi="Calibri"/>
          <w:color w:val="000000"/>
          <w:sz w:val="20"/>
          <w:szCs w:val="20"/>
          <w:vertAlign w:val="superscript"/>
        </w:rPr>
        <w:t>th</w:t>
      </w:r>
      <w:r>
        <w:rPr>
          <w:rFonts w:ascii="Calibri" w:hAnsi="Calibri"/>
          <w:color w:val="000000"/>
          <w:sz w:val="20"/>
          <w:szCs w:val="20"/>
        </w:rPr>
        <w:t xml:space="preserve"> percentile precipitation over capital city regions for each of the model ensembles compared to AGCD for 1981-2020. Mean Absolute Percentage Error (MAPE) biases are presented for all capital city areas and across Australia as a whole.</w:t>
      </w:r>
    </w:p>
    <w:tbl>
      <w:tblPr>
        <w:tblStyle w:val="a0"/>
        <w:tblW w:w="6146" w:type="dxa"/>
        <w:jc w:val="center"/>
        <w:tblLayout w:type="fixed"/>
        <w:tblLook w:val="0400" w:firstRow="0" w:lastRow="0" w:firstColumn="0" w:lastColumn="0" w:noHBand="0" w:noVBand="1"/>
      </w:tblPr>
      <w:tblGrid>
        <w:gridCol w:w="1583"/>
        <w:gridCol w:w="692"/>
        <w:gridCol w:w="887"/>
        <w:gridCol w:w="998"/>
        <w:gridCol w:w="1038"/>
        <w:gridCol w:w="948"/>
      </w:tblGrid>
      <w:tr w:rsidR="006015CA" w14:paraId="2D7F1B71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B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Region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CMIP6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QldFCP-2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CCAM-ACS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6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BARPA-ACS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7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NARCliM2</w:t>
            </w:r>
          </w:p>
        </w:tc>
      </w:tr>
      <w:tr w:rsidR="006015CA" w14:paraId="2D7F1B78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72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3C5"/>
            <w:vAlign w:val="center"/>
          </w:tcPr>
          <w:p w14:paraId="2D7F1B7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-19.3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ACDD0"/>
            <w:vAlign w:val="center"/>
          </w:tcPr>
          <w:p w14:paraId="2D7F1B7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3EBF7"/>
            <w:vAlign w:val="center"/>
          </w:tcPr>
          <w:p w14:paraId="2D7F1B7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BF2F5"/>
            <w:vAlign w:val="center"/>
          </w:tcPr>
          <w:p w14:paraId="2D7F1B7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-3.2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E4E7"/>
            <w:vAlign w:val="center"/>
          </w:tcPr>
          <w:p w14:paraId="2D7F1B7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-7.9</w:t>
            </w:r>
          </w:p>
        </w:tc>
      </w:tr>
      <w:tr w:rsidR="006015CA" w14:paraId="2D7F1B7F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79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Adelaide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9ADAF"/>
            <w:vAlign w:val="center"/>
          </w:tcPr>
          <w:p w14:paraId="2D7F1B7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-26.7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EAED"/>
            <w:vAlign w:val="center"/>
          </w:tcPr>
          <w:p w14:paraId="2D7F1B7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DE6F4"/>
            <w:vAlign w:val="center"/>
          </w:tcPr>
          <w:p w14:paraId="2D7F1B7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FF3FB"/>
            <w:vAlign w:val="center"/>
          </w:tcPr>
          <w:p w14:paraId="2D7F1B7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9AFB2"/>
            <w:vAlign w:val="center"/>
          </w:tcPr>
          <w:p w14:paraId="2D7F1B7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-26.0</w:t>
            </w:r>
          </w:p>
        </w:tc>
      </w:tr>
      <w:tr w:rsidR="006015CA" w14:paraId="2D7F1B86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80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Brisbane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FD2"/>
            <w:vAlign w:val="center"/>
          </w:tcPr>
          <w:p w14:paraId="2D7F1B8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8FAFE"/>
            <w:vAlign w:val="center"/>
          </w:tcPr>
          <w:p w14:paraId="2D7F1B8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DE7F5"/>
            <w:vAlign w:val="center"/>
          </w:tcPr>
          <w:p w14:paraId="2D7F1B8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2EAF6"/>
            <w:vAlign w:val="center"/>
          </w:tcPr>
          <w:p w14:paraId="2D7F1B8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DEE1"/>
            <w:vAlign w:val="center"/>
          </w:tcPr>
          <w:p w14:paraId="2D7F1B8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-10.0</w:t>
            </w:r>
          </w:p>
        </w:tc>
      </w:tr>
      <w:tr w:rsidR="006015CA" w14:paraId="2D7F1B8D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87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Darwin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FD2"/>
            <w:vAlign w:val="center"/>
          </w:tcPr>
          <w:p w14:paraId="2D7F1B8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9A9AB"/>
            <w:vAlign w:val="center"/>
          </w:tcPr>
          <w:p w14:paraId="2D7F1B8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-28.1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3F6FC"/>
            <w:vAlign w:val="center"/>
          </w:tcPr>
          <w:p w14:paraId="2D7F1B8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ACBCD"/>
            <w:vAlign w:val="center"/>
          </w:tcPr>
          <w:p w14:paraId="2D7F1B8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-16.6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AC9CC"/>
            <w:vAlign w:val="center"/>
          </w:tcPr>
          <w:p w14:paraId="2D7F1B8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-17.1</w:t>
            </w:r>
          </w:p>
        </w:tc>
      </w:tr>
      <w:tr w:rsidR="006015CA" w14:paraId="2D7F1B94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8E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Hobart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9ADB0"/>
            <w:vAlign w:val="center"/>
          </w:tcPr>
          <w:p w14:paraId="2D7F1B8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-26.7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9A9AB"/>
            <w:vAlign w:val="center"/>
          </w:tcPr>
          <w:p w14:paraId="2D7F1B9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-28.2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E1E4"/>
            <w:vAlign w:val="center"/>
          </w:tcPr>
          <w:p w14:paraId="2D7F1B9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-9.0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BECEF"/>
            <w:vAlign w:val="center"/>
          </w:tcPr>
          <w:p w14:paraId="2D7F1B9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AD6D8"/>
            <w:vAlign w:val="center"/>
          </w:tcPr>
          <w:p w14:paraId="2D7F1B9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-12.9</w:t>
            </w:r>
          </w:p>
        </w:tc>
      </w:tr>
      <w:tr w:rsidR="006015CA" w14:paraId="2D7F1B9B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95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Melbourne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DD0"/>
            <w:vAlign w:val="center"/>
          </w:tcPr>
          <w:p w14:paraId="2D7F1B9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EDF0"/>
            <w:vAlign w:val="center"/>
          </w:tcPr>
          <w:p w14:paraId="2D7F1B9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vAlign w:val="center"/>
          </w:tcPr>
          <w:p w14:paraId="2D7F1B9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4F6FC"/>
            <w:vAlign w:val="center"/>
          </w:tcPr>
          <w:p w14:paraId="2D7F1B9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ACDCF"/>
            <w:vAlign w:val="center"/>
          </w:tcPr>
          <w:p w14:paraId="2D7F1B9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-15.9</w:t>
            </w:r>
          </w:p>
        </w:tc>
      </w:tr>
      <w:tr w:rsidR="006015CA" w14:paraId="2D7F1BA2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7F1B9C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Perth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F98E91"/>
            <w:vAlign w:val="center"/>
          </w:tcPr>
          <w:p w14:paraId="2D7F1B9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-37.1</w:t>
            </w: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F9A4A6"/>
            <w:vAlign w:val="center"/>
          </w:tcPr>
          <w:p w14:paraId="2D7F1B9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-29.9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FBFAFD"/>
            <w:vAlign w:val="center"/>
          </w:tcPr>
          <w:p w14:paraId="2D7F1B9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FBEBEE"/>
            <w:vAlign w:val="center"/>
          </w:tcPr>
          <w:p w14:paraId="2D7F1BA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-5.5</w:t>
            </w: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shd w:val="clear" w:color="auto" w:fill="F9A0A2"/>
            <w:vAlign w:val="center"/>
          </w:tcPr>
          <w:p w14:paraId="2D7F1BA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-31.2</w:t>
            </w:r>
          </w:p>
        </w:tc>
      </w:tr>
      <w:tr w:rsidR="006015CA" w14:paraId="2D7F1BA9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A3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Sydney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BCBE"/>
            <w:vAlign w:val="center"/>
          </w:tcPr>
          <w:p w14:paraId="2D7F1BA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-21.7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D3D6"/>
            <w:vAlign w:val="center"/>
          </w:tcPr>
          <w:p w14:paraId="2D7F1BA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-13.7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5ECF7"/>
            <w:vAlign w:val="center"/>
          </w:tcPr>
          <w:p w14:paraId="2D7F1BA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5F7FD"/>
            <w:vAlign w:val="center"/>
          </w:tcPr>
          <w:p w14:paraId="2D7F1BA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BE3E6"/>
            <w:vAlign w:val="center"/>
          </w:tcPr>
          <w:p w14:paraId="2D7F1BA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-8.2</w:t>
            </w:r>
          </w:p>
        </w:tc>
      </w:tr>
      <w:tr w:rsidR="006015CA" w14:paraId="2D7F1BB0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2D7F1BAA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capital cities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right w:val="nil"/>
            </w:tcBorders>
            <w:shd w:val="clear" w:color="auto" w:fill="F6BE83"/>
            <w:vAlign w:val="center"/>
          </w:tcPr>
          <w:p w14:paraId="2D7F1BA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right w:val="nil"/>
            </w:tcBorders>
            <w:shd w:val="clear" w:color="auto" w:fill="F9D1A6"/>
            <w:vAlign w:val="center"/>
          </w:tcPr>
          <w:p w14:paraId="2D7F1BA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right w:val="nil"/>
            </w:tcBorders>
            <w:shd w:val="clear" w:color="auto" w:fill="FDECDA"/>
            <w:vAlign w:val="center"/>
          </w:tcPr>
          <w:p w14:paraId="2D7F1BA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right w:val="nil"/>
            </w:tcBorders>
            <w:shd w:val="clear" w:color="auto" w:fill="FDEEDE"/>
            <w:vAlign w:val="center"/>
          </w:tcPr>
          <w:p w14:paraId="2D7F1BA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right w:val="nil"/>
            </w:tcBorders>
            <w:shd w:val="clear" w:color="auto" w:fill="F9D0A5"/>
            <w:vAlign w:val="center"/>
          </w:tcPr>
          <w:p w14:paraId="2D7F1BA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16.1</w:t>
            </w:r>
          </w:p>
        </w:tc>
      </w:tr>
      <w:tr w:rsidR="006015CA" w14:paraId="2D7F1BB7" w14:textId="77777777">
        <w:trPr>
          <w:trHeight w:val="290"/>
          <w:jc w:val="center"/>
        </w:trPr>
        <w:tc>
          <w:tcPr>
            <w:tcW w:w="15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1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Australia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D5AD"/>
            <w:vAlign w:val="center"/>
          </w:tcPr>
          <w:p w14:paraId="2D7F1BB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6BD81"/>
            <w:vAlign w:val="center"/>
          </w:tcPr>
          <w:p w14:paraId="2D7F1BB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7C692"/>
            <w:vAlign w:val="center"/>
          </w:tcPr>
          <w:p w14:paraId="2D7F1BB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D9B6"/>
            <w:vAlign w:val="center"/>
          </w:tcPr>
          <w:p w14:paraId="2D7F1BB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6C188"/>
            <w:vAlign w:val="center"/>
          </w:tcPr>
          <w:p w14:paraId="2D7F1BB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21.3</w:t>
            </w:r>
          </w:p>
        </w:tc>
      </w:tr>
    </w:tbl>
    <w:p w14:paraId="2D7F1BB8" w14:textId="77777777" w:rsidR="006015CA" w:rsidRDefault="006015C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hAnsi="Calibri"/>
          <w:color w:val="000000"/>
        </w:rPr>
      </w:pPr>
    </w:p>
    <w:p w14:paraId="4EF2C3C1" w14:textId="6C801612" w:rsidR="00E36662" w:rsidRDefault="00E36662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br w:type="page"/>
      </w:r>
    </w:p>
    <w:p w14:paraId="2D7F1BB9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lastRenderedPageBreak/>
        <w:t>Table S3. Percent bias of the 99.7</w:t>
      </w:r>
      <w:r>
        <w:rPr>
          <w:rFonts w:ascii="Calibri" w:hAnsi="Calibri"/>
          <w:color w:val="000000"/>
          <w:sz w:val="20"/>
          <w:szCs w:val="20"/>
          <w:vertAlign w:val="superscript"/>
        </w:rPr>
        <w:t>th</w:t>
      </w:r>
      <w:r>
        <w:rPr>
          <w:rFonts w:ascii="Calibri" w:hAnsi="Calibri"/>
          <w:color w:val="000000"/>
          <w:sz w:val="20"/>
          <w:szCs w:val="20"/>
        </w:rPr>
        <w:t xml:space="preserve"> percentile precipitation over capital city regions for each of the model ensembles compared to AGCD for 1981-2020. Mean Absolute Percentage Error (MAPE) biases are presented for all capital city areas and across Australia as a whole. </w:t>
      </w:r>
    </w:p>
    <w:tbl>
      <w:tblPr>
        <w:tblStyle w:val="a1"/>
        <w:tblW w:w="6146" w:type="dxa"/>
        <w:jc w:val="center"/>
        <w:tblLayout w:type="fixed"/>
        <w:tblLook w:val="0400" w:firstRow="0" w:lastRow="0" w:firstColumn="0" w:lastColumn="0" w:noHBand="0" w:noVBand="1"/>
      </w:tblPr>
      <w:tblGrid>
        <w:gridCol w:w="1583"/>
        <w:gridCol w:w="692"/>
        <w:gridCol w:w="887"/>
        <w:gridCol w:w="998"/>
        <w:gridCol w:w="1038"/>
        <w:gridCol w:w="948"/>
      </w:tblGrid>
      <w:tr w:rsidR="006015CA" w14:paraId="2D7F1BC0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A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Region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CMIP6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QldFCP-2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CCAM-ACS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BARPA-ACS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B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NARCliM2</w:t>
            </w:r>
          </w:p>
        </w:tc>
      </w:tr>
      <w:tr w:rsidR="006015CA" w14:paraId="2D7F1BC7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C1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B9BB"/>
            <w:vAlign w:val="center"/>
          </w:tcPr>
          <w:p w14:paraId="2D7F1BC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-22.8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E5E8"/>
            <w:vAlign w:val="center"/>
          </w:tcPr>
          <w:p w14:paraId="2D7F1BC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-7.8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1DEF0"/>
            <w:vAlign w:val="center"/>
          </w:tcPr>
          <w:p w14:paraId="2D7F1BC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BFCFF"/>
            <w:vAlign w:val="center"/>
          </w:tcPr>
          <w:p w14:paraId="2D7F1BC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E7EA"/>
            <w:vAlign w:val="center"/>
          </w:tcPr>
          <w:p w14:paraId="2D7F1BC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-6.8</w:t>
            </w:r>
          </w:p>
        </w:tc>
      </w:tr>
      <w:tr w:rsidR="006015CA" w14:paraId="2D7F1BCE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C8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Adelaide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2C5"/>
            <w:vAlign w:val="center"/>
          </w:tcPr>
          <w:p w14:paraId="2D7F1BC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-19.6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3F5FC"/>
            <w:vAlign w:val="center"/>
          </w:tcPr>
          <w:p w14:paraId="2D7F1BC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BCCFE9"/>
            <w:vAlign w:val="center"/>
          </w:tcPr>
          <w:p w14:paraId="2D7F1BC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5ECF7"/>
            <w:vAlign w:val="center"/>
          </w:tcPr>
          <w:p w14:paraId="2D7F1BC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ACACD"/>
            <w:vAlign w:val="center"/>
          </w:tcPr>
          <w:p w14:paraId="2D7F1BC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-16.9</w:t>
            </w:r>
          </w:p>
        </w:tc>
      </w:tr>
      <w:tr w:rsidR="006015CA" w14:paraId="2D7F1BD5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CF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Brisbane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B9BB"/>
            <w:vAlign w:val="center"/>
          </w:tcPr>
          <w:p w14:paraId="2D7F1BD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-22.7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5ECF7"/>
            <w:vAlign w:val="center"/>
          </w:tcPr>
          <w:p w14:paraId="2D7F1BD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CCDBEF"/>
            <w:vAlign w:val="center"/>
          </w:tcPr>
          <w:p w14:paraId="2D7F1BD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C7D7ED"/>
            <w:vAlign w:val="center"/>
          </w:tcPr>
          <w:p w14:paraId="2D7F1BD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EFF2"/>
            <w:vAlign w:val="center"/>
          </w:tcPr>
          <w:p w14:paraId="2D7F1BD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-4.3</w:t>
            </w:r>
          </w:p>
        </w:tc>
      </w:tr>
      <w:tr w:rsidR="006015CA" w14:paraId="2D7F1BDC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D6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Darwin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CDCF"/>
            <w:vAlign w:val="center"/>
          </w:tcPr>
          <w:p w14:paraId="2D7F1BD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-15.9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EAEC"/>
            <w:vAlign w:val="center"/>
          </w:tcPr>
          <w:p w14:paraId="2D7F1BD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-6.1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B6CBE7"/>
            <w:vAlign w:val="center"/>
          </w:tcPr>
          <w:p w14:paraId="2D7F1BD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6F8FD"/>
            <w:vAlign w:val="center"/>
          </w:tcPr>
          <w:p w14:paraId="2D7F1BD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9FAFE"/>
            <w:vAlign w:val="center"/>
          </w:tcPr>
          <w:p w14:paraId="2D7F1BD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1.2</w:t>
            </w:r>
          </w:p>
        </w:tc>
      </w:tr>
      <w:tr w:rsidR="006015CA" w14:paraId="2D7F1BE3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DD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Hobart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99698"/>
            <w:vAlign w:val="center"/>
          </w:tcPr>
          <w:p w14:paraId="2D7F1BD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-34.6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AB4B6"/>
            <w:vAlign w:val="center"/>
          </w:tcPr>
          <w:p w14:paraId="2D7F1BD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-24.4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BDCDF"/>
            <w:vAlign w:val="center"/>
          </w:tcPr>
          <w:p w14:paraId="2D7F1BE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-10.8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AFBFF"/>
            <w:vAlign w:val="center"/>
          </w:tcPr>
          <w:p w14:paraId="2D7F1BE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D8DB"/>
            <w:vAlign w:val="center"/>
          </w:tcPr>
          <w:p w14:paraId="2D7F1BE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-11.9</w:t>
            </w:r>
          </w:p>
        </w:tc>
      </w:tr>
      <w:tr w:rsidR="006015CA" w14:paraId="2D7F1BEA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BE4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Melbourne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AD1D4"/>
            <w:vAlign w:val="center"/>
          </w:tcPr>
          <w:p w14:paraId="2D7F1BE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-14.5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6F8FD"/>
            <w:vAlign w:val="center"/>
          </w:tcPr>
          <w:p w14:paraId="2D7F1BE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C7D7ED"/>
            <w:vAlign w:val="center"/>
          </w:tcPr>
          <w:p w14:paraId="2D7F1BE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9EEF8"/>
            <w:vAlign w:val="center"/>
          </w:tcPr>
          <w:p w14:paraId="2D7F1BE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FBE3E6"/>
            <w:vAlign w:val="center"/>
          </w:tcPr>
          <w:p w14:paraId="2D7F1BE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-8.3</w:t>
            </w:r>
          </w:p>
        </w:tc>
      </w:tr>
      <w:tr w:rsidR="006015CA" w14:paraId="2D7F1BF1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7F1BEB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Perth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F99395"/>
            <w:vAlign w:val="center"/>
          </w:tcPr>
          <w:p w14:paraId="2D7F1BE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-35.7</w:t>
            </w: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FABDBF"/>
            <w:vAlign w:val="center"/>
          </w:tcPr>
          <w:p w14:paraId="2D7F1BE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-21.3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EBF0F9"/>
            <w:vAlign w:val="center"/>
          </w:tcPr>
          <w:p w14:paraId="2D7F1BE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FBF7FA"/>
            <w:vAlign w:val="center"/>
          </w:tcPr>
          <w:p w14:paraId="2D7F1BE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-1.4</w:t>
            </w: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shd w:val="clear" w:color="auto" w:fill="F9B0B3"/>
            <w:vAlign w:val="center"/>
          </w:tcPr>
          <w:p w14:paraId="2D7F1BF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-25.5</w:t>
            </w:r>
          </w:p>
        </w:tc>
      </w:tr>
      <w:tr w:rsidR="006015CA" w14:paraId="2D7F1BF8" w14:textId="77777777">
        <w:trPr>
          <w:trHeight w:val="290"/>
          <w:jc w:val="center"/>
        </w:trPr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BF2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Sydney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A9AC"/>
            <w:vAlign w:val="center"/>
          </w:tcPr>
          <w:p w14:paraId="2D7F1BF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-27.9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BEBEE"/>
            <w:vAlign w:val="center"/>
          </w:tcPr>
          <w:p w14:paraId="2D7F1BF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7E2F2"/>
            <w:vAlign w:val="center"/>
          </w:tcPr>
          <w:p w14:paraId="2D7F1BF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AEFF9"/>
            <w:vAlign w:val="center"/>
          </w:tcPr>
          <w:p w14:paraId="2D7F1BF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BF8FB"/>
            <w:vAlign w:val="center"/>
          </w:tcPr>
          <w:p w14:paraId="2D7F1BF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-1.3</w:t>
            </w:r>
          </w:p>
        </w:tc>
      </w:tr>
      <w:tr w:rsidR="006015CA" w14:paraId="2D7F1BFF" w14:textId="77777777">
        <w:trPr>
          <w:trHeight w:val="290"/>
          <w:jc w:val="center"/>
        </w:trPr>
        <w:tc>
          <w:tcPr>
            <w:tcW w:w="1584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2D7F1BF9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capital cities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right w:val="nil"/>
            </w:tcBorders>
            <w:shd w:val="clear" w:color="auto" w:fill="F5B877"/>
            <w:vAlign w:val="center"/>
          </w:tcPr>
          <w:p w14:paraId="2D7F1BF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24.2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right w:val="nil"/>
            </w:tcBorders>
            <w:shd w:val="clear" w:color="auto" w:fill="FBE3C9"/>
            <w:vAlign w:val="center"/>
          </w:tcPr>
          <w:p w14:paraId="2D7F1BF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right w:val="nil"/>
            </w:tcBorders>
            <w:shd w:val="clear" w:color="auto" w:fill="F9D6AF"/>
            <w:vAlign w:val="center"/>
          </w:tcPr>
          <w:p w14:paraId="2D7F1BF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right w:val="nil"/>
            </w:tcBorders>
            <w:shd w:val="clear" w:color="auto" w:fill="FDF1E3"/>
            <w:vAlign w:val="center"/>
          </w:tcPr>
          <w:p w14:paraId="2D7F1BF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right w:val="nil"/>
            </w:tcBorders>
            <w:shd w:val="clear" w:color="auto" w:fill="FBE3CA"/>
            <w:vAlign w:val="center"/>
          </w:tcPr>
          <w:p w14:paraId="2D7F1BF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9.5</w:t>
            </w:r>
          </w:p>
        </w:tc>
      </w:tr>
      <w:tr w:rsidR="006015CA" w14:paraId="2D7F1C06" w14:textId="77777777">
        <w:trPr>
          <w:trHeight w:val="290"/>
          <w:jc w:val="center"/>
        </w:trPr>
        <w:tc>
          <w:tcPr>
            <w:tcW w:w="15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00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MAPE Australia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D4AC"/>
            <w:vAlign w:val="center"/>
          </w:tcPr>
          <w:p w14:paraId="2D7F1C0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7C691"/>
            <w:vAlign w:val="center"/>
          </w:tcPr>
          <w:p w14:paraId="2D7F1C0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26B"/>
            <w:vAlign w:val="center"/>
          </w:tcPr>
          <w:p w14:paraId="2D7F1C0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26.4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D6B0"/>
            <w:vAlign w:val="center"/>
          </w:tcPr>
          <w:p w14:paraId="2D7F1C0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D9B5"/>
            <w:vAlign w:val="center"/>
          </w:tcPr>
          <w:p w14:paraId="2D7F1C0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13.2</w:t>
            </w:r>
          </w:p>
        </w:tc>
      </w:tr>
    </w:tbl>
    <w:p w14:paraId="2D7F1C07" w14:textId="77777777" w:rsidR="006015CA" w:rsidRDefault="006015CA"/>
    <w:p w14:paraId="2D7F1C08" w14:textId="77777777" w:rsidR="006015CA" w:rsidRDefault="00865F2D">
      <w:pPr>
        <w:pStyle w:val="Heading1"/>
      </w:pPr>
      <w:r>
        <w:lastRenderedPageBreak/>
        <w:t>Changes across Australia</w:t>
      </w:r>
    </w:p>
    <w:p w14:paraId="2D7F1C09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2D7F1CB2" wp14:editId="2D7F1CB3">
            <wp:extent cx="4836991" cy="6788947"/>
            <wp:effectExtent l="0" t="0" r="0" b="0"/>
            <wp:docPr id="19926720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991" cy="6788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7F1C0A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hAnsi="Calibri"/>
          <w:i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Calibri" w:hAnsi="Calibri"/>
          <w:b/>
          <w:i/>
          <w:color w:val="000000"/>
          <w:sz w:val="20"/>
          <w:szCs w:val="20"/>
        </w:rPr>
        <w:t>Figure S1</w:t>
      </w:r>
      <w:r>
        <w:rPr>
          <w:rFonts w:ascii="Calibri" w:hAnsi="Calibri"/>
          <w:i/>
          <w:color w:val="000000"/>
          <w:sz w:val="20"/>
          <w:szCs w:val="20"/>
        </w:rPr>
        <w:t>. Comparison of ensemble median change to the location, scale, and shape parameters by the end of the century (2071-2100) compared to the reference period (1981-2010) under SSP370. Highlighted values show the average changes over Australia in percent from the multi-model median, stippling shows where the signal</w:t>
      </w:r>
      <w:r>
        <w:rPr>
          <w:i/>
          <w:sz w:val="20"/>
          <w:szCs w:val="20"/>
        </w:rPr>
        <w:t>-</w:t>
      </w:r>
      <w:r>
        <w:rPr>
          <w:rFonts w:ascii="Calibri" w:hAnsi="Calibri"/>
          <w:i/>
          <w:color w:val="000000"/>
          <w:sz w:val="20"/>
          <w:szCs w:val="20"/>
        </w:rPr>
        <w:t>to</w:t>
      </w:r>
      <w:r>
        <w:rPr>
          <w:i/>
          <w:sz w:val="20"/>
          <w:szCs w:val="20"/>
        </w:rPr>
        <w:t>-</w:t>
      </w:r>
      <w:r>
        <w:rPr>
          <w:rFonts w:ascii="Calibri" w:hAnsi="Calibri"/>
          <w:i/>
          <w:color w:val="000000"/>
          <w:sz w:val="20"/>
          <w:szCs w:val="20"/>
        </w:rPr>
        <w:t>noise ratio &gt; 1.0.</w:t>
      </w:r>
    </w:p>
    <w:p w14:paraId="2D7F1C0B" w14:textId="77777777" w:rsidR="006015CA" w:rsidRDefault="006015CA">
      <w:pPr>
        <w:spacing w:before="0" w:after="160" w:line="259" w:lineRule="auto"/>
        <w:jc w:val="left"/>
      </w:pPr>
    </w:p>
    <w:p w14:paraId="2D7F1C0C" w14:textId="77777777" w:rsidR="006015CA" w:rsidRDefault="00865F2D">
      <w:pPr>
        <w:pStyle w:val="Heading1"/>
      </w:pPr>
      <w:r>
        <w:lastRenderedPageBreak/>
        <w:t>Changes to Capital Cities</w:t>
      </w:r>
    </w:p>
    <w:p w14:paraId="2D7F1C0D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2D7F1CB4" wp14:editId="2D7F1CB5">
            <wp:extent cx="5392799" cy="3852000"/>
            <wp:effectExtent l="0" t="0" r="0" b="0"/>
            <wp:docPr id="19926720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799" cy="385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7F1C0E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hAnsi="Calibri"/>
          <w:i/>
          <w:color w:val="000000"/>
          <w:sz w:val="20"/>
          <w:szCs w:val="20"/>
        </w:rPr>
      </w:pPr>
      <w:r>
        <w:rPr>
          <w:rFonts w:ascii="Calibri" w:hAnsi="Calibri"/>
          <w:b/>
          <w:i/>
          <w:color w:val="000000"/>
          <w:sz w:val="20"/>
          <w:szCs w:val="20"/>
        </w:rPr>
        <w:t>Figure S2</w:t>
      </w:r>
      <w:r>
        <w:rPr>
          <w:rFonts w:ascii="Calibri" w:hAnsi="Calibri"/>
          <w:i/>
          <w:color w:val="000000"/>
          <w:sz w:val="20"/>
          <w:szCs w:val="20"/>
        </w:rPr>
        <w:t>. Changes to the location, scale, and shape parameters by the end of the century (2071-2100) compared to the reference period (1981-2010) under SSP370. Boxplots show variability in projected changes within greater capital city regions from each of the model ensembles.</w:t>
      </w:r>
    </w:p>
    <w:p w14:paraId="2D7F1C0F" w14:textId="77777777" w:rsidR="006015CA" w:rsidRDefault="006015C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hAnsi="Calibri"/>
          <w:color w:val="000000"/>
        </w:rPr>
      </w:pPr>
    </w:p>
    <w:p w14:paraId="2D7F1C10" w14:textId="77777777" w:rsidR="006015CA" w:rsidRDefault="006015CA">
      <w:pPr>
        <w:spacing w:before="0" w:after="160" w:line="259" w:lineRule="auto"/>
        <w:jc w:val="left"/>
        <w:rPr>
          <w:b/>
          <w:i/>
          <w:sz w:val="20"/>
          <w:szCs w:val="20"/>
        </w:rPr>
      </w:pPr>
    </w:p>
    <w:p w14:paraId="2D7F1C11" w14:textId="77777777" w:rsidR="006015CA" w:rsidRDefault="006015CA">
      <w:pPr>
        <w:spacing w:before="0" w:after="160" w:line="259" w:lineRule="auto"/>
        <w:jc w:val="center"/>
      </w:pPr>
    </w:p>
    <w:p w14:paraId="2D7F1C12" w14:textId="77777777" w:rsidR="006015CA" w:rsidRDefault="006015CA">
      <w:pPr>
        <w:spacing w:before="0" w:after="160" w:line="259" w:lineRule="auto"/>
        <w:jc w:val="center"/>
      </w:pPr>
    </w:p>
    <w:p w14:paraId="2D7F1C13" w14:textId="77777777" w:rsidR="006015CA" w:rsidRDefault="006015CA">
      <w:pPr>
        <w:spacing w:before="0" w:after="160" w:line="259" w:lineRule="auto"/>
        <w:jc w:val="center"/>
      </w:pPr>
    </w:p>
    <w:p w14:paraId="2D7F1C16" w14:textId="77777777" w:rsidR="006015CA" w:rsidRDefault="006015CA">
      <w:pPr>
        <w:spacing w:before="0" w:after="160" w:line="259" w:lineRule="auto"/>
        <w:jc w:val="left"/>
        <w:sectPr w:rsidR="006015CA">
          <w:footerReference w:type="default" r:id="rId10"/>
          <w:pgSz w:w="11906" w:h="16838"/>
          <w:pgMar w:top="1440" w:right="1440" w:bottom="1440" w:left="1440" w:header="708" w:footer="708" w:gutter="0"/>
          <w:lnNumType w:countBy="1" w:restart="continuous"/>
          <w:pgNumType w:start="1"/>
          <w:cols w:space="720"/>
        </w:sectPr>
      </w:pPr>
    </w:p>
    <w:p w14:paraId="2D7F1C17" w14:textId="77777777" w:rsidR="006015CA" w:rsidRDefault="00865F2D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lastRenderedPageBreak/>
        <w:t>Table S4. Summary of the median and range (10</w:t>
      </w:r>
      <w:r>
        <w:rPr>
          <w:rFonts w:ascii="Calibri" w:hAnsi="Calibri"/>
          <w:color w:val="000000"/>
          <w:sz w:val="20"/>
          <w:szCs w:val="20"/>
          <w:vertAlign w:val="superscript"/>
        </w:rPr>
        <w:t>th</w:t>
      </w:r>
      <w:r>
        <w:rPr>
          <w:rFonts w:ascii="Calibri" w:hAnsi="Calibri"/>
          <w:color w:val="000000"/>
          <w:sz w:val="20"/>
          <w:szCs w:val="20"/>
        </w:rPr>
        <w:t xml:space="preserve"> to 90</w:t>
      </w:r>
      <w:r>
        <w:rPr>
          <w:rFonts w:ascii="Calibri" w:hAnsi="Calibri"/>
          <w:color w:val="000000"/>
          <w:sz w:val="20"/>
          <w:szCs w:val="20"/>
          <w:vertAlign w:val="superscript"/>
        </w:rPr>
        <w:t>th</w:t>
      </w:r>
      <w:r>
        <w:rPr>
          <w:rFonts w:ascii="Calibri" w:hAnsi="Calibri"/>
          <w:color w:val="000000"/>
          <w:sz w:val="20"/>
          <w:szCs w:val="20"/>
        </w:rPr>
        <w:t xml:space="preserve"> percentile) of changes to mean and extreme precipitation per degree of global warming (%/K) from downscaled and host models for Australian greater capital city regions.  </w:t>
      </w:r>
    </w:p>
    <w:tbl>
      <w:tblPr>
        <w:tblStyle w:val="a2"/>
        <w:tblW w:w="11454" w:type="dxa"/>
        <w:jc w:val="center"/>
        <w:tblLayout w:type="fixed"/>
        <w:tblLook w:val="0400" w:firstRow="0" w:lastRow="0" w:firstColumn="0" w:lastColumn="0" w:noHBand="0" w:noVBand="1"/>
      </w:tblPr>
      <w:tblGrid>
        <w:gridCol w:w="1134"/>
        <w:gridCol w:w="1134"/>
        <w:gridCol w:w="1531"/>
        <w:gridCol w:w="1531"/>
        <w:gridCol w:w="1531"/>
        <w:gridCol w:w="1531"/>
        <w:gridCol w:w="1531"/>
        <w:gridCol w:w="1531"/>
      </w:tblGrid>
      <w:tr w:rsidR="006015CA" w14:paraId="2D7F1C20" w14:textId="77777777">
        <w:trPr>
          <w:trHeight w:val="454"/>
          <w:jc w:val="center"/>
        </w:trPr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8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9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Model Type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99th percentile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99.7th percentile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1 in 10 AEP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1 in 50 AEP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1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1 in 100 AEP</w:t>
            </w:r>
          </w:p>
        </w:tc>
      </w:tr>
      <w:tr w:rsidR="006015CA" w14:paraId="2D7F1C29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21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ACT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22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(-5.8 - 5.7)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(-1.8 - 6.4)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(-1.4 - 8.7)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(1 - 12.3)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(0.5 - 16.6)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(-0.3 - 19)</w:t>
            </w:r>
          </w:p>
        </w:tc>
      </w:tr>
      <w:tr w:rsidR="006015CA" w14:paraId="2D7F1C32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000000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2A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2B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(-5.2 - 3.2)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(-1.7 - 5.2)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(-0.6 - 6.5)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2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(0.4 - 8.4)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(-2.2 - 12)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(-4.1 - 15.7)</w:t>
            </w:r>
          </w:p>
        </w:tc>
      </w:tr>
      <w:tr w:rsidR="006015CA" w14:paraId="2D7F1C3B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33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Adelaide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34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(-11 - 2.8)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(-6.5 - 4.8)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(-4.4 - 6.7)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(-4 - 8.3)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(-5.1 - 12.5)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(-5.9 - 15.5)</w:t>
            </w:r>
          </w:p>
        </w:tc>
      </w:tr>
      <w:tr w:rsidR="006015CA" w14:paraId="2D7F1C44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3C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3D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(-7.5 - 0.3)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3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(-6 - 5.9)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(-2.6 - 9.2)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(-3.4 - 12.4)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(-5.3 - 19.2)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(-6.1 - 21.9)</w:t>
            </w:r>
          </w:p>
        </w:tc>
      </w:tr>
      <w:tr w:rsidR="006015CA" w14:paraId="2D7F1C4D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45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Brisbane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46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(-6.3 - 4.2)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(-7.4 - 3.8)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(-7 - 5.2)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(-4.4 - 11)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(-4.3 - 15.1)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4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(-5 - 17.8)</w:t>
            </w:r>
          </w:p>
        </w:tc>
      </w:tr>
      <w:tr w:rsidR="006015CA" w14:paraId="2D7F1C56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4E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4F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(-6.5 - 3.3)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(-4.4 - 4.8)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(-3.8 - 6.6)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(-2.2 - 8.6)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(-4.9 - 14.4)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(-8 - 17.2)</w:t>
            </w:r>
          </w:p>
        </w:tc>
      </w:tr>
      <w:tr w:rsidR="006015CA" w14:paraId="2D7F1C5F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57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Darwin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58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(-5.9 - 5.6)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(-5.4 - 7.1)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(-6 - 11.6)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(-2.2 - 14.7)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(-2.5 - 20.8)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5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11.9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(-2.6 - 24.6)</w:t>
            </w:r>
          </w:p>
        </w:tc>
      </w:tr>
      <w:tr w:rsidR="006015CA" w14:paraId="2D7F1C68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60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61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(-6.9 - 3.8)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(-0.6 - 6.9)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(2.8 - 10)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(3.5 - 13.6)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(3.5 - 19.1)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(3.4 - 21.3)</w:t>
            </w:r>
          </w:p>
        </w:tc>
      </w:tr>
      <w:tr w:rsidR="006015CA" w14:paraId="2D7F1C71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69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Hobart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6A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(-5.9 - 2.6)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(-3.9 - 4.4)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(-2.2 - 6.4)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(-0.3 - 10)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6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(-2.3 - 12.7)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(-3.6 - 14.2)</w:t>
            </w:r>
          </w:p>
        </w:tc>
      </w:tr>
      <w:tr w:rsidR="006015CA" w14:paraId="2D7F1C7A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72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73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(-2.6 - 2.7)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(-0.8 - 6.3)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(-0.7 - 6.9)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(0 - 10.7)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(0.6 - 14)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(-0.2 - 15.3)</w:t>
            </w:r>
          </w:p>
        </w:tc>
      </w:tr>
      <w:tr w:rsidR="006015CA" w14:paraId="2D7F1C83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7B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Melbourne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7C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(-7.3 - 2.3)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(-2.2 - 5.8)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7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(-1.5 - 6.7)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(-1 - 10.4)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(-3.5 - 14.6)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(-5.9 - 16.8)</w:t>
            </w:r>
          </w:p>
        </w:tc>
      </w:tr>
      <w:tr w:rsidR="006015CA" w14:paraId="2D7F1C8C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84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85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(-6.1 - 0.2)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7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(-1.8 - 4.9)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(-0.8 - 7)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(-1.2 - 10.2)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(-1.7 - 13.6)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(-2.9 - 14.2)</w:t>
            </w:r>
          </w:p>
        </w:tc>
      </w:tr>
      <w:tr w:rsidR="006015CA" w14:paraId="2D7F1C95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8D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Perth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8E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8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-9.3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(-15.5 - -4.4)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0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(-11 - -0.1)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(-8 - 2)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(-4.7 - 9.6)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(-3.4 - 15.5)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(-4.9 - 17.9)</w:t>
            </w:r>
          </w:p>
        </w:tc>
      </w:tr>
      <w:tr w:rsidR="006015CA" w14:paraId="2D7F1C9E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96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97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8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-9.4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(-12.3 - -5.2)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9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(-8.6 - -1.5)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(-6.4 - 2.4)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(-5.1 - 9)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(-5.7 - 14.5)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9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(-6.3 - 18.1)</w:t>
            </w:r>
          </w:p>
        </w:tc>
      </w:tr>
      <w:tr w:rsidR="006015CA" w14:paraId="2D7F1CA7" w14:textId="77777777">
        <w:trPr>
          <w:trHeight w:val="20"/>
          <w:jc w:val="center"/>
        </w:trPr>
        <w:tc>
          <w:tcPr>
            <w:tcW w:w="1134" w:type="dxa"/>
            <w:vMerge w:val="restart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7F1C9F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Sydney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D7F1CA0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Downscaled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1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(-4.1 - 6)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2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-0.4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(-5.1 - 4.5)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3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(-3.2 - 6.2)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4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(-2.3 - 9.6)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5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(-1.9 - 14.4)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D7F1CA6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7.3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(-1.7 - 17)</w:t>
            </w:r>
          </w:p>
        </w:tc>
      </w:tr>
      <w:tr w:rsidR="006015CA" w14:paraId="2D7F1CB0" w14:textId="77777777">
        <w:trPr>
          <w:trHeight w:val="20"/>
          <w:jc w:val="center"/>
        </w:trPr>
        <w:tc>
          <w:tcPr>
            <w:tcW w:w="1134" w:type="dxa"/>
            <w:vMerge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7F1CA8" w14:textId="77777777" w:rsidR="006015CA" w:rsidRDefault="0060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7F1CA9" w14:textId="77777777" w:rsidR="006015CA" w:rsidRDefault="00865F2D">
            <w:pPr>
              <w:spacing w:before="0" w:after="0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A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(-4 - 3.2)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B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(-3 - 3.6)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C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2.5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(-1.8 - 5.2)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D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3.4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(-1.6 - 8.7)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E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4.2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(-2 - 10.7)</w:t>
            </w:r>
          </w:p>
        </w:tc>
        <w:tc>
          <w:tcPr>
            <w:tcW w:w="1531" w:type="dxa"/>
            <w:tcBorders>
              <w:top w:val="single" w:sz="4" w:space="0" w:color="A6A6A6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F1CAF" w14:textId="77777777" w:rsidR="006015CA" w:rsidRDefault="00865F2D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5.7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(-2.2 - 13.8)</w:t>
            </w:r>
          </w:p>
        </w:tc>
      </w:tr>
    </w:tbl>
    <w:p w14:paraId="2D7F1CB1" w14:textId="77777777" w:rsidR="006015CA" w:rsidRDefault="006015CA"/>
    <w:sectPr w:rsidR="006015CA">
      <w:pgSz w:w="16838" w:h="11906" w:orient="landscape"/>
      <w:pgMar w:top="1440" w:right="1440" w:bottom="1440" w:left="1440" w:header="708" w:footer="708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E94CF" w14:textId="77777777" w:rsidR="00B36EBD" w:rsidRDefault="00B36EBD">
      <w:pPr>
        <w:spacing w:before="0" w:after="0"/>
      </w:pPr>
      <w:r>
        <w:separator/>
      </w:r>
    </w:p>
  </w:endnote>
  <w:endnote w:type="continuationSeparator" w:id="0">
    <w:p w14:paraId="48266B39" w14:textId="77777777" w:rsidR="00B36EBD" w:rsidRDefault="00B36EB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 SI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1CB9" w14:textId="780507A2" w:rsidR="006015CA" w:rsidRDefault="00865F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jc w:val="right"/>
      <w:rPr>
        <w:rFonts w:ascii="Calibri" w:hAnsi="Calibri"/>
        <w:color w:val="000000"/>
      </w:rPr>
    </w:pPr>
    <w:r>
      <w:rPr>
        <w:rFonts w:ascii="Calibri" w:hAnsi="Calibri"/>
        <w:color w:val="000000"/>
      </w:rPr>
      <w:fldChar w:fldCharType="begin"/>
    </w:r>
    <w:r>
      <w:rPr>
        <w:rFonts w:ascii="Calibri" w:hAnsi="Calibri"/>
        <w:color w:val="000000"/>
      </w:rPr>
      <w:instrText>PAGE</w:instrText>
    </w:r>
    <w:r>
      <w:rPr>
        <w:rFonts w:ascii="Calibri" w:hAnsi="Calibri"/>
        <w:color w:val="000000"/>
      </w:rPr>
      <w:fldChar w:fldCharType="separate"/>
    </w:r>
    <w:r w:rsidR="00E36662">
      <w:rPr>
        <w:rFonts w:ascii="Calibri" w:hAnsi="Calibri"/>
        <w:noProof/>
        <w:color w:val="000000"/>
      </w:rPr>
      <w:t>1</w:t>
    </w:r>
    <w:r>
      <w:rPr>
        <w:rFonts w:ascii="Calibri" w:hAnsi="Calibri"/>
        <w:color w:val="000000"/>
      </w:rPr>
      <w:fldChar w:fldCharType="end"/>
    </w:r>
  </w:p>
  <w:p w14:paraId="2D7F1CBA" w14:textId="77777777" w:rsidR="006015CA" w:rsidRDefault="006015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ascii="Calibri" w:hAnsi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81F75" w14:textId="77777777" w:rsidR="00B36EBD" w:rsidRDefault="00B36EBD">
      <w:pPr>
        <w:spacing w:before="0" w:after="0"/>
      </w:pPr>
      <w:r>
        <w:separator/>
      </w:r>
    </w:p>
  </w:footnote>
  <w:footnote w:type="continuationSeparator" w:id="0">
    <w:p w14:paraId="2CAB87DA" w14:textId="77777777" w:rsidR="00B36EBD" w:rsidRDefault="00B36EB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50C5"/>
    <w:multiLevelType w:val="multilevel"/>
    <w:tmpl w:val="AB50AFF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566694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5CA"/>
    <w:rsid w:val="000C3131"/>
    <w:rsid w:val="00115A48"/>
    <w:rsid w:val="002320F4"/>
    <w:rsid w:val="0040462B"/>
    <w:rsid w:val="005512DF"/>
    <w:rsid w:val="006015CA"/>
    <w:rsid w:val="0068358F"/>
    <w:rsid w:val="00865F2D"/>
    <w:rsid w:val="00B36EBD"/>
    <w:rsid w:val="00E36662"/>
    <w:rsid w:val="00F05A6F"/>
    <w:rsid w:val="00F1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1B0C"/>
  <w15:docId w15:val="{227C7ED8-3514-46FD-9B47-2BD6A249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229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91"/>
    <w:pPr>
      <w:keepNext/>
      <w:keepLines/>
      <w:numPr>
        <w:numId w:val="1"/>
      </w:numPr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591"/>
    <w:pPr>
      <w:keepNext/>
      <w:keepLines/>
      <w:numPr>
        <w:ilvl w:val="1"/>
        <w:numId w:val="1"/>
      </w:numPr>
      <w:outlineLvl w:val="1"/>
    </w:pPr>
    <w:rPr>
      <w:rFonts w:eastAsiaTheme="majorEastAsia" w:cs="Times New Roman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591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35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5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5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5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5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5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63591"/>
    <w:rPr>
      <w:rFonts w:ascii="Times New Roman" w:eastAsiaTheme="majorEastAsia" w:hAnsi="Times New Roman" w:cstheme="majorBidi"/>
      <w:b/>
      <w:kern w:val="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3591"/>
    <w:rPr>
      <w:rFonts w:ascii="Times New Roman" w:eastAsiaTheme="majorEastAsia" w:hAnsi="Times New Roman" w:cs="Times New Roman"/>
      <w:kern w:val="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63591"/>
    <w:rPr>
      <w:rFonts w:ascii="Times New Roman" w:eastAsiaTheme="majorEastAsia" w:hAnsi="Times New Roman" w:cstheme="majorBidi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63591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591"/>
    <w:rPr>
      <w:rFonts w:asciiTheme="majorHAnsi" w:eastAsiaTheme="majorEastAsia" w:hAnsiTheme="majorHAnsi" w:cstheme="majorBidi"/>
      <w:color w:val="2F5496" w:themeColor="accent1" w:themeShade="BF"/>
      <w:kern w:val="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591"/>
    <w:rPr>
      <w:rFonts w:asciiTheme="majorHAnsi" w:eastAsiaTheme="majorEastAsia" w:hAnsiTheme="majorHAnsi" w:cstheme="majorBidi"/>
      <w:color w:val="1F3763" w:themeColor="accent1" w:themeShade="7F"/>
      <w:kern w:val="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591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591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591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paragraph" w:styleId="ListParagraph">
    <w:name w:val="List Paragraph"/>
    <w:basedOn w:val="Normal"/>
    <w:uiPriority w:val="34"/>
    <w:qFormat/>
    <w:rsid w:val="00937BAA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3A79AD"/>
  </w:style>
  <w:style w:type="paragraph" w:customStyle="1" w:styleId="Default">
    <w:name w:val="Default"/>
    <w:rsid w:val="004431B4"/>
    <w:pPr>
      <w:autoSpaceDE w:val="0"/>
      <w:autoSpaceDN w:val="0"/>
      <w:adjustRightInd w:val="0"/>
      <w:spacing w:after="0"/>
    </w:pPr>
    <w:rPr>
      <w:rFonts w:ascii="Charis SIL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48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48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48DA"/>
    <w:rPr>
      <w:rFonts w:ascii="Calibri Light" w:hAnsi="Calibri Light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8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8DA"/>
    <w:rPr>
      <w:rFonts w:ascii="Calibri Light" w:hAnsi="Calibri Light"/>
      <w:b/>
      <w:bCs/>
      <w:kern w:val="0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A6FE4"/>
    <w:rPr>
      <w:color w:val="0000FF"/>
      <w:u w:val="single"/>
    </w:rPr>
  </w:style>
  <w:style w:type="table" w:styleId="TableGrid">
    <w:name w:val="Table Grid"/>
    <w:basedOn w:val="TableNormal"/>
    <w:uiPriority w:val="39"/>
    <w:rsid w:val="0059753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aliases w:val="Caption_table"/>
    <w:basedOn w:val="Normal"/>
    <w:next w:val="Normal"/>
    <w:uiPriority w:val="35"/>
    <w:unhideWhenUsed/>
    <w:qFormat/>
    <w:rsid w:val="005C4B23"/>
    <w:pPr>
      <w:spacing w:before="0" w:after="200"/>
      <w:jc w:val="left"/>
    </w:pPr>
    <w:rPr>
      <w:iCs/>
      <w:szCs w:val="18"/>
    </w:rPr>
  </w:style>
  <w:style w:type="paragraph" w:styleId="NoSpacing">
    <w:name w:val="No Spacing"/>
    <w:uiPriority w:val="1"/>
    <w:qFormat/>
    <w:rsid w:val="005C4B23"/>
    <w:pPr>
      <w:spacing w:after="0"/>
    </w:pPr>
    <w:rPr>
      <w:rFonts w:ascii="Calibri Light" w:hAnsi="Calibri Light"/>
    </w:rPr>
  </w:style>
  <w:style w:type="character" w:styleId="LineNumber">
    <w:name w:val="line number"/>
    <w:basedOn w:val="DefaultParagraphFont"/>
    <w:uiPriority w:val="99"/>
    <w:semiHidden/>
    <w:unhideWhenUsed/>
    <w:rsid w:val="00C06D4A"/>
  </w:style>
  <w:style w:type="paragraph" w:styleId="Header">
    <w:name w:val="header"/>
    <w:basedOn w:val="Normal"/>
    <w:link w:val="HeaderChar"/>
    <w:uiPriority w:val="99"/>
    <w:unhideWhenUsed/>
    <w:rsid w:val="00871B0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71B09"/>
    <w:rPr>
      <w:rFonts w:ascii="Calibri Light" w:hAnsi="Calibri Light"/>
      <w:kern w:val="0"/>
    </w:rPr>
  </w:style>
  <w:style w:type="paragraph" w:styleId="Footer">
    <w:name w:val="footer"/>
    <w:basedOn w:val="Normal"/>
    <w:link w:val="FooterChar"/>
    <w:uiPriority w:val="99"/>
    <w:unhideWhenUsed/>
    <w:rsid w:val="00871B0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71B09"/>
    <w:rPr>
      <w:rFonts w:ascii="Calibri Light" w:hAnsi="Calibri Light"/>
      <w:kern w:val="0"/>
    </w:rPr>
  </w:style>
  <w:style w:type="paragraph" w:styleId="Revision">
    <w:name w:val="Revision"/>
    <w:hidden/>
    <w:uiPriority w:val="99"/>
    <w:semiHidden/>
    <w:rsid w:val="00036CAA"/>
    <w:pPr>
      <w:spacing w:after="0"/>
    </w:pPr>
    <w:rPr>
      <w:rFonts w:ascii="Calibri Light" w:hAnsi="Calibri Ligh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/2wfuSgAWDAk4uOraqfXzYThA==">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900</Words>
  <Characters>5133</Characters>
  <Application>Microsoft Office Word</Application>
  <DocSecurity>0</DocSecurity>
  <Lines>42</Lines>
  <Paragraphs>12</Paragraphs>
  <ScaleCrop>false</ScaleCrop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Rohan Eccles</dc:creator>
  <cp:lastModifiedBy>Rohan Eccles</cp:lastModifiedBy>
  <cp:revision>3</cp:revision>
  <dcterms:created xsi:type="dcterms:W3CDTF">2025-03-21T03:32:00Z</dcterms:created>
  <dcterms:modified xsi:type="dcterms:W3CDTF">2025-03-21T03:32:00Z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zotero-version="6.0.23"&gt;&lt;session id="6qGOwK2F"/&gt;&lt;style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