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306B0">
      <w:pPr>
        <w:rPr>
          <w:rFonts w:hint="eastAsia" w:eastAsia="宋体" w:cs="Times New Roman"/>
          <w:b/>
          <w:bCs/>
          <w:color w:val="000000"/>
          <w:sz w:val="20"/>
          <w:szCs w:val="20"/>
          <w:lang w:val="en-US" w:eastAsia="zh-CN"/>
        </w:rPr>
      </w:pPr>
      <w:r>
        <w:rPr>
          <w:rFonts w:eastAsia="宋体" w:cs="Times New Roman"/>
          <w:b/>
          <w:bCs/>
          <w:color w:val="000000"/>
          <w:sz w:val="20"/>
          <w:szCs w:val="20"/>
        </w:rPr>
        <w:t xml:space="preserve">Appendix A Variable </w:t>
      </w:r>
      <w:r>
        <w:rPr>
          <w:rFonts w:hint="eastAsia" w:eastAsia="宋体" w:cs="Times New Roman"/>
          <w:b/>
          <w:bCs/>
          <w:color w:val="000000"/>
          <w:sz w:val="20"/>
          <w:szCs w:val="20"/>
          <w:lang w:val="en-US" w:eastAsia="zh-CN"/>
        </w:rPr>
        <w:t>d</w:t>
      </w:r>
      <w:r>
        <w:rPr>
          <w:rFonts w:eastAsia="宋体" w:cs="Times New Roman"/>
          <w:b/>
          <w:bCs/>
          <w:color w:val="000000"/>
          <w:sz w:val="20"/>
          <w:szCs w:val="20"/>
        </w:rPr>
        <w:t>efinition</w:t>
      </w:r>
      <w:r>
        <w:rPr>
          <w:rFonts w:hint="eastAsia" w:eastAsia="宋体" w:cs="Times New Roman"/>
          <w:b/>
          <w:bCs/>
          <w:color w:val="000000"/>
          <w:sz w:val="20"/>
          <w:szCs w:val="20"/>
          <w:lang w:val="en-US" w:eastAsia="zh-CN"/>
        </w:rPr>
        <w:t>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742"/>
        <w:gridCol w:w="1440"/>
        <w:gridCol w:w="7696"/>
      </w:tblGrid>
      <w:tr w14:paraId="08F0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60445BCD">
            <w:pP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320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E4040B5">
            <w:pP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  <w:t>Variable Name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FE09B3E">
            <w:pP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2715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95CC185">
            <w:pP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  <w:t>Variable Definition</w:t>
            </w:r>
          </w:p>
        </w:tc>
      </w:tr>
      <w:tr w14:paraId="56F7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33BDF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Dependent Variables</w:t>
            </w:r>
          </w:p>
        </w:tc>
        <w:tc>
          <w:tcPr>
            <w:tcW w:w="132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1D51B">
            <w:pPr>
              <w:jc w:val="left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Corporate Active Environmental Investment (CAEI)</w:t>
            </w:r>
          </w:p>
        </w:tc>
        <w:tc>
          <w:tcPr>
            <w:tcW w:w="50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F7B32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ACT_ENVI</w:t>
            </w:r>
          </w:p>
        </w:tc>
        <w:tc>
          <w:tcPr>
            <w:tcW w:w="271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0AF86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Logarithm of the company’s environmental investment exceeding the industry median in that year.</w:t>
            </w:r>
          </w:p>
        </w:tc>
      </w:tr>
      <w:tr w14:paraId="7855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C6A4E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A2258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Environmental Subsidy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66EDB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E_SUBSIDY</w:t>
            </w:r>
          </w:p>
        </w:tc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1A5A8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Natural logarithm of the environmental subsidy provided to the company by the government.</w:t>
            </w:r>
          </w:p>
        </w:tc>
      </w:tr>
      <w:tr w14:paraId="5EBC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C3636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71DE1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Effective Tax Rate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8DAD9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EFF_TAX</w:t>
            </w:r>
          </w:p>
        </w:tc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DEEE5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Ratio of income tax expenses to pre-tax profits.</w:t>
            </w:r>
          </w:p>
        </w:tc>
      </w:tr>
      <w:tr w14:paraId="7D99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DD3FB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438B7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Financing Constraints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101E4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KZ</w:t>
            </w:r>
          </w:p>
        </w:tc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25D09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 xml:space="preserve">Calculation method: financing constraint = -6.315 × net cash flow from operating activities/total assets at the beginning of the year + 0.460 × Tobin’s Q value + 3.291 × total liabilities at year-end/total assets at the beginning of the year </w:t>
            </w:r>
            <w:r>
              <w:rPr>
                <w:rFonts w:hint="eastAsia" w:eastAsia="宋体" w:cs="Times New Roman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eastAsia="宋体" w:cs="Times New Roman"/>
                <w:color w:val="000000"/>
                <w:sz w:val="20"/>
                <w:szCs w:val="20"/>
              </w:rPr>
              <w:t xml:space="preserve"> 39.356 × cash paid for dividends, profits, or interest payments/total assets at the beginning of the year </w:t>
            </w:r>
            <w:r>
              <w:rPr>
                <w:rFonts w:hint="eastAsia" w:eastAsia="宋体" w:cs="Times New Roman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eastAsia="宋体" w:cs="Times New Roman"/>
                <w:color w:val="000000"/>
                <w:sz w:val="20"/>
                <w:szCs w:val="20"/>
              </w:rPr>
              <w:t xml:space="preserve"> 3.949 × ending balance of cash and cash equivalents/total assets at the beginning of the year.</w:t>
            </w:r>
          </w:p>
        </w:tc>
      </w:tr>
      <w:tr w14:paraId="73F2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5769D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Independent Variable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92D82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Government Green Development Attention (GDA)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C66CB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ATTEN_ENVI</w:t>
            </w:r>
          </w:p>
        </w:tc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037DB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Proportion of the number of words discussing environmental issues in government work reports to the total number of words in the reports.</w:t>
            </w:r>
          </w:p>
        </w:tc>
      </w:tr>
      <w:tr w14:paraId="26EB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0BA4B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Control Variables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66099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Corporate Size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5188D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05151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Natural logarithm of total assets.</w:t>
            </w:r>
          </w:p>
        </w:tc>
      </w:tr>
      <w:tr w14:paraId="68DD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BCC35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1C429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Profitability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FF743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ROA</w:t>
            </w:r>
          </w:p>
        </w:tc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7B53C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Ratio of net profit to total assets.</w:t>
            </w:r>
          </w:p>
        </w:tc>
      </w:tr>
      <w:tr w14:paraId="3B20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D9B66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B203E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Financial Leverage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21FF5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LEV</w:t>
            </w:r>
          </w:p>
        </w:tc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992FA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Ratio of total liabilities to total assets.</w:t>
            </w:r>
          </w:p>
        </w:tc>
      </w:tr>
      <w:tr w14:paraId="41A3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5C60C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60708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Shareholding of Largest Shareholder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BD5F3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TOP1</w:t>
            </w:r>
          </w:p>
        </w:tc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C0D52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Ratio of shares held by the largest shareholder to total shares outstanding.</w:t>
            </w:r>
          </w:p>
        </w:tc>
      </w:tr>
      <w:tr w14:paraId="262A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70830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EE577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Asset Turnover Ratio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D5EE0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TAT</w:t>
            </w:r>
          </w:p>
        </w:tc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CD2B6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Ratio of operating revenue to total assets.</w:t>
            </w:r>
          </w:p>
        </w:tc>
      </w:tr>
      <w:tr w14:paraId="2D95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EE5BD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30067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Growth Ability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05145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GROWTH</w:t>
            </w:r>
          </w:p>
        </w:tc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6F365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 xml:space="preserve">Calculation method: growth ability = (operating revenue </w:t>
            </w:r>
            <w:r>
              <w:rPr>
                <w:rFonts w:hint="eastAsia" w:eastAsia="宋体" w:cs="Times New Roman"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eastAsia="宋体" w:cs="Times New Roman"/>
                <w:color w:val="000000"/>
                <w:sz w:val="20"/>
                <w:szCs w:val="20"/>
              </w:rPr>
              <w:t xml:space="preserve"> operating revenue from the previous year)/operating revenue from the previous year.</w:t>
            </w:r>
          </w:p>
        </w:tc>
      </w:tr>
      <w:tr w14:paraId="1F64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28B91E8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Moderating Variables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8C2D4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Ownership Nature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C300E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SOE</w:t>
            </w:r>
          </w:p>
        </w:tc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D8EDA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Whether the corporation is state-owned in the current year: 1 if yes, 0 if no.</w:t>
            </w:r>
          </w:p>
        </w:tc>
      </w:tr>
      <w:tr w14:paraId="10A2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75A3664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847C2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Heavy Polluting Nature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DA003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POLLUTED</w:t>
            </w:r>
          </w:p>
        </w:tc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106A7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Whether the corporation belongs to an industry listed in the 2008 Environmental Inspection Industry Classification Management Directory that requires environmental inspections: 1 if yes, 0 if no.</w:t>
            </w:r>
          </w:p>
        </w:tc>
      </w:tr>
      <w:tr w14:paraId="6538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C444A31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3AA3F84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Mayor C</w:t>
            </w:r>
            <w:r>
              <w:rPr>
                <w:rFonts w:hint="eastAsia" w:eastAsia="宋体" w:cs="Times New Roman"/>
                <w:color w:val="000000"/>
                <w:sz w:val="20"/>
                <w:szCs w:val="20"/>
              </w:rPr>
              <w:t>hange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059BF22">
            <w:pP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i/>
                <w:iCs/>
                <w:color w:val="000000"/>
                <w:sz w:val="20"/>
                <w:szCs w:val="20"/>
              </w:rPr>
              <w:t>MAYOR</w:t>
            </w:r>
          </w:p>
        </w:tc>
        <w:tc>
          <w:tcPr>
            <w:tcW w:w="271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8A3C53F">
            <w:pPr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Whether the corporation’s city mayor is in their first or second year in office: 1 if yes, 0 if no.</w:t>
            </w:r>
          </w:p>
        </w:tc>
      </w:tr>
    </w:tbl>
    <w:p w14:paraId="3BD4B109">
      <w:pPr>
        <w:rPr>
          <w:rFonts w:hint="eastAsia" w:eastAsia="宋体" w:cs="Times New Roman"/>
          <w:b/>
          <w:bCs/>
          <w:color w:val="000000"/>
          <w:sz w:val="20"/>
          <w:szCs w:val="20"/>
          <w:lang w:val="en-US" w:eastAsia="zh-CN"/>
        </w:rPr>
      </w:pPr>
      <w:r>
        <w:rPr>
          <w:rFonts w:eastAsia="宋体" w:cs="Times New Roman"/>
          <w:b/>
          <w:bCs/>
          <w:color w:val="000000"/>
          <w:sz w:val="20"/>
          <w:szCs w:val="20"/>
        </w:rPr>
        <w:t xml:space="preserve">Appendix B Sample </w:t>
      </w:r>
      <w:r>
        <w:rPr>
          <w:rFonts w:hint="eastAsia" w:eastAsia="宋体" w:cs="Times New Roman"/>
          <w:b/>
          <w:bCs/>
          <w:color w:val="000000"/>
          <w:sz w:val="20"/>
          <w:szCs w:val="20"/>
          <w:lang w:val="en-US" w:eastAsia="zh-CN"/>
        </w:rPr>
        <w:t>d</w:t>
      </w:r>
      <w:r>
        <w:rPr>
          <w:rFonts w:eastAsia="宋体" w:cs="Times New Roman"/>
          <w:b/>
          <w:bCs/>
          <w:color w:val="000000"/>
          <w:sz w:val="20"/>
          <w:szCs w:val="20"/>
        </w:rPr>
        <w:t xml:space="preserve">istribution by </w:t>
      </w:r>
      <w:r>
        <w:rPr>
          <w:rFonts w:hint="eastAsia" w:eastAsia="宋体" w:cs="Times New Roman"/>
          <w:b/>
          <w:bCs/>
          <w:color w:val="000000"/>
          <w:sz w:val="20"/>
          <w:szCs w:val="20"/>
          <w:lang w:val="en-US" w:eastAsia="zh-CN"/>
        </w:rPr>
        <w:t>i</w:t>
      </w:r>
      <w:r>
        <w:rPr>
          <w:rFonts w:eastAsia="宋体" w:cs="Times New Roman"/>
          <w:b/>
          <w:bCs/>
          <w:color w:val="000000"/>
          <w:sz w:val="20"/>
          <w:szCs w:val="20"/>
        </w:rPr>
        <w:t xml:space="preserve">ndustry and </w:t>
      </w:r>
      <w:r>
        <w:rPr>
          <w:rFonts w:hint="eastAsia" w:eastAsia="宋体" w:cs="Times New Roman"/>
          <w:b/>
          <w:bCs/>
          <w:color w:val="000000"/>
          <w:sz w:val="20"/>
          <w:szCs w:val="20"/>
          <w:lang w:val="en-US" w:eastAsia="zh-CN"/>
        </w:rPr>
        <w:t>y</w:t>
      </w:r>
      <w:r>
        <w:rPr>
          <w:rFonts w:eastAsia="宋体" w:cs="Times New Roman"/>
          <w:b/>
          <w:bCs/>
          <w:color w:val="000000"/>
          <w:sz w:val="20"/>
          <w:szCs w:val="20"/>
        </w:rPr>
        <w:t>ear</w:t>
      </w:r>
      <w:r>
        <w:rPr>
          <w:rFonts w:hint="eastAsia" w:eastAsia="宋体" w:cs="Times New Roman"/>
          <w:b/>
          <w:bCs/>
          <w:color w:val="000000"/>
          <w:sz w:val="20"/>
          <w:szCs w:val="20"/>
          <w:lang w:val="en-US" w:eastAsia="zh-CN"/>
        </w:rPr>
        <w:t>.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339"/>
        <w:gridCol w:w="2339"/>
        <w:gridCol w:w="482"/>
        <w:gridCol w:w="2225"/>
        <w:gridCol w:w="2225"/>
        <w:gridCol w:w="2222"/>
      </w:tblGrid>
      <w:tr w14:paraId="1CAB4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70F647AA">
            <w:pPr>
              <w:jc w:val="center"/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  <w:t>Industry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3722962A">
            <w:pPr>
              <w:jc w:val="center"/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1FF858F3">
            <w:pPr>
              <w:jc w:val="center"/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70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6F2941D3">
            <w:pPr>
              <w:jc w:val="center"/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A59533">
            <w:pPr>
              <w:jc w:val="center"/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66202491">
            <w:pPr>
              <w:jc w:val="center"/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0D4B474C">
            <w:pPr>
              <w:jc w:val="center"/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color w:val="000000"/>
                <w:sz w:val="20"/>
                <w:szCs w:val="20"/>
              </w:rPr>
              <w:t>Percent</w:t>
            </w:r>
          </w:p>
        </w:tc>
      </w:tr>
      <w:tr w14:paraId="13614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0456C24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BD276E8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8E2F25E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1.180</w:t>
            </w:r>
          </w:p>
        </w:tc>
        <w:tc>
          <w:tcPr>
            <w:tcW w:w="170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92146B3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F045C37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3FC8B1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84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15B3B8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2.880</w:t>
            </w:r>
          </w:p>
        </w:tc>
      </w:tr>
      <w:tr w14:paraId="572B5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9FA4F8C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2B75D37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54AB8BE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1.900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D817D87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448192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28E4C0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479527E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3.170</w:t>
            </w:r>
          </w:p>
        </w:tc>
      </w:tr>
      <w:tr w14:paraId="19B6B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AE0BCDB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DAE517A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1,952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3FF4D4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6.220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7443692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AD581F1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F2B63E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1,031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F2ABAE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3.280</w:t>
            </w:r>
          </w:p>
        </w:tc>
      </w:tr>
      <w:tr w14:paraId="69648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AD54753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E1353A8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6,085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06E0C14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19.38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77FD98D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38E983B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A08E8EA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1,327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1DEAD2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4.230</w:t>
            </w:r>
          </w:p>
        </w:tc>
      </w:tr>
      <w:tr w14:paraId="49E1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58D0BDC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2AD1525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12,200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AB8A432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38.86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0E4D478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EB51BAC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28646F2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1,553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13DECBB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4.950</w:t>
            </w:r>
          </w:p>
        </w:tc>
      </w:tr>
      <w:tr w14:paraId="380E9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B598077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9D51F77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CBEAD1A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2.310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F1F209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6CAAB38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67E956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1,676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64A0762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5.340</w:t>
            </w:r>
          </w:p>
        </w:tc>
      </w:tr>
      <w:tr w14:paraId="485E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80BC6CE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9E76B1F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092B59D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3.010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BB2F60C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1F2DB33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FFB284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92AC201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5.420</w:t>
            </w:r>
          </w:p>
        </w:tc>
      </w:tr>
      <w:tr w14:paraId="5708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6876821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434E603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143839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2.270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60A5BC4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15299D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63213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1,725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2036EB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5.490</w:t>
            </w:r>
          </w:p>
        </w:tc>
      </w:tr>
      <w:tr w14:paraId="1DC3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2A13655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E68BF3E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1,420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912078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4.520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9212CBD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363686A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A3F8D2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1,832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1E9B8FF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5.840</w:t>
            </w:r>
          </w:p>
        </w:tc>
      </w:tr>
      <w:tr w14:paraId="60EF9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C1D01F1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47EEF33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A1B44FB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2.540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8E1FA5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27AE29F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BCB08C6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1,999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BBA16A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6.370</w:t>
            </w:r>
          </w:p>
        </w:tc>
      </w:tr>
      <w:tr w14:paraId="479A6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7E24AD5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D5855E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731E7B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F437B91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14E6917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11BD5A3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2,302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F5A06B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7.330</w:t>
            </w:r>
          </w:p>
        </w:tc>
      </w:tr>
      <w:tr w14:paraId="1ADDB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B390D07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36D863D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2,316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C306144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7.380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31D3EE3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4DA8822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AEE1ABB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2,456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A334098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7.820</w:t>
            </w:r>
          </w:p>
        </w:tc>
      </w:tr>
      <w:tr w14:paraId="7135B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8AA1EF4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DDE13F2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1,103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B430681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3.510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CB0E8C6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377E318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914663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2,564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2843CF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8.170</w:t>
            </w:r>
          </w:p>
        </w:tc>
      </w:tr>
      <w:tr w14:paraId="7C2F0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E184543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9CA6EE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732DAD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1.270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77A8C36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633BEB8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7C75282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2,766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69A253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8.810</w:t>
            </w:r>
          </w:p>
        </w:tc>
      </w:tr>
      <w:tr w14:paraId="428C0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FD7B4A7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148F83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3825617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1.300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43AD366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73A7276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AB2519F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3,153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616B55B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10.04</w:t>
            </w:r>
          </w:p>
        </w:tc>
      </w:tr>
      <w:tr w14:paraId="2477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788E53C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27947BF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971DEDE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1.340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66487A8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F5E64D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D9B5B6B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3,412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4F6183D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10.87</w:t>
            </w:r>
          </w:p>
        </w:tc>
      </w:tr>
      <w:tr w14:paraId="361C7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17C3B8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3B41B16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98F5F9F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F312F1B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1E51648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190CA06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F7F325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</w:tr>
      <w:tr w14:paraId="6E5F8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47CECA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580ADDB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DE46435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0.0900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B314D5F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64861CF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0970625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1420D6E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</w:tr>
      <w:tr w14:paraId="089A7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5249633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EB09CA7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B30A0B2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0.220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40D5474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A26FF24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D596F0D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5C94D46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</w:tr>
      <w:tr w14:paraId="49EE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6DC0DA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C4F669C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2D06D3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1.190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B72F50B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D1DA35C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0A2B43E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4F6128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</w:tr>
      <w:tr w14:paraId="09568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6686BC0B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2E31E856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747B0423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1.020</w:t>
            </w:r>
          </w:p>
        </w:tc>
        <w:tc>
          <w:tcPr>
            <w:tcW w:w="17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2F898F9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2C9706A4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3DEC6557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71D6E049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</w:tr>
      <w:tr w14:paraId="11DC2FEA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8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6D71C814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49062636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31,393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38CC448C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26EA7D94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4D119016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450159AF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31,393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4FEBA700">
            <w:pPr>
              <w:jc w:val="center"/>
              <w:rPr>
                <w:rFonts w:eastAsia="宋体"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0F427231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74F3"/>
    <w:rsid w:val="070974F3"/>
    <w:rsid w:val="31EF597B"/>
    <w:rsid w:val="343A32B8"/>
    <w:rsid w:val="5B0C0A32"/>
    <w:rsid w:val="5CA207B0"/>
    <w:rsid w:val="6CA4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2025-04-04T13:27:00Z</dcterms:created>
  <dc:creator>梁柏钧</dc:creator>
  <cp:lastModifiedBy>梁柏钧</cp:lastModifiedBy>
  <dcterms:modified xsi:type="dcterms:W3CDTF">2025-04-04T13:28:52Z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FDC0A972AFD047E6BE64AA272A6EDBB6_11</vt:lpwstr>
  </property>
  <property fmtid="{D5CDD505-2E9C-101B-9397-08002B2CF9AE}" pid="4" name="KSOTemplateDocerSaveRecord">
    <vt:lpwstr>eyJoZGlkIjoiNmJiOTM5MDcwODk4MjE1MjEwMjU3MzFhYjZiNjk5MTgiLCJ1c2VySWQiOiIzMzYxMjI3NTIifQ==</vt:lpwstr>
  </property>
</Properties>
</file>