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F40D" w14:textId="35EC3D7F" w:rsidR="00CA351A" w:rsidRPr="00CA351A" w:rsidRDefault="00CA351A" w:rsidP="00CA351A">
      <w:pPr>
        <w:rPr>
          <w:rFonts w:ascii="Times New Roman" w:hAnsi="Times New Roman" w:cs="Times New Roman"/>
        </w:rPr>
      </w:pPr>
      <w:r w:rsidRPr="00CA351A">
        <w:rPr>
          <w:rFonts w:ascii="Times New Roman" w:hAnsi="Times New Roman" w:cs="Times New Roman"/>
        </w:rPr>
        <w:t xml:space="preserve">Transcriptome Analysis </w:t>
      </w:r>
      <w:r w:rsidRPr="00CA351A">
        <w:rPr>
          <w:rFonts w:ascii="Times New Roman" w:hAnsi="Times New Roman" w:cs="Times New Roman"/>
        </w:rPr>
        <w:t xml:space="preserve">Quality </w:t>
      </w:r>
      <w:r w:rsidRPr="00CA351A">
        <w:rPr>
          <w:rFonts w:ascii="Times New Roman" w:hAnsi="Times New Roman" w:cs="Times New Roman"/>
        </w:rPr>
        <w:t>Report</w:t>
      </w:r>
    </w:p>
    <w:p w14:paraId="2F856360"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1. Project Overview</w:t>
      </w:r>
    </w:p>
    <w:p w14:paraId="2B422CBF"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1.1 Project Information</w:t>
      </w:r>
    </w:p>
    <w:p w14:paraId="24BB712E"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Key Contract Indicators:</w:t>
      </w:r>
    </w:p>
    <w:p w14:paraId="45F1CABA" w14:textId="77777777" w:rsidR="00CA351A" w:rsidRPr="00CA351A" w:rsidRDefault="00CA351A" w:rsidP="00CA351A">
      <w:pPr>
        <w:numPr>
          <w:ilvl w:val="0"/>
          <w:numId w:val="1"/>
        </w:numPr>
        <w:rPr>
          <w:rFonts w:ascii="Times New Roman" w:hAnsi="Times New Roman" w:cs="Times New Roman"/>
        </w:rPr>
      </w:pPr>
      <w:r w:rsidRPr="00CA351A">
        <w:rPr>
          <w:rFonts w:ascii="Times New Roman" w:hAnsi="Times New Roman" w:cs="Times New Roman"/>
        </w:rPr>
        <w:t>Completed transcriptome analysis for two samples.</w:t>
      </w:r>
    </w:p>
    <w:p w14:paraId="67FB1351" w14:textId="77777777" w:rsidR="00CA351A" w:rsidRPr="00CA351A" w:rsidRDefault="00CA351A" w:rsidP="00CA351A">
      <w:pPr>
        <w:numPr>
          <w:ilvl w:val="0"/>
          <w:numId w:val="1"/>
        </w:numPr>
        <w:rPr>
          <w:rFonts w:ascii="Times New Roman" w:hAnsi="Times New Roman" w:cs="Times New Roman"/>
        </w:rPr>
      </w:pPr>
      <w:r w:rsidRPr="00CA351A">
        <w:rPr>
          <w:rFonts w:ascii="Times New Roman" w:hAnsi="Times New Roman" w:cs="Times New Roman"/>
        </w:rPr>
        <w:t>Conducted expression analysis, differential expression analysis, GO enrichment analysis, KEGG enrichment analysis, GSEA enrichment analysis, alternative splicing analysis, variant detection analysis, novel gene annotation, transcription factor analysis, and time-series analysis.</w:t>
      </w:r>
    </w:p>
    <w:p w14:paraId="2620EAC9"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Summary of Analysis Results:</w:t>
      </w:r>
    </w:p>
    <w:p w14:paraId="57DBEB1F" w14:textId="77777777" w:rsidR="00CA351A" w:rsidRPr="00CA351A" w:rsidRDefault="00CA351A" w:rsidP="00CA351A">
      <w:pPr>
        <w:numPr>
          <w:ilvl w:val="0"/>
          <w:numId w:val="2"/>
        </w:numPr>
        <w:rPr>
          <w:rFonts w:ascii="Times New Roman" w:hAnsi="Times New Roman" w:cs="Times New Roman"/>
        </w:rPr>
      </w:pPr>
      <w:r w:rsidRPr="00CA351A">
        <w:rPr>
          <w:rFonts w:ascii="Times New Roman" w:hAnsi="Times New Roman" w:cs="Times New Roman"/>
        </w:rPr>
        <w:t>A total of 2 samples were sequenced, generating 11.78 Gb of data.</w:t>
      </w:r>
    </w:p>
    <w:p w14:paraId="2AD7F6C1" w14:textId="77777777" w:rsidR="00CA351A" w:rsidRPr="00CA351A" w:rsidRDefault="00CA351A" w:rsidP="00CA351A">
      <w:pPr>
        <w:numPr>
          <w:ilvl w:val="0"/>
          <w:numId w:val="2"/>
        </w:numPr>
        <w:rPr>
          <w:rFonts w:ascii="Times New Roman" w:hAnsi="Times New Roman" w:cs="Times New Roman"/>
        </w:rPr>
      </w:pPr>
      <w:r w:rsidRPr="00CA351A">
        <w:rPr>
          <w:rFonts w:ascii="Times New Roman" w:hAnsi="Times New Roman" w:cs="Times New Roman"/>
        </w:rPr>
        <w:t>The Q30 base percentage was 92.91% or higher.</w:t>
      </w:r>
    </w:p>
    <w:p w14:paraId="3A221292" w14:textId="77777777" w:rsidR="00CA351A" w:rsidRPr="00CA351A" w:rsidRDefault="00CA351A" w:rsidP="00CA351A">
      <w:pPr>
        <w:numPr>
          <w:ilvl w:val="0"/>
          <w:numId w:val="2"/>
        </w:numPr>
        <w:rPr>
          <w:rFonts w:ascii="Times New Roman" w:hAnsi="Times New Roman" w:cs="Times New Roman"/>
        </w:rPr>
      </w:pPr>
      <w:r w:rsidRPr="00CA351A">
        <w:rPr>
          <w:rFonts w:ascii="Times New Roman" w:hAnsi="Times New Roman" w:cs="Times New Roman"/>
        </w:rPr>
        <w:t>Clean reads were aligned to the reference genome, with mapping efficiency ranging from 94.38% to 97.32%.</w:t>
      </w:r>
    </w:p>
    <w:p w14:paraId="482F3751" w14:textId="77777777" w:rsidR="00CA351A" w:rsidRPr="00CA351A" w:rsidRDefault="00CA351A" w:rsidP="00CA351A">
      <w:pPr>
        <w:numPr>
          <w:ilvl w:val="0"/>
          <w:numId w:val="2"/>
        </w:numPr>
        <w:rPr>
          <w:rFonts w:ascii="Times New Roman" w:hAnsi="Times New Roman" w:cs="Times New Roman"/>
        </w:rPr>
      </w:pPr>
      <w:r w:rsidRPr="00CA351A">
        <w:rPr>
          <w:rFonts w:ascii="Times New Roman" w:hAnsi="Times New Roman" w:cs="Times New Roman"/>
        </w:rPr>
        <w:t>353 novel genes were detected, with 308 of them annotated with functional information.</w:t>
      </w:r>
    </w:p>
    <w:p w14:paraId="5669F4D1" w14:textId="77777777" w:rsidR="00CA351A" w:rsidRPr="00CA351A" w:rsidRDefault="00CA351A" w:rsidP="00CA351A">
      <w:pPr>
        <w:numPr>
          <w:ilvl w:val="0"/>
          <w:numId w:val="2"/>
        </w:numPr>
        <w:rPr>
          <w:rFonts w:ascii="Times New Roman" w:hAnsi="Times New Roman" w:cs="Times New Roman"/>
        </w:rPr>
      </w:pPr>
      <w:r w:rsidRPr="00CA351A">
        <w:rPr>
          <w:rFonts w:ascii="Times New Roman" w:hAnsi="Times New Roman" w:cs="Times New Roman"/>
        </w:rPr>
        <w:t>Differentially expressed genes were identified based on expression levels in different samples.</w:t>
      </w:r>
    </w:p>
    <w:p w14:paraId="2967A74C" w14:textId="3821C27A" w:rsidR="00CA351A" w:rsidRPr="00CA351A" w:rsidRDefault="00CA351A" w:rsidP="00CA351A">
      <w:pPr>
        <w:numPr>
          <w:ilvl w:val="0"/>
          <w:numId w:val="2"/>
        </w:numPr>
        <w:rPr>
          <w:rFonts w:ascii="Times New Roman" w:hAnsi="Times New Roman" w:cs="Times New Roman"/>
        </w:rPr>
      </w:pPr>
      <w:r w:rsidRPr="00CA351A">
        <w:rPr>
          <w:rFonts w:ascii="Times New Roman" w:hAnsi="Times New Roman" w:cs="Times New Roman"/>
        </w:rPr>
        <w:t>SNP and INDEL variants were detected using GATK software.</w:t>
      </w:r>
    </w:p>
    <w:p w14:paraId="0889CB9B"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1.2 Project Background</w:t>
      </w:r>
    </w:p>
    <w:p w14:paraId="2954A73E"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Transcriptome refers to the complete set of RNA molecules transcribed by a specific tissue or cell at a specific time or condition, including messenger RNA (mRNA), ribosomal RNA (rRNA), transfer RNA (tRNA), and non-coding RNA. In a narrower sense, it specifically refers to all mRNA molecules.</w:t>
      </w:r>
    </w:p>
    <w:p w14:paraId="2FA0B643"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RNA sequencing (RNA-seq) is a high-throughput sequencing technique that profiles all mRNA transcripts under specific conditions. It not only enables mRNA expression profiling but also allows the identification of alternative splicing events, gene fusions, and structural variations.</w:t>
      </w:r>
    </w:p>
    <w:p w14:paraId="437CFFC8"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 xml:space="preserve">As a key component of the central dogma, RNA carries genetic and regulatory information, reflecting the cellular state. High-throughput sequencing has made it possible for RNA molecules to serve as biomarkers for disease diagnosis and prognosis, with mRNA research </w:t>
      </w:r>
      <w:r w:rsidRPr="00CA351A">
        <w:rPr>
          <w:rFonts w:ascii="Times New Roman" w:hAnsi="Times New Roman" w:cs="Times New Roman"/>
        </w:rPr>
        <w:lastRenderedPageBreak/>
        <w:t>being the most extensively studied area.</w:t>
      </w:r>
    </w:p>
    <w:p w14:paraId="5B1BFC7D" w14:textId="518B5E2B" w:rsidR="00CA351A" w:rsidRPr="00CA351A" w:rsidRDefault="00CA351A" w:rsidP="00CA351A">
      <w:pPr>
        <w:rPr>
          <w:rFonts w:ascii="Times New Roman" w:hAnsi="Times New Roman" w:cs="Times New Roman" w:hint="eastAsia"/>
        </w:rPr>
      </w:pPr>
      <w:r w:rsidRPr="00CA351A">
        <w:rPr>
          <w:rFonts w:ascii="Times New Roman" w:hAnsi="Times New Roman" w:cs="Times New Roman"/>
        </w:rPr>
        <w:t xml:space="preserve">Species: </w:t>
      </w:r>
      <w:r w:rsidRPr="00CA351A">
        <w:rPr>
          <w:rFonts w:ascii="Times New Roman" w:hAnsi="Times New Roman" w:cs="Times New Roman"/>
          <w:i/>
          <w:iCs/>
        </w:rPr>
        <w:t>Homo sapiens</w:t>
      </w:r>
      <w:r w:rsidRPr="00CA351A">
        <w:rPr>
          <w:rFonts w:ascii="Times New Roman" w:hAnsi="Times New Roman" w:cs="Times New Roman"/>
        </w:rPr>
        <w:br/>
        <w:t>Reference Genome: GRCh38.87</w:t>
      </w:r>
    </w:p>
    <w:p w14:paraId="5BB23002"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2. Basic Analysis</w:t>
      </w:r>
    </w:p>
    <w:p w14:paraId="5DE8AC71"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2.1 Raw Data Quality Control</w:t>
      </w:r>
    </w:p>
    <w:p w14:paraId="422C6496"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2.1.1 Sequencing Data and Quality Control</w:t>
      </w:r>
    </w:p>
    <w:p w14:paraId="3C1B99CC"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 xml:space="preserve">High-throughput sequencing (e.g., Illumina </w:t>
      </w:r>
      <w:proofErr w:type="spellStart"/>
      <w:r w:rsidRPr="00CA351A">
        <w:rPr>
          <w:rFonts w:ascii="Times New Roman" w:hAnsi="Times New Roman" w:cs="Times New Roman"/>
        </w:rPr>
        <w:t>HiSeq</w:t>
      </w:r>
      <w:proofErr w:type="spellEnd"/>
      <w:r w:rsidRPr="00CA351A">
        <w:rPr>
          <w:rFonts w:ascii="Times New Roman" w:hAnsi="Times New Roman" w:cs="Times New Roman"/>
        </w:rPr>
        <w:t>) generates raw image data files, which are converted into raw sequence data (Raw Data) through base calling (CASAVA). The sequencing results are stored in FASTQ format, containing both sequence and corresponding quality score information.</w:t>
      </w:r>
    </w:p>
    <w:p w14:paraId="09E7EFA5"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Each read in a FASTQ file consists of four lines:</w:t>
      </w:r>
    </w:p>
    <w:p w14:paraId="21E139D3" w14:textId="77777777" w:rsidR="00CA351A" w:rsidRPr="00CA351A" w:rsidRDefault="00CA351A" w:rsidP="00CA351A">
      <w:pPr>
        <w:numPr>
          <w:ilvl w:val="0"/>
          <w:numId w:val="3"/>
        </w:numPr>
        <w:rPr>
          <w:rFonts w:ascii="Times New Roman" w:hAnsi="Times New Roman" w:cs="Times New Roman"/>
        </w:rPr>
      </w:pPr>
      <w:r w:rsidRPr="00CA351A">
        <w:rPr>
          <w:rFonts w:ascii="Times New Roman" w:hAnsi="Times New Roman" w:cs="Times New Roman"/>
        </w:rPr>
        <w:t>Read Identifier (starts with "@")</w:t>
      </w:r>
    </w:p>
    <w:p w14:paraId="587425EC" w14:textId="77777777" w:rsidR="00CA351A" w:rsidRPr="00CA351A" w:rsidRDefault="00CA351A" w:rsidP="00CA351A">
      <w:pPr>
        <w:numPr>
          <w:ilvl w:val="0"/>
          <w:numId w:val="3"/>
        </w:numPr>
        <w:rPr>
          <w:rFonts w:ascii="Times New Roman" w:hAnsi="Times New Roman" w:cs="Times New Roman"/>
        </w:rPr>
      </w:pPr>
      <w:r w:rsidRPr="00CA351A">
        <w:rPr>
          <w:rFonts w:ascii="Times New Roman" w:hAnsi="Times New Roman" w:cs="Times New Roman"/>
        </w:rPr>
        <w:t>Nucleotide Sequence</w:t>
      </w:r>
    </w:p>
    <w:p w14:paraId="7ADFB981" w14:textId="77777777" w:rsidR="00CA351A" w:rsidRPr="00CA351A" w:rsidRDefault="00CA351A" w:rsidP="00CA351A">
      <w:pPr>
        <w:numPr>
          <w:ilvl w:val="0"/>
          <w:numId w:val="3"/>
        </w:numPr>
        <w:rPr>
          <w:rFonts w:ascii="Times New Roman" w:hAnsi="Times New Roman" w:cs="Times New Roman"/>
        </w:rPr>
      </w:pPr>
      <w:r w:rsidRPr="00CA351A">
        <w:rPr>
          <w:rFonts w:ascii="Times New Roman" w:hAnsi="Times New Roman" w:cs="Times New Roman"/>
        </w:rPr>
        <w:t>Separator Line (starts with "+")</w:t>
      </w:r>
    </w:p>
    <w:p w14:paraId="6DBAEA94" w14:textId="417BD48E" w:rsidR="00CA351A" w:rsidRPr="00CA351A" w:rsidRDefault="00CA351A" w:rsidP="00CA351A">
      <w:pPr>
        <w:numPr>
          <w:ilvl w:val="0"/>
          <w:numId w:val="3"/>
        </w:numPr>
        <w:rPr>
          <w:rFonts w:ascii="Times New Roman" w:hAnsi="Times New Roman" w:cs="Times New Roman"/>
        </w:rPr>
      </w:pPr>
      <w:r w:rsidRPr="00CA351A">
        <w:rPr>
          <w:rFonts w:ascii="Times New Roman" w:hAnsi="Times New Roman" w:cs="Times New Roman"/>
        </w:rPr>
        <w:t>Quality Scores (encoded as ASCII characters)</w:t>
      </w:r>
    </w:p>
    <w:p w14:paraId="36C62C5F"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2.1.2 Base Quality Scores</w:t>
      </w:r>
    </w:p>
    <w:p w14:paraId="6BA1150C"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The quality score (Q-score) represents the error probability of base calling, typically using the Phred quality score formula:</w:t>
      </w:r>
    </w:p>
    <w:p w14:paraId="1DB153B7"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Q=−10log⁡10PQ = -10 \log</w:t>
      </w:r>
      <w:proofErr w:type="gramStart"/>
      <w:r w:rsidRPr="00CA351A">
        <w:rPr>
          <w:rFonts w:ascii="Times New Roman" w:hAnsi="Times New Roman" w:cs="Times New Roman"/>
        </w:rPr>
        <w:t>_{</w:t>
      </w:r>
      <w:proofErr w:type="gramEnd"/>
      <w:r w:rsidRPr="00CA351A">
        <w:rPr>
          <w:rFonts w:ascii="Times New Roman" w:hAnsi="Times New Roman" w:cs="Times New Roman"/>
        </w:rPr>
        <w:t xml:space="preserve">10} PQ=−10log10​P </w:t>
      </w:r>
    </w:p>
    <w:p w14:paraId="36E54BC1"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where P is the probability of an incorrect base call. A higher Q-score indicates greater sequencing accuracy.</w:t>
      </w:r>
    </w:p>
    <w:p w14:paraId="1597EE67"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For example:</w:t>
      </w:r>
    </w:p>
    <w:p w14:paraId="00A19D3E" w14:textId="77777777" w:rsidR="00CA351A" w:rsidRPr="00CA351A" w:rsidRDefault="00CA351A" w:rsidP="00CA351A">
      <w:pPr>
        <w:numPr>
          <w:ilvl w:val="0"/>
          <w:numId w:val="4"/>
        </w:numPr>
        <w:rPr>
          <w:rFonts w:ascii="Times New Roman" w:hAnsi="Times New Roman" w:cs="Times New Roman"/>
        </w:rPr>
      </w:pPr>
      <w:r w:rsidRPr="00CA351A">
        <w:rPr>
          <w:rFonts w:ascii="Times New Roman" w:hAnsi="Times New Roman" w:cs="Times New Roman"/>
        </w:rPr>
        <w:t>Q20 means a 1% error rate (1 error per 100 bases).</w:t>
      </w:r>
    </w:p>
    <w:p w14:paraId="531A135D" w14:textId="77777777" w:rsidR="00CA351A" w:rsidRPr="00CA351A" w:rsidRDefault="00CA351A" w:rsidP="00CA351A">
      <w:pPr>
        <w:numPr>
          <w:ilvl w:val="0"/>
          <w:numId w:val="4"/>
        </w:numPr>
        <w:rPr>
          <w:rFonts w:ascii="Times New Roman" w:hAnsi="Times New Roman" w:cs="Times New Roman"/>
        </w:rPr>
      </w:pPr>
      <w:r w:rsidRPr="00CA351A">
        <w:rPr>
          <w:rFonts w:ascii="Times New Roman" w:hAnsi="Times New Roman" w:cs="Times New Roman"/>
        </w:rPr>
        <w:t>Q30 means a 0.1% error rate (1 error per 1000 bases).</w:t>
      </w:r>
    </w:p>
    <w:p w14:paraId="2A65A756"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Sequencing errors can be influenced by factors such as sequencing platform, reagent quality, and sample integrity.</w:t>
      </w:r>
    </w:p>
    <w:p w14:paraId="18D1574D"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Common characteristics of Illumina sequencing error rates:</w:t>
      </w:r>
    </w:p>
    <w:p w14:paraId="320EDC45" w14:textId="77777777" w:rsidR="00CA351A" w:rsidRPr="00CA351A" w:rsidRDefault="00CA351A" w:rsidP="00CA351A">
      <w:pPr>
        <w:numPr>
          <w:ilvl w:val="0"/>
          <w:numId w:val="5"/>
        </w:numPr>
        <w:rPr>
          <w:rFonts w:ascii="Times New Roman" w:hAnsi="Times New Roman" w:cs="Times New Roman"/>
        </w:rPr>
      </w:pPr>
      <w:r w:rsidRPr="00CA351A">
        <w:rPr>
          <w:rFonts w:ascii="Times New Roman" w:hAnsi="Times New Roman" w:cs="Times New Roman"/>
        </w:rPr>
        <w:t>Error rate increases with sequencing length due to signal decay.</w:t>
      </w:r>
    </w:p>
    <w:p w14:paraId="4E1D7E97" w14:textId="65439944" w:rsidR="00CA351A" w:rsidRPr="00CA351A" w:rsidRDefault="00CA351A" w:rsidP="00CA351A">
      <w:pPr>
        <w:numPr>
          <w:ilvl w:val="0"/>
          <w:numId w:val="5"/>
        </w:numPr>
        <w:rPr>
          <w:rFonts w:ascii="Times New Roman" w:hAnsi="Times New Roman" w:cs="Times New Roman"/>
        </w:rPr>
      </w:pPr>
      <w:r w:rsidRPr="00CA351A">
        <w:rPr>
          <w:rFonts w:ascii="Times New Roman" w:hAnsi="Times New Roman" w:cs="Times New Roman"/>
        </w:rPr>
        <w:t xml:space="preserve">Higher error rates at the beginning of reads due to slower autofocus in the early </w:t>
      </w:r>
      <w:r w:rsidRPr="00CA351A">
        <w:rPr>
          <w:rFonts w:ascii="Times New Roman" w:hAnsi="Times New Roman" w:cs="Times New Roman"/>
        </w:rPr>
        <w:lastRenderedPageBreak/>
        <w:t>sequencing cycles.</w:t>
      </w:r>
    </w:p>
    <w:p w14:paraId="5C8E4830"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2.1.3 GC Content Distribution</w:t>
      </w:r>
    </w:p>
    <w:p w14:paraId="59743167" w14:textId="77777777" w:rsidR="00CA351A" w:rsidRPr="00CA351A" w:rsidRDefault="00CA351A" w:rsidP="00CA351A">
      <w:pPr>
        <w:numPr>
          <w:ilvl w:val="0"/>
          <w:numId w:val="6"/>
        </w:numPr>
        <w:rPr>
          <w:rFonts w:ascii="Times New Roman" w:hAnsi="Times New Roman" w:cs="Times New Roman"/>
        </w:rPr>
      </w:pPr>
      <w:r w:rsidRPr="00CA351A">
        <w:rPr>
          <w:rFonts w:ascii="Times New Roman" w:hAnsi="Times New Roman" w:cs="Times New Roman"/>
        </w:rPr>
        <w:t>Base content distribution analysis detects potential AT/GC separation bias.</w:t>
      </w:r>
    </w:p>
    <w:p w14:paraId="3C04E35B" w14:textId="37EEDDB5" w:rsidR="00CA351A" w:rsidRPr="00CA351A" w:rsidRDefault="00CA351A" w:rsidP="00CA351A">
      <w:pPr>
        <w:numPr>
          <w:ilvl w:val="0"/>
          <w:numId w:val="6"/>
        </w:numPr>
        <w:rPr>
          <w:rFonts w:ascii="Times New Roman" w:hAnsi="Times New Roman" w:cs="Times New Roman"/>
        </w:rPr>
      </w:pPr>
      <w:r w:rsidRPr="00CA351A">
        <w:rPr>
          <w:rFonts w:ascii="Times New Roman" w:hAnsi="Times New Roman" w:cs="Times New Roman"/>
        </w:rPr>
        <w:t>In randomly fragmented cDNA sequencing, A/T and G/C content should ideally be balanced across sequencing cycles.</w:t>
      </w:r>
    </w:p>
    <w:p w14:paraId="2292DEEB"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2.1.4 Filtering of Sequencing Data</w:t>
      </w:r>
    </w:p>
    <w:p w14:paraId="777EB46F"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After obtaining raw data, low-quality reads were filtered based on the following criteria:</w:t>
      </w:r>
    </w:p>
    <w:p w14:paraId="52DD0913" w14:textId="77777777" w:rsidR="00CA351A" w:rsidRPr="00CA351A" w:rsidRDefault="00CA351A" w:rsidP="00CA351A">
      <w:pPr>
        <w:numPr>
          <w:ilvl w:val="0"/>
          <w:numId w:val="7"/>
        </w:numPr>
        <w:rPr>
          <w:rFonts w:ascii="Times New Roman" w:hAnsi="Times New Roman" w:cs="Times New Roman"/>
        </w:rPr>
      </w:pPr>
      <w:r w:rsidRPr="00CA351A">
        <w:rPr>
          <w:rFonts w:ascii="Times New Roman" w:hAnsi="Times New Roman" w:cs="Times New Roman"/>
        </w:rPr>
        <w:t>Removal of reads shorter than 100 bp after trimming adapter sequences and low-quality bases.</w:t>
      </w:r>
    </w:p>
    <w:p w14:paraId="04B1F666" w14:textId="77777777" w:rsidR="00CA351A" w:rsidRPr="00CA351A" w:rsidRDefault="00CA351A" w:rsidP="00CA351A">
      <w:pPr>
        <w:numPr>
          <w:ilvl w:val="0"/>
          <w:numId w:val="7"/>
        </w:numPr>
        <w:rPr>
          <w:rFonts w:ascii="Times New Roman" w:hAnsi="Times New Roman" w:cs="Times New Roman"/>
        </w:rPr>
      </w:pPr>
      <w:r w:rsidRPr="00CA351A">
        <w:rPr>
          <w:rFonts w:ascii="Times New Roman" w:hAnsi="Times New Roman" w:cs="Times New Roman"/>
        </w:rPr>
        <w:t>Removal of reads with over 10 ambiguous bases ("N").</w:t>
      </w:r>
    </w:p>
    <w:p w14:paraId="3A464806" w14:textId="77777777" w:rsidR="00CA351A" w:rsidRPr="00CA351A" w:rsidRDefault="00CA351A" w:rsidP="00CA351A">
      <w:pPr>
        <w:numPr>
          <w:ilvl w:val="0"/>
          <w:numId w:val="7"/>
        </w:numPr>
        <w:rPr>
          <w:rFonts w:ascii="Times New Roman" w:hAnsi="Times New Roman" w:cs="Times New Roman"/>
        </w:rPr>
      </w:pPr>
      <w:r w:rsidRPr="00CA351A">
        <w:rPr>
          <w:rFonts w:ascii="Times New Roman" w:hAnsi="Times New Roman" w:cs="Times New Roman"/>
        </w:rPr>
        <w:t>Removal of reads with &gt;40% bases having Q-scores ≤ 30.</w:t>
      </w:r>
    </w:p>
    <w:p w14:paraId="3545E506"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Data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1"/>
        <w:gridCol w:w="1014"/>
        <w:gridCol w:w="1279"/>
        <w:gridCol w:w="1014"/>
        <w:gridCol w:w="1279"/>
        <w:gridCol w:w="834"/>
        <w:gridCol w:w="732"/>
        <w:gridCol w:w="714"/>
        <w:gridCol w:w="729"/>
      </w:tblGrid>
      <w:tr w:rsidR="00CA351A" w:rsidRPr="00CA351A" w14:paraId="7E2AF86F" w14:textId="77777777" w:rsidTr="00CA351A">
        <w:trPr>
          <w:tblHeader/>
          <w:tblCellSpacing w:w="15" w:type="dxa"/>
        </w:trPr>
        <w:tc>
          <w:tcPr>
            <w:tcW w:w="0" w:type="auto"/>
            <w:vAlign w:val="center"/>
            <w:hideMark/>
          </w:tcPr>
          <w:p w14:paraId="556FDEA9"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Sample</w:t>
            </w:r>
          </w:p>
        </w:tc>
        <w:tc>
          <w:tcPr>
            <w:tcW w:w="0" w:type="auto"/>
            <w:vAlign w:val="center"/>
            <w:hideMark/>
          </w:tcPr>
          <w:p w14:paraId="3FBDDE2C"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Raw Reads</w:t>
            </w:r>
          </w:p>
        </w:tc>
        <w:tc>
          <w:tcPr>
            <w:tcW w:w="0" w:type="auto"/>
            <w:vAlign w:val="center"/>
            <w:hideMark/>
          </w:tcPr>
          <w:p w14:paraId="72012396"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Raw Bases (bp)</w:t>
            </w:r>
          </w:p>
        </w:tc>
        <w:tc>
          <w:tcPr>
            <w:tcW w:w="0" w:type="auto"/>
            <w:vAlign w:val="center"/>
            <w:hideMark/>
          </w:tcPr>
          <w:p w14:paraId="30BF1705"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Clean Reads</w:t>
            </w:r>
          </w:p>
        </w:tc>
        <w:tc>
          <w:tcPr>
            <w:tcW w:w="0" w:type="auto"/>
            <w:vAlign w:val="center"/>
            <w:hideMark/>
          </w:tcPr>
          <w:p w14:paraId="2DE2F974"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Clean Bases (bp)</w:t>
            </w:r>
          </w:p>
        </w:tc>
        <w:tc>
          <w:tcPr>
            <w:tcW w:w="0" w:type="auto"/>
            <w:vAlign w:val="center"/>
            <w:hideMark/>
          </w:tcPr>
          <w:p w14:paraId="77889A6C"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Effective Rate (%)</w:t>
            </w:r>
          </w:p>
        </w:tc>
        <w:tc>
          <w:tcPr>
            <w:tcW w:w="0" w:type="auto"/>
            <w:vAlign w:val="center"/>
            <w:hideMark/>
          </w:tcPr>
          <w:p w14:paraId="4E9925C8"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GC Content (%)</w:t>
            </w:r>
          </w:p>
        </w:tc>
        <w:tc>
          <w:tcPr>
            <w:tcW w:w="0" w:type="auto"/>
            <w:vAlign w:val="center"/>
            <w:hideMark/>
          </w:tcPr>
          <w:p w14:paraId="644B4FEE"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Q20 (%)</w:t>
            </w:r>
          </w:p>
        </w:tc>
        <w:tc>
          <w:tcPr>
            <w:tcW w:w="0" w:type="auto"/>
            <w:vAlign w:val="center"/>
            <w:hideMark/>
          </w:tcPr>
          <w:p w14:paraId="38465B57"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Q30 (%)</w:t>
            </w:r>
          </w:p>
        </w:tc>
      </w:tr>
      <w:tr w:rsidR="00CA351A" w:rsidRPr="00CA351A" w14:paraId="42DB6D8D" w14:textId="77777777" w:rsidTr="00CA351A">
        <w:trPr>
          <w:tblCellSpacing w:w="15" w:type="dxa"/>
        </w:trPr>
        <w:tc>
          <w:tcPr>
            <w:tcW w:w="0" w:type="auto"/>
            <w:vAlign w:val="center"/>
            <w:hideMark/>
          </w:tcPr>
          <w:p w14:paraId="5189C6BD"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UM</w:t>
            </w:r>
          </w:p>
        </w:tc>
        <w:tc>
          <w:tcPr>
            <w:tcW w:w="0" w:type="auto"/>
            <w:vAlign w:val="center"/>
            <w:hideMark/>
          </w:tcPr>
          <w:p w14:paraId="2D9A29C9"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51,575,278</w:t>
            </w:r>
          </w:p>
        </w:tc>
        <w:tc>
          <w:tcPr>
            <w:tcW w:w="0" w:type="auto"/>
            <w:vAlign w:val="center"/>
            <w:hideMark/>
          </w:tcPr>
          <w:p w14:paraId="0E41D7CB"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7,736,291,700</w:t>
            </w:r>
          </w:p>
        </w:tc>
        <w:tc>
          <w:tcPr>
            <w:tcW w:w="0" w:type="auto"/>
            <w:vAlign w:val="center"/>
            <w:hideMark/>
          </w:tcPr>
          <w:p w14:paraId="0F003D13"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44,023,764</w:t>
            </w:r>
          </w:p>
        </w:tc>
        <w:tc>
          <w:tcPr>
            <w:tcW w:w="0" w:type="auto"/>
            <w:vAlign w:val="center"/>
            <w:hideMark/>
          </w:tcPr>
          <w:p w14:paraId="1733A978"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6,567,463,825</w:t>
            </w:r>
          </w:p>
        </w:tc>
        <w:tc>
          <w:tcPr>
            <w:tcW w:w="0" w:type="auto"/>
            <w:vAlign w:val="center"/>
            <w:hideMark/>
          </w:tcPr>
          <w:p w14:paraId="33F91079"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84.89%</w:t>
            </w:r>
          </w:p>
        </w:tc>
        <w:tc>
          <w:tcPr>
            <w:tcW w:w="0" w:type="auto"/>
            <w:vAlign w:val="center"/>
            <w:hideMark/>
          </w:tcPr>
          <w:p w14:paraId="74F9CE6A"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49.17%</w:t>
            </w:r>
          </w:p>
        </w:tc>
        <w:tc>
          <w:tcPr>
            <w:tcW w:w="0" w:type="auto"/>
            <w:vAlign w:val="center"/>
            <w:hideMark/>
          </w:tcPr>
          <w:p w14:paraId="2E70BE42"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97.88%</w:t>
            </w:r>
          </w:p>
        </w:tc>
        <w:tc>
          <w:tcPr>
            <w:tcW w:w="0" w:type="auto"/>
            <w:vAlign w:val="center"/>
            <w:hideMark/>
          </w:tcPr>
          <w:p w14:paraId="363FA64B"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92.91%</w:t>
            </w:r>
          </w:p>
        </w:tc>
      </w:tr>
      <w:tr w:rsidR="00CA351A" w:rsidRPr="00CA351A" w14:paraId="2C6D4667" w14:textId="77777777" w:rsidTr="00CA351A">
        <w:trPr>
          <w:tblCellSpacing w:w="15" w:type="dxa"/>
        </w:trPr>
        <w:tc>
          <w:tcPr>
            <w:tcW w:w="0" w:type="auto"/>
            <w:vAlign w:val="center"/>
            <w:hideMark/>
          </w:tcPr>
          <w:p w14:paraId="7706A00C"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UMV</w:t>
            </w:r>
          </w:p>
        </w:tc>
        <w:tc>
          <w:tcPr>
            <w:tcW w:w="0" w:type="auto"/>
            <w:vAlign w:val="center"/>
            <w:hideMark/>
          </w:tcPr>
          <w:p w14:paraId="5436E6CB"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40,416,852</w:t>
            </w:r>
          </w:p>
        </w:tc>
        <w:tc>
          <w:tcPr>
            <w:tcW w:w="0" w:type="auto"/>
            <w:vAlign w:val="center"/>
            <w:hideMark/>
          </w:tcPr>
          <w:p w14:paraId="5940CC17"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6,062,527,800</w:t>
            </w:r>
          </w:p>
        </w:tc>
        <w:tc>
          <w:tcPr>
            <w:tcW w:w="0" w:type="auto"/>
            <w:vAlign w:val="center"/>
            <w:hideMark/>
          </w:tcPr>
          <w:p w14:paraId="25E28019"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34,915,794</w:t>
            </w:r>
          </w:p>
        </w:tc>
        <w:tc>
          <w:tcPr>
            <w:tcW w:w="0" w:type="auto"/>
            <w:vAlign w:val="center"/>
            <w:hideMark/>
          </w:tcPr>
          <w:p w14:paraId="7D590E94"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5,210,509,460</w:t>
            </w:r>
          </w:p>
        </w:tc>
        <w:tc>
          <w:tcPr>
            <w:tcW w:w="0" w:type="auto"/>
            <w:vAlign w:val="center"/>
            <w:hideMark/>
          </w:tcPr>
          <w:p w14:paraId="5C913940"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85.95%</w:t>
            </w:r>
          </w:p>
        </w:tc>
        <w:tc>
          <w:tcPr>
            <w:tcW w:w="0" w:type="auto"/>
            <w:vAlign w:val="center"/>
            <w:hideMark/>
          </w:tcPr>
          <w:p w14:paraId="4A4E4542"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50.45%</w:t>
            </w:r>
          </w:p>
        </w:tc>
        <w:tc>
          <w:tcPr>
            <w:tcW w:w="0" w:type="auto"/>
            <w:vAlign w:val="center"/>
            <w:hideMark/>
          </w:tcPr>
          <w:p w14:paraId="37C3DC3B"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97.90%</w:t>
            </w:r>
          </w:p>
        </w:tc>
        <w:tc>
          <w:tcPr>
            <w:tcW w:w="0" w:type="auto"/>
            <w:vAlign w:val="center"/>
            <w:hideMark/>
          </w:tcPr>
          <w:p w14:paraId="6FE48272"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93.15%</w:t>
            </w:r>
          </w:p>
        </w:tc>
      </w:tr>
    </w:tbl>
    <w:p w14:paraId="7732A1F9" w14:textId="61BC2CA3" w:rsidR="00CA351A" w:rsidRPr="00CA351A" w:rsidRDefault="00CA351A" w:rsidP="00CA351A">
      <w:pPr>
        <w:rPr>
          <w:rFonts w:ascii="Times New Roman" w:hAnsi="Times New Roman" w:cs="Times New Roman"/>
        </w:rPr>
      </w:pPr>
    </w:p>
    <w:p w14:paraId="6C7CD560"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2.2 Genome Alignment</w:t>
      </w:r>
    </w:p>
    <w:p w14:paraId="0C12B0E6"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HISAT2 was used to align clean reads to the GRCh38.87 reference genome, obtaining genomic mapping information and sequencing-specific characteristics.</w:t>
      </w:r>
    </w:p>
    <w:p w14:paraId="4419261F"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HISAT2, developed by Johns Hopkins University, replaces Bowtie/</w:t>
      </w:r>
      <w:proofErr w:type="spellStart"/>
      <w:r w:rsidRPr="00CA351A">
        <w:rPr>
          <w:rFonts w:ascii="Times New Roman" w:hAnsi="Times New Roman" w:cs="Times New Roman"/>
        </w:rPr>
        <w:t>TopHat</w:t>
      </w:r>
      <w:proofErr w:type="spellEnd"/>
      <w:r w:rsidRPr="00CA351A">
        <w:rPr>
          <w:rFonts w:ascii="Times New Roman" w:hAnsi="Times New Roman" w:cs="Times New Roman"/>
        </w:rPr>
        <w:t xml:space="preserve"> and provides:</w:t>
      </w:r>
    </w:p>
    <w:p w14:paraId="13D84071" w14:textId="77777777" w:rsidR="00CA351A" w:rsidRPr="00CA351A" w:rsidRDefault="00CA351A" w:rsidP="00CA351A">
      <w:pPr>
        <w:numPr>
          <w:ilvl w:val="0"/>
          <w:numId w:val="8"/>
        </w:numPr>
        <w:rPr>
          <w:rFonts w:ascii="Times New Roman" w:hAnsi="Times New Roman" w:cs="Times New Roman"/>
        </w:rPr>
      </w:pPr>
      <w:r w:rsidRPr="00CA351A">
        <w:rPr>
          <w:rFonts w:ascii="Times New Roman" w:hAnsi="Times New Roman" w:cs="Times New Roman"/>
        </w:rPr>
        <w:t>Fast and accurate alignment of RNA-seq reads.</w:t>
      </w:r>
    </w:p>
    <w:p w14:paraId="6A2CE5F9" w14:textId="77777777" w:rsidR="00CA351A" w:rsidRPr="00CA351A" w:rsidRDefault="00CA351A" w:rsidP="00CA351A">
      <w:pPr>
        <w:numPr>
          <w:ilvl w:val="0"/>
          <w:numId w:val="8"/>
        </w:numPr>
        <w:rPr>
          <w:rFonts w:ascii="Times New Roman" w:hAnsi="Times New Roman" w:cs="Times New Roman"/>
        </w:rPr>
      </w:pPr>
      <w:r w:rsidRPr="00CA351A">
        <w:rPr>
          <w:rFonts w:ascii="Times New Roman" w:hAnsi="Times New Roman" w:cs="Times New Roman"/>
        </w:rPr>
        <w:t>Accurate mapping of reads spanning multiple exons.</w:t>
      </w:r>
    </w:p>
    <w:p w14:paraId="4CB01AD7" w14:textId="49D19937" w:rsidR="00CA351A" w:rsidRPr="00CA351A" w:rsidRDefault="00CA351A" w:rsidP="00CA351A">
      <w:pPr>
        <w:numPr>
          <w:ilvl w:val="0"/>
          <w:numId w:val="8"/>
        </w:numPr>
        <w:rPr>
          <w:rFonts w:ascii="Times New Roman" w:hAnsi="Times New Roman" w:cs="Times New Roman"/>
        </w:rPr>
      </w:pPr>
      <w:r w:rsidRPr="00CA351A">
        <w:rPr>
          <w:rFonts w:ascii="Times New Roman" w:hAnsi="Times New Roman" w:cs="Times New Roman"/>
        </w:rPr>
        <w:t xml:space="preserve">Better gene reconstruction and expression estimation when combined with </w:t>
      </w:r>
      <w:proofErr w:type="spellStart"/>
      <w:r w:rsidRPr="00CA351A">
        <w:rPr>
          <w:rFonts w:ascii="Times New Roman" w:hAnsi="Times New Roman" w:cs="Times New Roman"/>
        </w:rPr>
        <w:t>StringTie</w:t>
      </w:r>
      <w:proofErr w:type="spellEnd"/>
      <w:r w:rsidRPr="00CA351A">
        <w:rPr>
          <w:rFonts w:ascii="Times New Roman" w:hAnsi="Times New Roman" w:cs="Times New Roman"/>
        </w:rPr>
        <w:t>.</w:t>
      </w:r>
    </w:p>
    <w:p w14:paraId="1B028991"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2.2.1 Mapping Efficiency Statistics</w:t>
      </w:r>
    </w:p>
    <w:p w14:paraId="4B6442E3"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lastRenderedPageBreak/>
        <w:t>Mapping efficiency represents the percentage of clean reads successfully aligned to the reference genome, which reflects the reliability of downstream analyses.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
        <w:gridCol w:w="940"/>
        <w:gridCol w:w="939"/>
        <w:gridCol w:w="700"/>
        <w:gridCol w:w="939"/>
        <w:gridCol w:w="700"/>
        <w:gridCol w:w="842"/>
        <w:gridCol w:w="733"/>
        <w:gridCol w:w="918"/>
        <w:gridCol w:w="933"/>
      </w:tblGrid>
      <w:tr w:rsidR="00CA351A" w:rsidRPr="00CA351A" w14:paraId="5A6EE19D" w14:textId="77777777" w:rsidTr="00CA351A">
        <w:trPr>
          <w:tblHeader/>
          <w:tblCellSpacing w:w="15" w:type="dxa"/>
        </w:trPr>
        <w:tc>
          <w:tcPr>
            <w:tcW w:w="0" w:type="auto"/>
            <w:vAlign w:val="center"/>
            <w:hideMark/>
          </w:tcPr>
          <w:p w14:paraId="6066D5AE"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Sample</w:t>
            </w:r>
          </w:p>
        </w:tc>
        <w:tc>
          <w:tcPr>
            <w:tcW w:w="0" w:type="auto"/>
            <w:vAlign w:val="center"/>
            <w:hideMark/>
          </w:tcPr>
          <w:p w14:paraId="64205E88"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Total Reads</w:t>
            </w:r>
          </w:p>
        </w:tc>
        <w:tc>
          <w:tcPr>
            <w:tcW w:w="0" w:type="auto"/>
            <w:vAlign w:val="center"/>
            <w:hideMark/>
          </w:tcPr>
          <w:p w14:paraId="48D77DF1"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Mapped Reads</w:t>
            </w:r>
          </w:p>
        </w:tc>
        <w:tc>
          <w:tcPr>
            <w:tcW w:w="0" w:type="auto"/>
            <w:vAlign w:val="center"/>
            <w:hideMark/>
          </w:tcPr>
          <w:p w14:paraId="0E076E08"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Mapped Rate (%)</w:t>
            </w:r>
          </w:p>
        </w:tc>
        <w:tc>
          <w:tcPr>
            <w:tcW w:w="0" w:type="auto"/>
            <w:vAlign w:val="center"/>
            <w:hideMark/>
          </w:tcPr>
          <w:p w14:paraId="4E14D676"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Unique Mapped Reads</w:t>
            </w:r>
          </w:p>
        </w:tc>
        <w:tc>
          <w:tcPr>
            <w:tcW w:w="0" w:type="auto"/>
            <w:vAlign w:val="center"/>
            <w:hideMark/>
          </w:tcPr>
          <w:p w14:paraId="1074577E"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Unique Mapped Rate (%)</w:t>
            </w:r>
          </w:p>
        </w:tc>
        <w:tc>
          <w:tcPr>
            <w:tcW w:w="0" w:type="auto"/>
            <w:vAlign w:val="center"/>
            <w:hideMark/>
          </w:tcPr>
          <w:p w14:paraId="5A4D4275"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Multiple Mapped Reads</w:t>
            </w:r>
          </w:p>
        </w:tc>
        <w:tc>
          <w:tcPr>
            <w:tcW w:w="0" w:type="auto"/>
            <w:vAlign w:val="center"/>
            <w:hideMark/>
          </w:tcPr>
          <w:p w14:paraId="60FB597E"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Multiple Mapped Rate (%)</w:t>
            </w:r>
          </w:p>
        </w:tc>
        <w:tc>
          <w:tcPr>
            <w:tcW w:w="0" w:type="auto"/>
            <w:vAlign w:val="center"/>
            <w:hideMark/>
          </w:tcPr>
          <w:p w14:paraId="25A5328F"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Unmapped Reads</w:t>
            </w:r>
          </w:p>
        </w:tc>
        <w:tc>
          <w:tcPr>
            <w:tcW w:w="0" w:type="auto"/>
            <w:vAlign w:val="center"/>
            <w:hideMark/>
          </w:tcPr>
          <w:p w14:paraId="4D914E1F"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Unmapped Rate (%)</w:t>
            </w:r>
          </w:p>
        </w:tc>
      </w:tr>
      <w:tr w:rsidR="00CA351A" w:rsidRPr="00CA351A" w14:paraId="4302FD00" w14:textId="77777777" w:rsidTr="00CA351A">
        <w:trPr>
          <w:tblCellSpacing w:w="15" w:type="dxa"/>
        </w:trPr>
        <w:tc>
          <w:tcPr>
            <w:tcW w:w="0" w:type="auto"/>
            <w:vAlign w:val="center"/>
            <w:hideMark/>
          </w:tcPr>
          <w:p w14:paraId="6AD22284"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UM</w:t>
            </w:r>
          </w:p>
        </w:tc>
        <w:tc>
          <w:tcPr>
            <w:tcW w:w="0" w:type="auto"/>
            <w:vAlign w:val="center"/>
            <w:hideMark/>
          </w:tcPr>
          <w:p w14:paraId="1A832408"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44,023,764</w:t>
            </w:r>
          </w:p>
        </w:tc>
        <w:tc>
          <w:tcPr>
            <w:tcW w:w="0" w:type="auto"/>
            <w:vAlign w:val="center"/>
            <w:hideMark/>
          </w:tcPr>
          <w:p w14:paraId="340A06F9"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42,845,679</w:t>
            </w:r>
          </w:p>
        </w:tc>
        <w:tc>
          <w:tcPr>
            <w:tcW w:w="0" w:type="auto"/>
            <w:vAlign w:val="center"/>
            <w:hideMark/>
          </w:tcPr>
          <w:p w14:paraId="7FBA3D8B"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97.32%</w:t>
            </w:r>
          </w:p>
        </w:tc>
        <w:tc>
          <w:tcPr>
            <w:tcW w:w="0" w:type="auto"/>
            <w:vAlign w:val="center"/>
            <w:hideMark/>
          </w:tcPr>
          <w:p w14:paraId="26D7FB74"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41,630,769</w:t>
            </w:r>
          </w:p>
        </w:tc>
        <w:tc>
          <w:tcPr>
            <w:tcW w:w="0" w:type="auto"/>
            <w:vAlign w:val="center"/>
            <w:hideMark/>
          </w:tcPr>
          <w:p w14:paraId="46D651A7"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94.56%</w:t>
            </w:r>
          </w:p>
        </w:tc>
        <w:tc>
          <w:tcPr>
            <w:tcW w:w="0" w:type="auto"/>
            <w:vAlign w:val="center"/>
            <w:hideMark/>
          </w:tcPr>
          <w:p w14:paraId="27075C92"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1,214,910</w:t>
            </w:r>
          </w:p>
        </w:tc>
        <w:tc>
          <w:tcPr>
            <w:tcW w:w="0" w:type="auto"/>
            <w:vAlign w:val="center"/>
            <w:hideMark/>
          </w:tcPr>
          <w:p w14:paraId="60770BE7"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2.76%</w:t>
            </w:r>
          </w:p>
        </w:tc>
        <w:tc>
          <w:tcPr>
            <w:tcW w:w="0" w:type="auto"/>
            <w:vAlign w:val="center"/>
            <w:hideMark/>
          </w:tcPr>
          <w:p w14:paraId="521085F7"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2,023,520</w:t>
            </w:r>
          </w:p>
        </w:tc>
        <w:tc>
          <w:tcPr>
            <w:tcW w:w="0" w:type="auto"/>
            <w:vAlign w:val="center"/>
            <w:hideMark/>
          </w:tcPr>
          <w:p w14:paraId="5EF047E5"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2.68%</w:t>
            </w:r>
          </w:p>
        </w:tc>
      </w:tr>
      <w:tr w:rsidR="00CA351A" w:rsidRPr="00CA351A" w14:paraId="7E3E87EA" w14:textId="77777777" w:rsidTr="00CA351A">
        <w:trPr>
          <w:tblCellSpacing w:w="15" w:type="dxa"/>
        </w:trPr>
        <w:tc>
          <w:tcPr>
            <w:tcW w:w="0" w:type="auto"/>
            <w:vAlign w:val="center"/>
            <w:hideMark/>
          </w:tcPr>
          <w:p w14:paraId="64B0B68D"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UMV</w:t>
            </w:r>
          </w:p>
        </w:tc>
        <w:tc>
          <w:tcPr>
            <w:tcW w:w="0" w:type="auto"/>
            <w:vAlign w:val="center"/>
            <w:hideMark/>
          </w:tcPr>
          <w:p w14:paraId="6A5818FC"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34,915,794</w:t>
            </w:r>
          </w:p>
        </w:tc>
        <w:tc>
          <w:tcPr>
            <w:tcW w:w="0" w:type="auto"/>
            <w:vAlign w:val="center"/>
            <w:hideMark/>
          </w:tcPr>
          <w:p w14:paraId="50C36C9D"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32,952,944</w:t>
            </w:r>
          </w:p>
        </w:tc>
        <w:tc>
          <w:tcPr>
            <w:tcW w:w="0" w:type="auto"/>
            <w:vAlign w:val="center"/>
            <w:hideMark/>
          </w:tcPr>
          <w:p w14:paraId="742AA08B"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94.38%</w:t>
            </w:r>
          </w:p>
        </w:tc>
        <w:tc>
          <w:tcPr>
            <w:tcW w:w="0" w:type="auto"/>
            <w:vAlign w:val="center"/>
            <w:hideMark/>
          </w:tcPr>
          <w:p w14:paraId="225DE8B6"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31,787,316</w:t>
            </w:r>
          </w:p>
        </w:tc>
        <w:tc>
          <w:tcPr>
            <w:tcW w:w="0" w:type="auto"/>
            <w:vAlign w:val="center"/>
            <w:hideMark/>
          </w:tcPr>
          <w:p w14:paraId="07B55D78"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91.04%</w:t>
            </w:r>
          </w:p>
        </w:tc>
        <w:tc>
          <w:tcPr>
            <w:tcW w:w="0" w:type="auto"/>
            <w:vAlign w:val="center"/>
            <w:hideMark/>
          </w:tcPr>
          <w:p w14:paraId="53CF85C8"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1,165,628</w:t>
            </w:r>
          </w:p>
        </w:tc>
        <w:tc>
          <w:tcPr>
            <w:tcW w:w="0" w:type="auto"/>
            <w:vAlign w:val="center"/>
            <w:hideMark/>
          </w:tcPr>
          <w:p w14:paraId="5B4C248B"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3.34%</w:t>
            </w:r>
          </w:p>
        </w:tc>
        <w:tc>
          <w:tcPr>
            <w:tcW w:w="0" w:type="auto"/>
            <w:vAlign w:val="center"/>
            <w:hideMark/>
          </w:tcPr>
          <w:p w14:paraId="1322CF00"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2,611,932</w:t>
            </w:r>
          </w:p>
        </w:tc>
        <w:tc>
          <w:tcPr>
            <w:tcW w:w="0" w:type="auto"/>
            <w:vAlign w:val="center"/>
            <w:hideMark/>
          </w:tcPr>
          <w:p w14:paraId="396BF90F" w14:textId="77777777" w:rsidR="00CA351A" w:rsidRPr="00CA351A" w:rsidRDefault="00CA351A" w:rsidP="00CA351A">
            <w:pPr>
              <w:rPr>
                <w:rFonts w:ascii="Times New Roman" w:hAnsi="Times New Roman" w:cs="Times New Roman"/>
              </w:rPr>
            </w:pPr>
            <w:r w:rsidRPr="00CA351A">
              <w:rPr>
                <w:rFonts w:ascii="Times New Roman" w:hAnsi="Times New Roman" w:cs="Times New Roman"/>
              </w:rPr>
              <w:t>5.62%</w:t>
            </w:r>
          </w:p>
        </w:tc>
      </w:tr>
    </w:tbl>
    <w:p w14:paraId="040A12B0" w14:textId="77777777" w:rsidR="00CA351A" w:rsidRPr="00CA351A" w:rsidRDefault="00CA351A">
      <w:pPr>
        <w:rPr>
          <w:rFonts w:ascii="Times New Roman" w:hAnsi="Times New Roman" w:cs="Times New Roman" w:hint="eastAsia"/>
        </w:rPr>
      </w:pPr>
    </w:p>
    <w:sectPr w:rsidR="00CA351A" w:rsidRPr="00CA3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44401"/>
    <w:multiLevelType w:val="multilevel"/>
    <w:tmpl w:val="23E8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36457"/>
    <w:multiLevelType w:val="multilevel"/>
    <w:tmpl w:val="2E68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C071E"/>
    <w:multiLevelType w:val="multilevel"/>
    <w:tmpl w:val="631A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D3C4E"/>
    <w:multiLevelType w:val="multilevel"/>
    <w:tmpl w:val="8B9C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B624D1"/>
    <w:multiLevelType w:val="multilevel"/>
    <w:tmpl w:val="258A8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B7181B"/>
    <w:multiLevelType w:val="multilevel"/>
    <w:tmpl w:val="D044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507FF"/>
    <w:multiLevelType w:val="multilevel"/>
    <w:tmpl w:val="C808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D97D88"/>
    <w:multiLevelType w:val="multilevel"/>
    <w:tmpl w:val="613C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B06E0C"/>
    <w:multiLevelType w:val="multilevel"/>
    <w:tmpl w:val="3E72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5230C"/>
    <w:multiLevelType w:val="multilevel"/>
    <w:tmpl w:val="97A87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156927">
    <w:abstractNumId w:val="5"/>
  </w:num>
  <w:num w:numId="2" w16cid:durableId="1656717066">
    <w:abstractNumId w:val="3"/>
  </w:num>
  <w:num w:numId="3" w16cid:durableId="1153328358">
    <w:abstractNumId w:val="9"/>
  </w:num>
  <w:num w:numId="4" w16cid:durableId="1386757262">
    <w:abstractNumId w:val="0"/>
  </w:num>
  <w:num w:numId="5" w16cid:durableId="47994886">
    <w:abstractNumId w:val="4"/>
  </w:num>
  <w:num w:numId="6" w16cid:durableId="1493644278">
    <w:abstractNumId w:val="2"/>
  </w:num>
  <w:num w:numId="7" w16cid:durableId="1081832277">
    <w:abstractNumId w:val="1"/>
  </w:num>
  <w:num w:numId="8" w16cid:durableId="1000154115">
    <w:abstractNumId w:val="6"/>
  </w:num>
  <w:num w:numId="9" w16cid:durableId="470442546">
    <w:abstractNumId w:val="8"/>
  </w:num>
  <w:num w:numId="10" w16cid:durableId="19194377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1A"/>
    <w:rsid w:val="00686C63"/>
    <w:rsid w:val="00886A3D"/>
    <w:rsid w:val="00CA3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7D3E"/>
  <w15:chartTrackingRefBased/>
  <w15:docId w15:val="{728BC13B-6EBA-42C7-801B-94924738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51A"/>
    <w:rPr>
      <w:rFonts w:cstheme="majorBidi"/>
      <w:color w:val="2F5496" w:themeColor="accent1" w:themeShade="BF"/>
      <w:sz w:val="28"/>
      <w:szCs w:val="28"/>
    </w:rPr>
  </w:style>
  <w:style w:type="character" w:customStyle="1" w:styleId="50">
    <w:name w:val="标题 5 字符"/>
    <w:basedOn w:val="a0"/>
    <w:link w:val="5"/>
    <w:uiPriority w:val="9"/>
    <w:semiHidden/>
    <w:rsid w:val="00CA351A"/>
    <w:rPr>
      <w:rFonts w:cstheme="majorBidi"/>
      <w:color w:val="2F5496" w:themeColor="accent1" w:themeShade="BF"/>
      <w:sz w:val="24"/>
    </w:rPr>
  </w:style>
  <w:style w:type="character" w:customStyle="1" w:styleId="60">
    <w:name w:val="标题 6 字符"/>
    <w:basedOn w:val="a0"/>
    <w:link w:val="6"/>
    <w:uiPriority w:val="9"/>
    <w:semiHidden/>
    <w:rsid w:val="00CA351A"/>
    <w:rPr>
      <w:rFonts w:cstheme="majorBidi"/>
      <w:b/>
      <w:bCs/>
      <w:color w:val="2F5496" w:themeColor="accent1" w:themeShade="BF"/>
    </w:rPr>
  </w:style>
  <w:style w:type="character" w:customStyle="1" w:styleId="70">
    <w:name w:val="标题 7 字符"/>
    <w:basedOn w:val="a0"/>
    <w:link w:val="7"/>
    <w:uiPriority w:val="9"/>
    <w:semiHidden/>
    <w:rsid w:val="00CA351A"/>
    <w:rPr>
      <w:rFonts w:cstheme="majorBidi"/>
      <w:b/>
      <w:bCs/>
      <w:color w:val="595959" w:themeColor="text1" w:themeTint="A6"/>
    </w:rPr>
  </w:style>
  <w:style w:type="character" w:customStyle="1" w:styleId="80">
    <w:name w:val="标题 8 字符"/>
    <w:basedOn w:val="a0"/>
    <w:link w:val="8"/>
    <w:uiPriority w:val="9"/>
    <w:semiHidden/>
    <w:rsid w:val="00CA351A"/>
    <w:rPr>
      <w:rFonts w:cstheme="majorBidi"/>
      <w:color w:val="595959" w:themeColor="text1" w:themeTint="A6"/>
    </w:rPr>
  </w:style>
  <w:style w:type="character" w:customStyle="1" w:styleId="90">
    <w:name w:val="标题 9 字符"/>
    <w:basedOn w:val="a0"/>
    <w:link w:val="9"/>
    <w:uiPriority w:val="9"/>
    <w:semiHidden/>
    <w:rsid w:val="00CA351A"/>
    <w:rPr>
      <w:rFonts w:eastAsiaTheme="majorEastAsia" w:cstheme="majorBidi"/>
      <w:color w:val="595959" w:themeColor="text1" w:themeTint="A6"/>
    </w:rPr>
  </w:style>
  <w:style w:type="paragraph" w:styleId="a3">
    <w:name w:val="Title"/>
    <w:basedOn w:val="a"/>
    <w:next w:val="a"/>
    <w:link w:val="a4"/>
    <w:uiPriority w:val="10"/>
    <w:qFormat/>
    <w:rsid w:val="00CA3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51A"/>
    <w:pPr>
      <w:spacing w:before="160"/>
      <w:jc w:val="center"/>
    </w:pPr>
    <w:rPr>
      <w:i/>
      <w:iCs/>
      <w:color w:val="404040" w:themeColor="text1" w:themeTint="BF"/>
    </w:rPr>
  </w:style>
  <w:style w:type="character" w:customStyle="1" w:styleId="a8">
    <w:name w:val="引用 字符"/>
    <w:basedOn w:val="a0"/>
    <w:link w:val="a7"/>
    <w:uiPriority w:val="29"/>
    <w:rsid w:val="00CA351A"/>
    <w:rPr>
      <w:i/>
      <w:iCs/>
      <w:color w:val="404040" w:themeColor="text1" w:themeTint="BF"/>
    </w:rPr>
  </w:style>
  <w:style w:type="paragraph" w:styleId="a9">
    <w:name w:val="List Paragraph"/>
    <w:basedOn w:val="a"/>
    <w:uiPriority w:val="34"/>
    <w:qFormat/>
    <w:rsid w:val="00CA351A"/>
    <w:pPr>
      <w:ind w:left="720"/>
      <w:contextualSpacing/>
    </w:pPr>
  </w:style>
  <w:style w:type="character" w:styleId="aa">
    <w:name w:val="Intense Emphasis"/>
    <w:basedOn w:val="a0"/>
    <w:uiPriority w:val="21"/>
    <w:qFormat/>
    <w:rsid w:val="00CA351A"/>
    <w:rPr>
      <w:i/>
      <w:iCs/>
      <w:color w:val="2F5496" w:themeColor="accent1" w:themeShade="BF"/>
    </w:rPr>
  </w:style>
  <w:style w:type="paragraph" w:styleId="ab">
    <w:name w:val="Intense Quote"/>
    <w:basedOn w:val="a"/>
    <w:next w:val="a"/>
    <w:link w:val="ac"/>
    <w:uiPriority w:val="30"/>
    <w:qFormat/>
    <w:rsid w:val="00CA3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51A"/>
    <w:rPr>
      <w:i/>
      <w:iCs/>
      <w:color w:val="2F5496" w:themeColor="accent1" w:themeShade="BF"/>
    </w:rPr>
  </w:style>
  <w:style w:type="character" w:styleId="ad">
    <w:name w:val="Intense Reference"/>
    <w:basedOn w:val="a0"/>
    <w:uiPriority w:val="32"/>
    <w:qFormat/>
    <w:rsid w:val="00CA3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909393">
      <w:bodyDiv w:val="1"/>
      <w:marLeft w:val="0"/>
      <w:marRight w:val="0"/>
      <w:marTop w:val="0"/>
      <w:marBottom w:val="0"/>
      <w:divBdr>
        <w:top w:val="none" w:sz="0" w:space="0" w:color="auto"/>
        <w:left w:val="none" w:sz="0" w:space="0" w:color="auto"/>
        <w:bottom w:val="none" w:sz="0" w:space="0" w:color="auto"/>
        <w:right w:val="none" w:sz="0" w:space="0" w:color="auto"/>
      </w:divBdr>
      <w:divsChild>
        <w:div w:id="1911305082">
          <w:marLeft w:val="0"/>
          <w:marRight w:val="0"/>
          <w:marTop w:val="0"/>
          <w:marBottom w:val="0"/>
          <w:divBdr>
            <w:top w:val="none" w:sz="0" w:space="0" w:color="auto"/>
            <w:left w:val="none" w:sz="0" w:space="0" w:color="auto"/>
            <w:bottom w:val="none" w:sz="0" w:space="0" w:color="auto"/>
            <w:right w:val="none" w:sz="0" w:space="0" w:color="auto"/>
          </w:divBdr>
        </w:div>
        <w:div w:id="156114311">
          <w:marLeft w:val="0"/>
          <w:marRight w:val="0"/>
          <w:marTop w:val="0"/>
          <w:marBottom w:val="0"/>
          <w:divBdr>
            <w:top w:val="none" w:sz="0" w:space="0" w:color="auto"/>
            <w:left w:val="none" w:sz="0" w:space="0" w:color="auto"/>
            <w:bottom w:val="none" w:sz="0" w:space="0" w:color="auto"/>
            <w:right w:val="none" w:sz="0" w:space="0" w:color="auto"/>
          </w:divBdr>
        </w:div>
      </w:divsChild>
    </w:div>
    <w:div w:id="1341929404">
      <w:bodyDiv w:val="1"/>
      <w:marLeft w:val="0"/>
      <w:marRight w:val="0"/>
      <w:marTop w:val="0"/>
      <w:marBottom w:val="0"/>
      <w:divBdr>
        <w:top w:val="none" w:sz="0" w:space="0" w:color="auto"/>
        <w:left w:val="none" w:sz="0" w:space="0" w:color="auto"/>
        <w:bottom w:val="none" w:sz="0" w:space="0" w:color="auto"/>
        <w:right w:val="none" w:sz="0" w:space="0" w:color="auto"/>
      </w:divBdr>
      <w:divsChild>
        <w:div w:id="314382073">
          <w:marLeft w:val="0"/>
          <w:marRight w:val="0"/>
          <w:marTop w:val="0"/>
          <w:marBottom w:val="0"/>
          <w:divBdr>
            <w:top w:val="none" w:sz="0" w:space="0" w:color="auto"/>
            <w:left w:val="none" w:sz="0" w:space="0" w:color="auto"/>
            <w:bottom w:val="none" w:sz="0" w:space="0" w:color="auto"/>
            <w:right w:val="none" w:sz="0" w:space="0" w:color="auto"/>
          </w:divBdr>
        </w:div>
        <w:div w:id="1901164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凡松 唐</dc:creator>
  <cp:keywords/>
  <dc:description/>
  <cp:lastModifiedBy>凡松 唐</cp:lastModifiedBy>
  <cp:revision>1</cp:revision>
  <dcterms:created xsi:type="dcterms:W3CDTF">2025-03-15T10:17:00Z</dcterms:created>
  <dcterms:modified xsi:type="dcterms:W3CDTF">2025-03-15T10:29:00Z</dcterms:modified>
</cp:coreProperties>
</file>