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1515D6" w14:textId="77777777" w:rsidR="009F61A4" w:rsidRDefault="00B429B0" w:rsidP="009A709C">
      <w:pPr>
        <w:spacing w:after="0" w:line="480" w:lineRule="auto"/>
        <w:rPr>
          <w:rFonts w:cstheme="minorHAnsi"/>
          <w:b/>
          <w:bCs/>
        </w:rPr>
      </w:pPr>
      <w:r w:rsidRPr="003238A6">
        <w:rPr>
          <w:rFonts w:cstheme="minorHAnsi"/>
          <w:b/>
          <w:bCs/>
        </w:rPr>
        <w:t>Supplemental Methods</w:t>
      </w:r>
      <w:r w:rsidR="009A709C" w:rsidRPr="003238A6">
        <w:rPr>
          <w:rFonts w:cstheme="minorHAnsi"/>
          <w:b/>
          <w:bCs/>
        </w:rPr>
        <w:t xml:space="preserve"> for soil sampling, enzyme assay, DNA extraction and incubation study</w:t>
      </w:r>
    </w:p>
    <w:p w14:paraId="5EA605BB" w14:textId="603E3F73" w:rsidR="00B429B0" w:rsidRPr="009F61A4" w:rsidRDefault="00B429B0" w:rsidP="009A709C">
      <w:pPr>
        <w:spacing w:after="0" w:line="480" w:lineRule="auto"/>
        <w:rPr>
          <w:rFonts w:cstheme="minorHAnsi"/>
          <w:u w:val="single"/>
        </w:rPr>
      </w:pPr>
      <w:r w:rsidRPr="009F61A4">
        <w:rPr>
          <w:rFonts w:cstheme="minorHAnsi"/>
          <w:u w:val="single"/>
        </w:rPr>
        <w:t>Soil sampling</w:t>
      </w:r>
    </w:p>
    <w:p w14:paraId="65D2B3FE" w14:textId="22602A66" w:rsidR="00C67647" w:rsidRPr="003238A6" w:rsidRDefault="00311A0F" w:rsidP="009A709C">
      <w:pPr>
        <w:spacing w:after="0" w:line="480" w:lineRule="auto"/>
        <w:ind w:firstLine="720"/>
        <w:rPr>
          <w:rFonts w:eastAsiaTheme="minorEastAsia" w:cstheme="minorHAnsi"/>
        </w:rPr>
      </w:pPr>
      <w:r w:rsidRPr="003238A6">
        <w:rPr>
          <w:rFonts w:cstheme="minorHAnsi"/>
        </w:rPr>
        <w:t>In 2017, f</w:t>
      </w:r>
      <w:r w:rsidRPr="003238A6">
        <w:rPr>
          <w:rFonts w:eastAsiaTheme="minorEastAsia" w:cstheme="minorHAnsi"/>
        </w:rPr>
        <w:t xml:space="preserve">orest floors and mineral soils (0-20 cm depth) were collected from 12 random microsites per plot and combined into 3 forest floor and 3 mineral soil composite subsamples for </w:t>
      </w:r>
      <w:r w:rsidR="00B429B0" w:rsidRPr="003238A6">
        <w:rPr>
          <w:rFonts w:eastAsiaTheme="minorEastAsia" w:cstheme="minorHAnsi"/>
        </w:rPr>
        <w:t xml:space="preserve">chemical </w:t>
      </w:r>
      <w:r w:rsidRPr="003238A6">
        <w:rPr>
          <w:rFonts w:eastAsiaTheme="minorEastAsia" w:cstheme="minorHAnsi"/>
        </w:rPr>
        <w:t>analysis (Brunisol plots had thin forest floors so for these we took 1 or 2 composite samples). In sampling forest floors we removed a</w:t>
      </w:r>
      <w:r w:rsidRPr="003238A6">
        <w:rPr>
          <w:rFonts w:cstheme="minorHAnsi"/>
        </w:rPr>
        <w:t xml:space="preserve">ll fresh litter materials (e.g., needles, branches, cones) in the field to reveal the underlying, partially-decomposed F horizons and, where present, the more fully-decomposed H horizons </w:t>
      </w:r>
      <w:r w:rsidR="00E80443" w:rsidRPr="003238A6">
        <w:rPr>
          <w:rFonts w:cstheme="minorHAnsi"/>
        </w:rPr>
        <w:fldChar w:fldCharType="begin"/>
      </w:r>
      <w:r w:rsidR="00E80443" w:rsidRPr="003238A6">
        <w:rPr>
          <w:rFonts w:cstheme="minorHAnsi"/>
        </w:rPr>
        <w:instrText xml:space="preserve"> ADDIN ZOTERO_ITEM CSL_CITATION {"citationID":"ngj633Qw","properties":{"formattedCitation":"(1)","plainCitation":"(1)","noteIndex":0},"citationItems":[{"id":2599,"uris":["http://zotero.org/users/5053900/items/3TWLK3SI"],"uri":["http://zotero.org/users/5053900/items/3TWLK3SI"],"itemData":{"id":2599,"type":"article-journal","container-title":"Towards a taxonomic classification of humus forms","ISSN":"0015-749X","issue":"1","journalAbbreviation":"For. sci","note":"publisher-place: Bethesda, MD\npublisher: Society of American Foresters","page":"1-49","title":"Towards a taxonomic classification of humus forms","volume":"39","author":[{"family":"Green","given":"R. N"},{"family":"Trowbridge","given":"R. L."},{"family":"Klinka","given":"K."}],"issued":{"date-parts":[["1993"]]}}}],"schema":"https://github.com/citation-style-language/schema/raw/master/csl-citation.json"} </w:instrText>
      </w:r>
      <w:r w:rsidR="00E80443" w:rsidRPr="003238A6">
        <w:rPr>
          <w:rFonts w:cstheme="minorHAnsi"/>
        </w:rPr>
        <w:fldChar w:fldCharType="separate"/>
      </w:r>
      <w:r w:rsidR="00E80443" w:rsidRPr="003238A6">
        <w:rPr>
          <w:rFonts w:cstheme="minorHAnsi"/>
        </w:rPr>
        <w:t>(</w:t>
      </w:r>
      <w:r w:rsidR="009F61A4">
        <w:rPr>
          <w:rFonts w:cstheme="minorHAnsi"/>
        </w:rPr>
        <w:t>Green et al</w:t>
      </w:r>
      <w:r w:rsidR="00CF407C">
        <w:rPr>
          <w:rFonts w:cstheme="minorHAnsi"/>
        </w:rPr>
        <w:t>.</w:t>
      </w:r>
      <w:r w:rsidR="009F61A4">
        <w:rPr>
          <w:rFonts w:cstheme="minorHAnsi"/>
        </w:rPr>
        <w:t xml:space="preserve"> 1993</w:t>
      </w:r>
      <w:r w:rsidR="00E80443" w:rsidRPr="003238A6">
        <w:rPr>
          <w:rFonts w:cstheme="minorHAnsi"/>
        </w:rPr>
        <w:t>)</w:t>
      </w:r>
      <w:r w:rsidR="00E80443" w:rsidRPr="003238A6">
        <w:rPr>
          <w:rFonts w:cstheme="minorHAnsi"/>
        </w:rPr>
        <w:fldChar w:fldCharType="end"/>
      </w:r>
      <w:r w:rsidRPr="003238A6">
        <w:rPr>
          <w:rFonts w:cstheme="minorHAnsi"/>
        </w:rPr>
        <w:t xml:space="preserve">. </w:t>
      </w:r>
      <w:r w:rsidRPr="003238A6">
        <w:rPr>
          <w:rFonts w:eastAsiaTheme="minorEastAsia" w:cstheme="minorHAnsi"/>
        </w:rPr>
        <w:t xml:space="preserve">Foliar samples were collected in November 2017 from current-year needles off multiple branches of </w:t>
      </w:r>
      <w:r w:rsidRPr="003238A6">
        <w:rPr>
          <w:rFonts w:eastAsiaTheme="minorEastAsia" w:cstheme="minorHAnsi"/>
          <w:i/>
        </w:rPr>
        <w:t>P</w:t>
      </w:r>
      <w:r w:rsidRPr="003238A6">
        <w:rPr>
          <w:rFonts w:eastAsiaTheme="minorEastAsia" w:cstheme="minorHAnsi"/>
        </w:rPr>
        <w:t xml:space="preserve">. </w:t>
      </w:r>
      <w:r w:rsidRPr="003238A6">
        <w:rPr>
          <w:rFonts w:eastAsiaTheme="minorEastAsia" w:cstheme="minorHAnsi"/>
          <w:i/>
        </w:rPr>
        <w:t>menziesii</w:t>
      </w:r>
      <w:r w:rsidRPr="003238A6">
        <w:rPr>
          <w:rFonts w:eastAsiaTheme="minorEastAsia" w:cstheme="minorHAnsi"/>
        </w:rPr>
        <w:t xml:space="preserve"> and composited into three samples per plot.</w:t>
      </w:r>
    </w:p>
    <w:p w14:paraId="2F9ECC86" w14:textId="22D78576" w:rsidR="00311A0F" w:rsidRPr="003238A6" w:rsidRDefault="00B429B0" w:rsidP="009A709C">
      <w:pPr>
        <w:spacing w:after="0" w:line="480" w:lineRule="auto"/>
        <w:ind w:firstLine="720"/>
        <w:rPr>
          <w:rFonts w:cstheme="minorHAnsi"/>
        </w:rPr>
      </w:pPr>
      <w:r w:rsidRPr="003238A6">
        <w:rPr>
          <w:rFonts w:cstheme="minorHAnsi"/>
        </w:rPr>
        <w:t xml:space="preserve">In 2019, we obtained fresh soils using the same sampling regime as </w:t>
      </w:r>
      <w:r w:rsidR="006B7408" w:rsidRPr="003238A6">
        <w:rPr>
          <w:rFonts w:cstheme="minorHAnsi"/>
        </w:rPr>
        <w:t xml:space="preserve">was employed previously for </w:t>
      </w:r>
      <w:r w:rsidRPr="003238A6">
        <w:rPr>
          <w:rFonts w:cstheme="minorHAnsi"/>
        </w:rPr>
        <w:t xml:space="preserve">chemistry. </w:t>
      </w:r>
      <w:r w:rsidR="00311A0F" w:rsidRPr="003238A6">
        <w:rPr>
          <w:rFonts w:cstheme="minorHAnsi"/>
        </w:rPr>
        <w:t>Substrates were randomly sampled across 12 microsites per plot and composited into 3 subsamples. One Brunisol site lacked suitable F horizons so only mineral soil was collected. The augers and knives were washed in water and sterilized with 95% ethanol after sampling each plot. Soils were transported on ice, kept refrigerated overnight and sieved the following day (4.75 mm) to remove rocks and roots. The sieves were also washed in water and sterilized with ethanol after processing the soil from each plot. Another subsample was removed to determine gravimetric moisture content (24 hours at 105°C). For each plot the remaining soil from the three composites was combined, mixed well and distributed, at an equivalent dry weight of 100 g mineral soil and 25 g forest floor per jar, into four 500 ml glass jars for an incubation study. As part of the incubation study we also set aside approximately 250 ml of the fresh mineral soil and forest floor from each Brunisol site for use in an ‘inoculum’ treatment.</w:t>
      </w:r>
    </w:p>
    <w:p w14:paraId="3BF4E8EA" w14:textId="2C37C5A3" w:rsidR="00B429B0" w:rsidRPr="009F61A4" w:rsidRDefault="00B429B0" w:rsidP="009A709C">
      <w:pPr>
        <w:spacing w:after="0" w:line="480" w:lineRule="auto"/>
        <w:rPr>
          <w:rFonts w:cstheme="minorHAnsi"/>
          <w:u w:val="single"/>
        </w:rPr>
      </w:pPr>
      <w:bookmarkStart w:id="0" w:name="_Hlk72913516"/>
      <w:r w:rsidRPr="009F61A4">
        <w:rPr>
          <w:rFonts w:cstheme="minorHAnsi"/>
          <w:u w:val="single"/>
        </w:rPr>
        <w:t>Peroxidase enzyme assay</w:t>
      </w:r>
      <w:bookmarkEnd w:id="0"/>
    </w:p>
    <w:p w14:paraId="415D8A59" w14:textId="59157296" w:rsidR="00311A0F" w:rsidRPr="003238A6" w:rsidRDefault="00B429B0" w:rsidP="009A709C">
      <w:pPr>
        <w:spacing w:after="0" w:line="480" w:lineRule="auto"/>
        <w:ind w:firstLine="720"/>
        <w:rPr>
          <w:rFonts w:cstheme="minorHAnsi"/>
        </w:rPr>
      </w:pPr>
      <w:r w:rsidRPr="003238A6">
        <w:rPr>
          <w:rFonts w:cstheme="minorHAnsi"/>
        </w:rPr>
        <w:t>The assay method for Mn-dependent peroxidase activity was based on oxidative coupling of DMAB (3-dimethylaminobenzoic acid) and MBTH (3-methyl-2-benzothiazolinone hydrazone hydrochloride) in the presence of Mn</w:t>
      </w:r>
      <w:r w:rsidRPr="003238A6">
        <w:rPr>
          <w:rFonts w:cstheme="minorHAnsi"/>
          <w:vertAlign w:val="superscript"/>
        </w:rPr>
        <w:t>2+</w:t>
      </w:r>
      <w:r w:rsidRPr="003238A6">
        <w:rPr>
          <w:rFonts w:cstheme="minorHAnsi"/>
        </w:rPr>
        <w:t xml:space="preserve"> and H</w:t>
      </w:r>
      <w:r w:rsidRPr="003238A6">
        <w:rPr>
          <w:rFonts w:cstheme="minorHAnsi"/>
          <w:vertAlign w:val="subscript"/>
        </w:rPr>
        <w:t>2</w:t>
      </w:r>
      <w:r w:rsidRPr="003238A6">
        <w:rPr>
          <w:rFonts w:cstheme="minorHAnsi"/>
        </w:rPr>
        <w:t>O</w:t>
      </w:r>
      <w:r w:rsidRPr="003238A6">
        <w:rPr>
          <w:rFonts w:cstheme="minorHAnsi"/>
          <w:vertAlign w:val="subscript"/>
        </w:rPr>
        <w:t>2</w:t>
      </w:r>
      <w:r w:rsidRPr="003238A6">
        <w:rPr>
          <w:rFonts w:cstheme="minorHAnsi"/>
        </w:rPr>
        <w:t xml:space="preserve"> </w:t>
      </w:r>
      <w:r w:rsidR="00B3201A" w:rsidRPr="003238A6">
        <w:rPr>
          <w:rFonts w:cstheme="minorHAnsi"/>
        </w:rPr>
        <w:fldChar w:fldCharType="begin"/>
      </w:r>
      <w:r w:rsidR="00E80443" w:rsidRPr="003238A6">
        <w:rPr>
          <w:rFonts w:cstheme="minorHAnsi"/>
        </w:rPr>
        <w:instrText xml:space="preserve"> ADDIN ZOTERO_ITEM CSL_CITATION {"citationID":"itgUR2aA","properties":{"formattedCitation":"(2)","plainCitation":"(2)","noteIndex":0},"citationItems":[{"id":2601,"uris":["http://zotero.org/users/5053900/items/8EMM6BWD"],"uri":["http://zotero.org/users/5053900/items/8EMM6BWD"],"itemData":{"id":2601,"type":"article-journal","abstract":"A sensitive and versatile chromogenic assay for peroxidase and peroxidase-coupled reactions is described. The assay is based on the oxidative coupling of 3-methyl-2-benzothiazolinone hydrazone (MBTH) and 3-(dimethylamino)benzoic acid (DMAB). In the presence of H2O2, MBTH and DMAB peroxidase catalyze the formation of a deep purple compound, most likely an indamine dye, which has a broad absorption band between 575 and 600 mm with a peak at 590 mm. Using this assay system, solutions of peroxidase can be determined in picomolar amounts by either a rate or fixed-time method. The assay was adapted for the measurement of free hydrogen peroxide at concentrations of 2–20 μm. By coupling the assay with glucose oxidase, it was possible to measure glucose at levels of 5–25 μm; from the data an operational molar extinction coefficient of 47,600 was calculated. Maltose could be assayed by the glucose oxidase modified system by first preincubating with α-glucosidase; a linear relationship between the absorbance and maltose concentrations in the range of 3 to 13 μm was obtained. Comparison of this assay to others shows it to have many more advantages; for example, in addition to its increased sensitivity and versatility, it employs compounds not shown to be carcinogenic and that are very soluble in water. This assay should offer broad applicability to assays based on peroxidase-coupled reactions such as for glucose determination and in enzyme immunoassays.","container-title":"Analytical Biochemistry","DOI":"10.1016/0003-2697(80)90475-3","ISSN":"0003-2697","issue":"1","journalAbbreviation":"Analytical Biochemistry","language":"en","page":"389-397","source":"ScienceDirect","title":"A sensitive and versatile chromogenic assay for peroxidase and peroxidase-coupled reactions","volume":"105","author":[{"family":"Ngo","given":"T. T."},{"family":"Lenhoff","given":"Howard M."}],"issued":{"date-parts":[["1980",6,1]]}}}],"schema":"https://github.com/citation-style-language/schema/raw/master/csl-citation.json"} </w:instrText>
      </w:r>
      <w:r w:rsidR="00B3201A" w:rsidRPr="003238A6">
        <w:rPr>
          <w:rFonts w:cstheme="minorHAnsi"/>
        </w:rPr>
        <w:fldChar w:fldCharType="separate"/>
      </w:r>
      <w:r w:rsidR="00E80443" w:rsidRPr="003238A6">
        <w:rPr>
          <w:rFonts w:cstheme="minorHAnsi"/>
        </w:rPr>
        <w:t>(</w:t>
      </w:r>
      <w:r w:rsidR="009F61A4" w:rsidRPr="003238A6">
        <w:rPr>
          <w:rFonts w:cstheme="minorHAnsi"/>
        </w:rPr>
        <w:t>Ngo</w:t>
      </w:r>
      <w:r w:rsidR="009F61A4">
        <w:rPr>
          <w:rFonts w:cstheme="minorHAnsi"/>
        </w:rPr>
        <w:t xml:space="preserve"> and</w:t>
      </w:r>
      <w:r w:rsidR="009F61A4" w:rsidRPr="003238A6">
        <w:rPr>
          <w:rFonts w:cstheme="minorHAnsi"/>
        </w:rPr>
        <w:t xml:space="preserve"> Lenhoff</w:t>
      </w:r>
      <w:r w:rsidR="009F61A4">
        <w:rPr>
          <w:rFonts w:cstheme="minorHAnsi"/>
        </w:rPr>
        <w:t xml:space="preserve"> 1980</w:t>
      </w:r>
      <w:r w:rsidR="00E80443" w:rsidRPr="003238A6">
        <w:rPr>
          <w:rFonts w:cstheme="minorHAnsi"/>
        </w:rPr>
        <w:t>)</w:t>
      </w:r>
      <w:r w:rsidR="00B3201A" w:rsidRPr="003238A6">
        <w:rPr>
          <w:rFonts w:cstheme="minorHAnsi"/>
        </w:rPr>
        <w:fldChar w:fldCharType="end"/>
      </w:r>
      <w:r w:rsidRPr="003238A6">
        <w:rPr>
          <w:rFonts w:cstheme="minorHAnsi"/>
        </w:rPr>
        <w:t xml:space="preserve">, as developed for forest soils </w:t>
      </w:r>
      <w:r w:rsidRPr="003238A6">
        <w:rPr>
          <w:rFonts w:cstheme="minorHAnsi"/>
        </w:rPr>
        <w:lastRenderedPageBreak/>
        <w:t xml:space="preserve">by Kyaschenko et al. </w:t>
      </w:r>
      <w:r w:rsidR="00B3201A" w:rsidRPr="003238A6">
        <w:rPr>
          <w:rFonts w:cstheme="minorHAnsi"/>
        </w:rPr>
        <w:fldChar w:fldCharType="begin"/>
      </w:r>
      <w:r w:rsidR="00E80443" w:rsidRPr="003238A6">
        <w:rPr>
          <w:rFonts w:cstheme="minorHAnsi"/>
        </w:rPr>
        <w:instrText xml:space="preserve"> ADDIN ZOTERO_ITEM CSL_CITATION {"citationID":"DbNVrES5","properties":{"formattedCitation":"(3)","plainCitation":"(3)","noteIndex":0},"citationItems":[{"id":481,"uris":["http://zotero.org/users/5053900/items/ZVWQF45G"],"uri":["http://zotero.org/users/5053900/items/ZVWQF45G"],"itemData":{"id":481,"type":"article-journal","abstract":"Plant–soil interactions link ecosystem fertility and organic matter accumulation below ground. Soil microorganisms play a central role as mediators of these interactions, but mechanistic understanding is still largely lacking. Correlative data from a coniferous forest ecosystem support the hypothesis that interactions between fungal guilds play a central role in regulating organic matter accumulation in relation to fertility. With increasing ecosystem fertility, the proportion of saprotrophic basidiomycetes increased in deeper organic layers, at the expense of ectomycorrhizal fungal species. Saprotrophs correlated positively with the activity of oxidative enzymes, which in turn favoured organic matter turnover and nitrogen recycling to plants. Combined, our ﬁndings are consistent with a fungus-mediated feedback loop, which results in a negative correlation between ecosystem fertility and below-ground carbon storage. These ﬁndings call for a shift in focus from plant litter traits to fungal traits in explaining organic matter dynamics and ecosystem fertility in boreal forests.","container-title":"Ecology Letters","DOI":"10.1111/ele.12862","ISSN":"1461023X","issue":"12","language":"en","page":"1546-1555","source":"Crossref","title":"Below-ground organic matter accumulation along a boreal forest fertility gradient relates to guild interaction within fungal communities","volume":"20","author":[{"family":"Kyaschenko","given":"Julia"},{"family":"Clemmensen","given":"Karina E."},{"family":"Karltun","given":"Erik"},{"family":"Lindahl","given":"Björn D."}],"editor":[{"family":"Klironomos","given":"John"}],"issued":{"date-parts":[["2017",12]]}}}],"schema":"https://github.com/citation-style-language/schema/raw/master/csl-citation.json"} </w:instrText>
      </w:r>
      <w:r w:rsidR="00B3201A" w:rsidRPr="003238A6">
        <w:rPr>
          <w:rFonts w:cstheme="minorHAnsi"/>
        </w:rPr>
        <w:fldChar w:fldCharType="separate"/>
      </w:r>
      <w:r w:rsidR="00E80443" w:rsidRPr="003238A6">
        <w:rPr>
          <w:rFonts w:cstheme="minorHAnsi"/>
        </w:rPr>
        <w:t>(</w:t>
      </w:r>
      <w:r w:rsidR="009F61A4">
        <w:rPr>
          <w:rFonts w:cstheme="minorHAnsi"/>
        </w:rPr>
        <w:t>2017</w:t>
      </w:r>
      <w:r w:rsidR="00E80443" w:rsidRPr="003238A6">
        <w:rPr>
          <w:rFonts w:cstheme="minorHAnsi"/>
        </w:rPr>
        <w:t>)</w:t>
      </w:r>
      <w:r w:rsidR="00B3201A" w:rsidRPr="003238A6">
        <w:rPr>
          <w:rFonts w:cstheme="minorHAnsi"/>
        </w:rPr>
        <w:fldChar w:fldCharType="end"/>
      </w:r>
      <w:r w:rsidR="00B3201A" w:rsidRPr="003238A6">
        <w:rPr>
          <w:rFonts w:cstheme="minorHAnsi"/>
        </w:rPr>
        <w:t xml:space="preserve">. </w:t>
      </w:r>
      <w:r w:rsidRPr="003238A6">
        <w:rPr>
          <w:rFonts w:cstheme="minorHAnsi"/>
        </w:rPr>
        <w:t>Approximately 2.5 ml of soil (</w:t>
      </w:r>
      <m:oMath>
        <m:r>
          <w:rPr>
            <w:rFonts w:ascii="Cambria Math" w:hAnsi="Cambria Math" w:cstheme="minorHAnsi"/>
          </w:rPr>
          <m:t>≈</m:t>
        </m:r>
      </m:oMath>
      <w:r w:rsidRPr="003238A6">
        <w:rPr>
          <w:rFonts w:cstheme="minorHAnsi"/>
        </w:rPr>
        <w:t xml:space="preserve"> 0.5 g forest floor or 1.5 g mineral soil dry wt equivalent) was weighed and added to 50 ml centrifuge tubes with 5 ml of 50 mM sodium acetate buffer (pH = 5). The samples were homogenized for 60 seconds using a soil dispersion mixer (for mineral soil) (Humboldt Mfg. Co, Elgin Illinois, USA) or a VirTishear homogenizer (forest floor) (SP Scientific, Stone Ridge NY, USA), then brought up to 50 ml with further acetate buffer before centrifuging at 10,000 rpm for 10 minutes. Five ml of supernatant from each sample was transferred into two 15 ml centrifuge tubes, with one subsample heated for 30 minutes in a block heater set at 120°C. The enzyme assay included 50 µl of sample supernatant with 140 µl of reaction solution (100 mM sodium lactate buffer, 100 mM sodium succinate buffer [both adjusted to pH 4.5 with acetic acid], 50 mM DMAB, 1 mM MBTH and 1mM MnSO</w:t>
      </w:r>
      <w:r w:rsidRPr="003238A6">
        <w:rPr>
          <w:rFonts w:cstheme="minorHAnsi"/>
          <w:vertAlign w:val="subscript"/>
        </w:rPr>
        <w:t>4</w:t>
      </w:r>
      <w:r w:rsidRPr="003238A6">
        <w:rPr>
          <w:rFonts w:cstheme="minorHAnsi"/>
        </w:rPr>
        <w:t>-H</w:t>
      </w:r>
      <w:r w:rsidRPr="003238A6">
        <w:rPr>
          <w:rFonts w:cstheme="minorHAnsi"/>
          <w:vertAlign w:val="subscript"/>
        </w:rPr>
        <w:t>2</w:t>
      </w:r>
      <w:r w:rsidRPr="003238A6">
        <w:rPr>
          <w:rFonts w:cstheme="minorHAnsi"/>
        </w:rPr>
        <w:t>O solutions) and 10 µl of 5 mM H</w:t>
      </w:r>
      <w:r w:rsidRPr="003238A6">
        <w:rPr>
          <w:rFonts w:cstheme="minorHAnsi"/>
          <w:vertAlign w:val="subscript"/>
        </w:rPr>
        <w:t>2</w:t>
      </w:r>
      <w:r w:rsidRPr="003238A6">
        <w:rPr>
          <w:rFonts w:cstheme="minorHAnsi"/>
        </w:rPr>
        <w:t>O</w:t>
      </w:r>
      <w:r w:rsidRPr="003238A6">
        <w:rPr>
          <w:rFonts w:cstheme="minorHAnsi"/>
          <w:vertAlign w:val="subscript"/>
        </w:rPr>
        <w:t>2</w:t>
      </w:r>
      <w:r w:rsidRPr="003238A6">
        <w:rPr>
          <w:rFonts w:cstheme="minorHAnsi"/>
        </w:rPr>
        <w:t xml:space="preserve"> in transparent 96-well plates. Each supernatant was replicated 4 times per plate. Absorbances were recorded at 590 nm every 3 minutes for 1 hour at 25</w:t>
      </w:r>
      <w:r w:rsidRPr="003238A6">
        <w:rPr>
          <w:rFonts w:cstheme="minorHAnsi"/>
          <w:vertAlign w:val="superscript"/>
        </w:rPr>
        <w:t>o</w:t>
      </w:r>
      <w:r w:rsidRPr="003238A6">
        <w:rPr>
          <w:rFonts w:cstheme="minorHAnsi"/>
        </w:rPr>
        <w:t>C using a Gen5 Microplate Reader (BioTek Instruments, Winooski Vermont, USA). Enzyme activities were calculated by regression of average linear increases in absorbance against time (of the 4 replicates per plate) with a micromolar extinction coefficient of 7.9 μmol</w:t>
      </w:r>
      <w:r w:rsidRPr="003238A6">
        <w:rPr>
          <w:rFonts w:cstheme="minorHAnsi"/>
          <w:vertAlign w:val="superscript"/>
        </w:rPr>
        <w:t xml:space="preserve">-1 </w:t>
      </w:r>
      <w:r w:rsidRPr="003238A6">
        <w:rPr>
          <w:rFonts w:cstheme="minorHAnsi"/>
        </w:rPr>
        <w:t>as outlined by</w:t>
      </w:r>
      <w:r w:rsidR="009F61A4">
        <w:rPr>
          <w:rFonts w:cstheme="minorHAnsi"/>
        </w:rPr>
        <w:t xml:space="preserve"> DeForest (2009)</w:t>
      </w:r>
      <w:r w:rsidR="00B3201A" w:rsidRPr="003238A6">
        <w:rPr>
          <w:rFonts w:cstheme="minorHAnsi"/>
        </w:rPr>
        <w:t xml:space="preserve">. </w:t>
      </w:r>
      <w:r w:rsidRPr="003238A6">
        <w:rPr>
          <w:rFonts w:cstheme="minorHAnsi"/>
        </w:rPr>
        <w:t>The residual peroxidase activity not dependent on Mn as a cofactor was subtracted based on reactions in which MnSO</w:t>
      </w:r>
      <w:r w:rsidRPr="003238A6">
        <w:rPr>
          <w:rFonts w:cstheme="minorHAnsi"/>
          <w:vertAlign w:val="subscript"/>
        </w:rPr>
        <w:t>4</w:t>
      </w:r>
      <w:r w:rsidRPr="003238A6">
        <w:rPr>
          <w:rFonts w:cstheme="minorHAnsi"/>
        </w:rPr>
        <w:t xml:space="preserve"> was replaced by a chelator (2 mM Na</w:t>
      </w:r>
      <w:r w:rsidRPr="003238A6">
        <w:rPr>
          <w:rFonts w:cstheme="minorHAnsi"/>
          <w:vertAlign w:val="subscript"/>
        </w:rPr>
        <w:t>2</w:t>
      </w:r>
      <w:r w:rsidRPr="003238A6">
        <w:rPr>
          <w:rFonts w:cstheme="minorHAnsi"/>
        </w:rPr>
        <w:t>-EDTA-2H</w:t>
      </w:r>
      <w:r w:rsidRPr="003238A6">
        <w:rPr>
          <w:rFonts w:cstheme="minorHAnsi"/>
          <w:vertAlign w:val="subscript"/>
        </w:rPr>
        <w:t>2</w:t>
      </w:r>
      <w:r w:rsidRPr="003238A6">
        <w:rPr>
          <w:rFonts w:cstheme="minorHAnsi"/>
        </w:rPr>
        <w:t>O). Substrate controls for background absorption unrelated to enzyme activity were supernatants plus reaction solutions without H</w:t>
      </w:r>
      <w:r w:rsidRPr="003238A6">
        <w:rPr>
          <w:rFonts w:cstheme="minorHAnsi"/>
          <w:vertAlign w:val="subscript"/>
        </w:rPr>
        <w:t>2</w:t>
      </w:r>
      <w:r w:rsidRPr="003238A6">
        <w:rPr>
          <w:rFonts w:cstheme="minorHAnsi"/>
        </w:rPr>
        <w:t>O</w:t>
      </w:r>
      <w:r w:rsidRPr="003238A6">
        <w:rPr>
          <w:rFonts w:cstheme="minorHAnsi"/>
          <w:vertAlign w:val="subscript"/>
        </w:rPr>
        <w:t>2</w:t>
      </w:r>
      <w:r w:rsidRPr="003238A6">
        <w:rPr>
          <w:rFonts w:cstheme="minorHAnsi"/>
        </w:rPr>
        <w:t>, while boiled samples were used as negative controls to confirm enzyme involvement in the colour change. Enzyme activity was expressed as μmol h</w:t>
      </w:r>
      <w:r w:rsidRPr="003238A6">
        <w:rPr>
          <w:rFonts w:cstheme="minorHAnsi"/>
          <w:vertAlign w:val="superscript"/>
        </w:rPr>
        <w:t>-1</w:t>
      </w:r>
      <w:r w:rsidRPr="003238A6">
        <w:rPr>
          <w:rFonts w:cstheme="minorHAnsi"/>
        </w:rPr>
        <w:t xml:space="preserve"> g</w:t>
      </w:r>
      <w:r w:rsidRPr="003238A6">
        <w:rPr>
          <w:rFonts w:cstheme="minorHAnsi"/>
          <w:vertAlign w:val="superscript"/>
        </w:rPr>
        <w:t>-1</w:t>
      </w:r>
      <w:r w:rsidRPr="003238A6">
        <w:rPr>
          <w:rFonts w:cstheme="minorHAnsi"/>
        </w:rPr>
        <w:t xml:space="preserve"> dry soil for both substrates.  </w:t>
      </w:r>
    </w:p>
    <w:p w14:paraId="0169110F" w14:textId="28FC3063" w:rsidR="00B429B0" w:rsidRPr="009F61A4" w:rsidRDefault="00B429B0" w:rsidP="009A709C">
      <w:pPr>
        <w:spacing w:after="0" w:line="480" w:lineRule="auto"/>
        <w:rPr>
          <w:rFonts w:cstheme="minorHAnsi"/>
          <w:iCs/>
          <w:u w:val="single"/>
        </w:rPr>
      </w:pPr>
      <w:bookmarkStart w:id="1" w:name="_Hlk72913548"/>
      <w:r w:rsidRPr="009F61A4">
        <w:rPr>
          <w:rFonts w:cstheme="minorHAnsi"/>
          <w:iCs/>
          <w:u w:val="single"/>
        </w:rPr>
        <w:t>DNA extraction</w:t>
      </w:r>
      <w:r w:rsidR="009A709C" w:rsidRPr="009F61A4">
        <w:rPr>
          <w:rFonts w:cstheme="minorHAnsi"/>
          <w:iCs/>
          <w:u w:val="single"/>
        </w:rPr>
        <w:t>,</w:t>
      </w:r>
      <w:r w:rsidRPr="009F61A4">
        <w:rPr>
          <w:rFonts w:cstheme="minorHAnsi"/>
          <w:iCs/>
          <w:u w:val="single"/>
        </w:rPr>
        <w:t xml:space="preserve"> sequencing</w:t>
      </w:r>
      <w:r w:rsidR="009A709C" w:rsidRPr="009F61A4">
        <w:rPr>
          <w:rFonts w:cstheme="minorHAnsi"/>
          <w:iCs/>
          <w:u w:val="single"/>
        </w:rPr>
        <w:t xml:space="preserve"> and bioinformatics</w:t>
      </w:r>
    </w:p>
    <w:bookmarkEnd w:id="1"/>
    <w:p w14:paraId="36C01D61" w14:textId="0440090D" w:rsidR="00B429B0" w:rsidRPr="003238A6" w:rsidRDefault="00B429B0" w:rsidP="009A709C">
      <w:pPr>
        <w:spacing w:after="0" w:line="480" w:lineRule="auto"/>
        <w:ind w:firstLine="720"/>
        <w:rPr>
          <w:rFonts w:cstheme="minorHAnsi"/>
        </w:rPr>
      </w:pPr>
      <w:r w:rsidRPr="003238A6">
        <w:rPr>
          <w:rFonts w:cstheme="minorHAnsi"/>
        </w:rPr>
        <w:t xml:space="preserve">DNA from soil and forest floor material was extracted using the Qiagen DNeasy PowerSoil kit (Cat No. 12888, Hilden, Germany) following manufacturer instructions. DNA was inspected for quality and integrity using a NanoDrop Lite spectrophotometer (Wilmington, DE, USA) and with standard gel electrophoresis. Samples were sent to the Integrated Microbiome Resource (IMR) sequencing facility in </w:t>
      </w:r>
      <w:r w:rsidRPr="003238A6">
        <w:rPr>
          <w:rFonts w:cstheme="minorHAnsi"/>
        </w:rPr>
        <w:lastRenderedPageBreak/>
        <w:t xml:space="preserve">Halifax, Canada for PCR amplification and sequenced on the PacBio Sequel (v3 chemistry). Full details of the IMR protocols are available at </w:t>
      </w:r>
      <w:hyperlink r:id="rId5" w:history="1">
        <w:r w:rsidRPr="003238A6">
          <w:rPr>
            <w:rStyle w:val="Hyperlink"/>
            <w:rFonts w:cstheme="minorHAnsi"/>
          </w:rPr>
          <w:t>https://imr.bio/protocols.html</w:t>
        </w:r>
      </w:hyperlink>
      <w:r w:rsidRPr="003238A6">
        <w:rPr>
          <w:rFonts w:cstheme="minorHAnsi"/>
        </w:rPr>
        <w:t xml:space="preserve">. Briefly, the full length ITS region (SSU+ITS1+5.8S+ITS2+LSU) was amplified in duplicate from template DNA using high-fidelity Phusion polymerase and fusion primers (PacBio adaptors + barcodes + primers). The ITS1FKYO2 (TAGAGGAAGTAAAAGTCGTAA) forward and ITS4KYO1 (TCCTCCGCTTWTTGWTWTGC) reverse primers were used to target Ascomycetes and Basidomycetes </w:t>
      </w:r>
      <w:r w:rsidR="00B3201A" w:rsidRPr="003238A6">
        <w:rPr>
          <w:rFonts w:cstheme="minorHAnsi"/>
        </w:rPr>
        <w:fldChar w:fldCharType="begin"/>
      </w:r>
      <w:r w:rsidR="00E80443" w:rsidRPr="003238A6">
        <w:rPr>
          <w:rFonts w:cstheme="minorHAnsi"/>
        </w:rPr>
        <w:instrText xml:space="preserve"> ADDIN ZOTERO_ITEM CSL_CITATION {"citationID":"RJNvwPIN","properties":{"formattedCitation":"(5)","plainCitation":"(5)","noteIndex":0},"citationItems":[{"id":2290,"uris":["http://zotero.org/users/5053900/items/EH2DCAG3"],"uri":["http://zotero.org/users/5053900/items/EH2DCAG3"],"itemData":{"id":2290,"type":"article-journal","abstract":"The kingdom Fungi is estimated to include 1.5 million or more species, playing key roles as decomposers, mutualists, and parasites in every biome on the earth. To comprehensively understand the diversity and ecology of this huge kingdom, DNA barcoding targeting the internal transcribed spacer (ITS) region of the nuclear ribosomal repeat has been regarded as a prerequisite procedure. By extensively surveying ITS sequences in public databases, we designed new ITS primers with improved coverage across diverse taxonomic groups of fungi compared to existing primers. An in silico analysis based on public sequence databases indicated that the newly designed primers matched 99% of ascomycete and basidiomycete ITS taxa (species, subspecies or varieties), causing little taxonomic bias toward either fungal group. Two of the newly designed primers could inhibit the amplification of plant sequences and would enable the selective investigation of fungal communities in mycorrhizal associations, soil, and other types of environmental samples. Optimal PCR conditions for the primers were explored in an in vitro investigation. The new primers developed in this study will provide a basis for ecological studies on the diversity and community structures of fungi in the era of massive DNA sequencing.","container-title":"PLOS ONE","DOI":"10.1371/journal.pone.0040863","ISSN":"1932-6203","issue":"7","journalAbbreviation":"PLOS ONE","language":"en","note":"publisher: Public Library of Science","page":"e40863","source":"PLoS Journals","title":"High-Coverage ITS Primers for the DNA-Based Identification of Ascomycetes and Basidiomycetes in Environmental Samples","volume":"7","author":[{"family":"Toju","given":"Hirokazu"},{"family":"Tanabe","given":"Akifumi S."},{"family":"Yamamoto","given":"Satoshi"},{"family":"Sato","given":"Hirotoshi"}],"issued":{"date-parts":[["2012",7,12]]}}}],"schema":"https://github.com/citation-style-language/schema/raw/master/csl-citation.json"} </w:instrText>
      </w:r>
      <w:r w:rsidR="00B3201A" w:rsidRPr="003238A6">
        <w:rPr>
          <w:rFonts w:cstheme="minorHAnsi"/>
        </w:rPr>
        <w:fldChar w:fldCharType="separate"/>
      </w:r>
      <w:r w:rsidR="00E80443" w:rsidRPr="003238A6">
        <w:rPr>
          <w:rFonts w:cstheme="minorHAnsi"/>
        </w:rPr>
        <w:t>(</w:t>
      </w:r>
      <w:r w:rsidR="00E958DF" w:rsidRPr="00206477">
        <w:rPr>
          <w:bCs/>
        </w:rPr>
        <w:t>Toju et al. 2012</w:t>
      </w:r>
      <w:r w:rsidR="00E80443" w:rsidRPr="003238A6">
        <w:rPr>
          <w:rFonts w:cstheme="minorHAnsi"/>
        </w:rPr>
        <w:t>)</w:t>
      </w:r>
      <w:r w:rsidR="00B3201A" w:rsidRPr="003238A6">
        <w:rPr>
          <w:rFonts w:cstheme="minorHAnsi"/>
        </w:rPr>
        <w:fldChar w:fldCharType="end"/>
      </w:r>
      <w:r w:rsidRPr="003238A6">
        <w:rPr>
          <w:rFonts w:cstheme="minorHAnsi"/>
        </w:rPr>
        <w:t>. The final reaction mix (25 µL) contained 5 µL 5x PCR buffer, 0.5 µL dNTPs (40 mM), 5 µL ITS1FKYO2 (1 µM), 5 µL ITS4KYO1 (1 µM), 0.25 µL Phusion polymerase (2 U/µL, Thermofisher, Waltham, USA), 7.25 µL PCR-grade water and 2 µL of diluted (1:10) template DNA. Thermocycling conditions included an initial denaturation step (98°C, 30s), 30 cycles of: denaturation (98°C, 10s), annealing (55°C, 30s), extension (72°C, 30s), and a final extension step (72°C, 4m 30s). Duplicate samples were pooled, cleaned up, and normalized before sequencing. Sequencing results were received as demultiplexed fastq files.</w:t>
      </w:r>
    </w:p>
    <w:p w14:paraId="77B89222" w14:textId="74BE101A" w:rsidR="00B429B0" w:rsidRPr="003238A6" w:rsidRDefault="00B429B0" w:rsidP="009A709C">
      <w:pPr>
        <w:spacing w:after="0" w:line="480" w:lineRule="auto"/>
        <w:ind w:firstLine="720"/>
        <w:rPr>
          <w:rFonts w:cstheme="minorHAnsi"/>
        </w:rPr>
      </w:pPr>
      <w:r w:rsidRPr="003238A6">
        <w:rPr>
          <w:rFonts w:cstheme="minorHAnsi"/>
        </w:rPr>
        <w:t xml:space="preserve">Sequences were quality filtered and binned into amplicon sequence variants (ASVs) using the DADA2 software package in R </w:t>
      </w:r>
      <w:r w:rsidR="00720553" w:rsidRPr="003238A6">
        <w:rPr>
          <w:rFonts w:cstheme="minorHAnsi"/>
          <w:bCs/>
        </w:rPr>
        <w:fldChar w:fldCharType="begin"/>
      </w:r>
      <w:r w:rsidR="00E80443" w:rsidRPr="003238A6">
        <w:rPr>
          <w:rFonts w:cstheme="minorHAnsi"/>
          <w:bCs/>
        </w:rPr>
        <w:instrText xml:space="preserve"> ADDIN ZOTERO_ITEM CSL_CITATION {"citationID":"133htSKO","properties":{"formattedCitation":"(6)","plainCitation":"(6)","noteIndex":0},"citationItems":[{"id":2221,"uris":["http://zotero.org/users/5053900/items/VFHIQNCX"],"uri":["http://zotero.org/users/5053900/items/VFHIQNCX"],"itemData":{"id":2221,"type":"article-journal","abstract":"DADA2 is an open-source software package that denoises and removes sequencing errors from Illumina amplicon sequence data to distinguish microbial sample sequences differing by as little as a single nucleotide.","container-title":"Nature Methods","DOI":"10.1038/nmeth.3869","ISSN":"1548-7105","issue":"7","language":"en","note":"number: 7\npublisher: Nature Publishing Group","page":"581-583","source":"www-nature-com.ezproxy.library.ubc.ca","title":"DADA2: High-resolution sample inference from Illumina amplicon data","title-short":"DADA2","volume":"13","author":[{"family":"Callahan","given":"Benjamin J."},{"family":"McMurdie","given":"Paul J."},{"family":"Rosen","given":"Michael J."},{"family":"Han","given":"Andrew W."},{"family":"Johnson","given":"Amy Jo A."},{"family":"Holmes","given":"Susan P."}],"issued":{"date-parts":[["2016",7]]}}}],"schema":"https://github.com/citation-style-language/schema/raw/master/csl-citation.json"} </w:instrText>
      </w:r>
      <w:r w:rsidR="00720553" w:rsidRPr="003238A6">
        <w:rPr>
          <w:rFonts w:cstheme="minorHAnsi"/>
          <w:bCs/>
        </w:rPr>
        <w:fldChar w:fldCharType="separate"/>
      </w:r>
      <w:r w:rsidR="00E80443" w:rsidRPr="003238A6">
        <w:rPr>
          <w:rFonts w:cstheme="minorHAnsi"/>
        </w:rPr>
        <w:t>(</w:t>
      </w:r>
      <w:r w:rsidR="00BA47BE" w:rsidRPr="003238A6">
        <w:rPr>
          <w:rFonts w:cstheme="minorHAnsi"/>
        </w:rPr>
        <w:t>Callahan</w:t>
      </w:r>
      <w:r w:rsidR="00BA47BE">
        <w:rPr>
          <w:rFonts w:cstheme="minorHAnsi"/>
        </w:rPr>
        <w:t xml:space="preserve"> et al. 2016</w:t>
      </w:r>
      <w:r w:rsidR="00E80443" w:rsidRPr="003238A6">
        <w:rPr>
          <w:rFonts w:cstheme="minorHAnsi"/>
        </w:rPr>
        <w:t>)</w:t>
      </w:r>
      <w:r w:rsidR="00720553" w:rsidRPr="003238A6">
        <w:rPr>
          <w:rFonts w:cstheme="minorHAnsi"/>
          <w:bCs/>
        </w:rPr>
        <w:fldChar w:fldCharType="end"/>
      </w:r>
      <w:r w:rsidRPr="003238A6">
        <w:rPr>
          <w:rFonts w:cstheme="minorHAnsi"/>
        </w:rPr>
        <w:t xml:space="preserve">. The </w:t>
      </w:r>
      <w:r w:rsidRPr="003238A6">
        <w:rPr>
          <w:rFonts w:cstheme="minorHAnsi"/>
          <w:i/>
        </w:rPr>
        <w:t xml:space="preserve">filterAndTrim </w:t>
      </w:r>
      <w:r w:rsidRPr="003238A6">
        <w:rPr>
          <w:rFonts w:cstheme="minorHAnsi"/>
        </w:rPr>
        <w:t xml:space="preserve">function was used to remove sequences with quality scores &lt;3 and with expected errors greater than 2. The minimum and maximum lengths were set to 200 and 1800 bp, respectively. The </w:t>
      </w:r>
      <w:r w:rsidRPr="003238A6">
        <w:rPr>
          <w:rFonts w:cstheme="minorHAnsi"/>
          <w:i/>
        </w:rPr>
        <w:t>dada</w:t>
      </w:r>
      <w:r w:rsidRPr="003238A6">
        <w:rPr>
          <w:rFonts w:cstheme="minorHAnsi"/>
        </w:rPr>
        <w:t xml:space="preserve"> function was then used to infer ASVs based on the expectation that repeated sequences are more likely to be a true sequences relative to an error-containing sequences. Chimeras were removed with the </w:t>
      </w:r>
      <w:r w:rsidRPr="003238A6">
        <w:rPr>
          <w:rFonts w:cstheme="minorHAnsi"/>
          <w:i/>
        </w:rPr>
        <w:t>removeBimerasDenovo</w:t>
      </w:r>
      <w:r w:rsidRPr="003238A6">
        <w:rPr>
          <w:rFonts w:cstheme="minorHAnsi"/>
        </w:rPr>
        <w:t xml:space="preserve"> function. The UNITE+INSD reference database (v8.2</w:t>
      </w:r>
      <w:r w:rsidR="00720553" w:rsidRPr="003238A6">
        <w:rPr>
          <w:rFonts w:cstheme="minorHAnsi"/>
        </w:rPr>
        <w:t xml:space="preserve">, </w:t>
      </w:r>
      <w:r w:rsidR="00720553" w:rsidRPr="003238A6">
        <w:rPr>
          <w:rFonts w:cstheme="minorHAnsi"/>
        </w:rPr>
        <w:fldChar w:fldCharType="begin"/>
      </w:r>
      <w:r w:rsidR="00E80443" w:rsidRPr="003238A6">
        <w:rPr>
          <w:rFonts w:cstheme="minorHAnsi"/>
        </w:rPr>
        <w:instrText xml:space="preserve"> ADDIN ZOTERO_ITEM CSL_CITATION {"citationID":"aGpxfcsw","properties":{"formattedCitation":"(7)","plainCitation":"(7)","noteIndex":0},"citationItems":[{"id":2594,"uris":["http://zotero.org/users/5053900/items/ZV3HXZW5"],"uri":["http://zotero.org/users/5053900/items/ZV3HXZW5"],"itemData":{"id":2594,"type":"webpage","container-title":"UNITE Community.","title":"Full UNITE+INSD dataset for Fungi Version 04.02.2020.","URL":"https://doi.org/10.15156/BIO/786372","author":[{"family":"Abarenkov","given":"K."},{"family":"Zirk","given":"Allan"},{"family":"Piirmann","given":"Timo"},{"family":"Pöhönen","given":"Raivo"},{"family":"Ivanov","given":"Filipp"},{"family":"Nilsson","given":"R. Henrik"},{"family":"Kõljalg","given":"Urmas"}],"issued":{"date-parts":[["2020"]]}}}],"schema":"https://github.com/citation-style-language/schema/raw/master/csl-citation.json"} </w:instrText>
      </w:r>
      <w:r w:rsidR="00720553" w:rsidRPr="003238A6">
        <w:rPr>
          <w:rFonts w:cstheme="minorHAnsi"/>
        </w:rPr>
        <w:fldChar w:fldCharType="separate"/>
      </w:r>
      <w:r w:rsidR="00BA47BE" w:rsidRPr="003238A6">
        <w:rPr>
          <w:rFonts w:cstheme="minorHAnsi"/>
        </w:rPr>
        <w:t>Abarenkov</w:t>
      </w:r>
      <w:r w:rsidR="00BA47BE">
        <w:rPr>
          <w:rFonts w:cstheme="minorHAnsi"/>
        </w:rPr>
        <w:t xml:space="preserve"> et al. 2020</w:t>
      </w:r>
      <w:r w:rsidR="00720553" w:rsidRPr="003238A6">
        <w:rPr>
          <w:rFonts w:cstheme="minorHAnsi"/>
        </w:rPr>
        <w:fldChar w:fldCharType="end"/>
      </w:r>
      <w:r w:rsidR="00720553" w:rsidRPr="003238A6">
        <w:rPr>
          <w:rFonts w:cstheme="minorHAnsi"/>
        </w:rPr>
        <w:t>)</w:t>
      </w:r>
      <w:r w:rsidRPr="003238A6">
        <w:rPr>
          <w:rFonts w:cstheme="minorHAnsi"/>
        </w:rPr>
        <w:t xml:space="preserve"> was used to assign taxonomy using the assignTaxonomy function. ASVs were further filtered using the LULU curation algorithm</w:t>
      </w:r>
      <w:r w:rsidR="00720553" w:rsidRPr="003238A6">
        <w:rPr>
          <w:rFonts w:cstheme="minorHAnsi"/>
        </w:rPr>
        <w:t xml:space="preserve"> </w:t>
      </w:r>
      <w:r w:rsidR="00720553" w:rsidRPr="003238A6">
        <w:rPr>
          <w:rFonts w:cstheme="minorHAnsi"/>
        </w:rPr>
        <w:fldChar w:fldCharType="begin"/>
      </w:r>
      <w:r w:rsidR="00E80443" w:rsidRPr="003238A6">
        <w:rPr>
          <w:rFonts w:cstheme="minorHAnsi"/>
        </w:rPr>
        <w:instrText xml:space="preserve"> ADDIN ZOTERO_ITEM CSL_CITATION {"citationID":"BIaiS6Ty","properties":{"formattedCitation":"(8)","plainCitation":"(8)","noteIndex":0},"citationItems":[{"id":2233,"uris":["http://zotero.org/users/5053900/items/VIXXSGZF"],"uri":["http://zotero.org/users/5053900/items/VIXXSGZF"],"itemData":{"id":2233,"type":"article-journal","abstract":"A central problem in biodiversity estimation from genetic markers is the ability of algorithms to retain ‘true’ species while discarding artefacts. Here, the authors present a new post-clusturing curation algorithm using OTU co-occurrences to estimate plant biodiversity from soil samples.","container-title":"Nature Communications","DOI":"10.1038/s41467-017-01312-x","ISSN":"2041-1723","issue":"1","language":"en","note":"number: 1\npublisher: Nature Publishing Group","page":"1-11","source":"www-nature-com.ezproxy.library.ubc.ca","title":"Algorithm for post-clustering curation of DNA amplicon data yields reliable biodiversity estimates","volume":"8","author":[{"family":"Frøslev","given":"Tobias Guldberg"},{"family":"Kjøller","given":"Rasmus"},{"family":"Bruun","given":"Hans Henrik"},{"family":"Ejrnæs","given":"Rasmus"},{"family":"Brunbjerg","given":"Ane Kirstine"},{"family":"Pietroni","given":"Carlotta"},{"family":"Hansen","given":"Anders Johannes"}],"issued":{"date-parts":[["2017",10,30]]}}}],"schema":"https://github.com/citation-style-language/schema/raw/master/csl-citation.json"} </w:instrText>
      </w:r>
      <w:r w:rsidR="00720553" w:rsidRPr="003238A6">
        <w:rPr>
          <w:rFonts w:cstheme="minorHAnsi"/>
        </w:rPr>
        <w:fldChar w:fldCharType="separate"/>
      </w:r>
      <w:r w:rsidR="00E80443" w:rsidRPr="003238A6">
        <w:rPr>
          <w:rFonts w:cstheme="minorHAnsi"/>
        </w:rPr>
        <w:t>(</w:t>
      </w:r>
      <w:r w:rsidR="001B3970" w:rsidRPr="003238A6">
        <w:rPr>
          <w:rFonts w:cstheme="minorHAnsi"/>
        </w:rPr>
        <w:t>Frøslev</w:t>
      </w:r>
      <w:r w:rsidR="001B3970" w:rsidRPr="003238A6">
        <w:rPr>
          <w:rFonts w:cstheme="minorHAnsi"/>
        </w:rPr>
        <w:t xml:space="preserve"> </w:t>
      </w:r>
      <w:r w:rsidR="00EB5A44">
        <w:rPr>
          <w:rFonts w:cstheme="minorHAnsi"/>
        </w:rPr>
        <w:t xml:space="preserve">et al. </w:t>
      </w:r>
      <w:r w:rsidR="001B3970">
        <w:rPr>
          <w:rFonts w:cstheme="minorHAnsi"/>
        </w:rPr>
        <w:t>2017</w:t>
      </w:r>
      <w:r w:rsidR="00E80443" w:rsidRPr="003238A6">
        <w:rPr>
          <w:rFonts w:cstheme="minorHAnsi"/>
        </w:rPr>
        <w:t>)</w:t>
      </w:r>
      <w:r w:rsidR="00720553" w:rsidRPr="003238A6">
        <w:rPr>
          <w:rFonts w:cstheme="minorHAnsi"/>
        </w:rPr>
        <w:fldChar w:fldCharType="end"/>
      </w:r>
      <w:r w:rsidR="00720553" w:rsidRPr="003238A6">
        <w:rPr>
          <w:rFonts w:cstheme="minorHAnsi"/>
        </w:rPr>
        <w:t>,</w:t>
      </w:r>
      <w:r w:rsidRPr="003238A6">
        <w:rPr>
          <w:rFonts w:cstheme="minorHAnsi"/>
        </w:rPr>
        <w:t xml:space="preserve"> which collapses variants into parent ASVs based on co-occurrence of parent and child ASVs. Finally, some taxonomic annotations were manually edited to reflect local taxonomic knowledge. Functional guilds and other trophic information were assigned with the FUNGuild script</w:t>
      </w:r>
      <w:r w:rsidR="00B3201A" w:rsidRPr="003238A6">
        <w:rPr>
          <w:rFonts w:cstheme="minorHAnsi"/>
        </w:rPr>
        <w:t xml:space="preserve"> </w:t>
      </w:r>
      <w:r w:rsidR="00B3201A" w:rsidRPr="003238A6">
        <w:rPr>
          <w:rFonts w:cstheme="minorHAnsi"/>
        </w:rPr>
        <w:fldChar w:fldCharType="begin"/>
      </w:r>
      <w:r w:rsidR="00E80443" w:rsidRPr="003238A6">
        <w:rPr>
          <w:rFonts w:cstheme="minorHAnsi"/>
        </w:rPr>
        <w:instrText xml:space="preserve"> ADDIN ZOTERO_ITEM CSL_CITATION {"citationID":"2K5boLd4","properties":{"formattedCitation":"(9)","plainCitation":"(9)","noteIndex":0},"citationItems":[{"id":326,"uris":["http://zotero.org/users/5053900/items/K4LNMZFD"],"uri":["http://zotero.org/users/5053900/items/K4LNMZFD"],"itemData":{"id":326,"type":"article-journal","abstract":"Fungi typically live in highly diverse communities composed of multiple ecological guilds. Although high-throughput sequencing has greatly increased the ability to quantify the diversity of fungi in environmental samples, researchers currently lack a simple and consistent way to sort large sequence pools into ecologically meaningful categories. We address this issue by introducing FUNGuild, a tool that can be used to taxonomically parse fungal OTUs by ecological guild independent of sequencing platform or analysis pipeline. Using a database and an accompanying bioinformatics script, we demonstrate the application of FUNGuild to three high-throughput sequencing datasets from different habitats: forest soils, grassland soils, and decomposing wood. We found that guilds characteristic of each habitat (i.e., saprotrophic and ectomycorrhizal fungi in forest soils, saprotrophic and arbuscular mycorrhizal fungi in grassland soils, saprotrophic, wood decomposer, and plant pathogenic fungi in decomposing wood) were each well represented. The example datasets demonstrate that while we could quickly and efﬁciently assign a large portion of the data to guilds, another large portion could not be assigned, reﬂecting the need to expand and improve the database as well as to gain a better understanding of natural history for many described and undescribed fungal species. As a community resource, FUNGuild is dependent on third-party annotation, so we invite researchers to populate it with new categories and records as well as reﬁne those already in existence.","container-title":"Fungal Ecology","DOI":"10.1016/j.funeco.2015.06.006","ISSN":"17545048","language":"en","page":"241-248","source":"Crossref","title":"FUNGuild: An open annotation tool for parsing fungal community datasets by ecological guild","title-short":"FUNGuild","volume":"20","author":[{"family":"Nguyen","given":"Nhu H."},{"family":"Song","given":"Zewei"},{"family":"Bates","given":"Scott T."},{"family":"Branco","given":"Sara"},{"family":"Tedersoo","given":"Leho"},{"family":"Menke","given":"Jon"},{"family":"Schilling","given":"Jonathan S."},{"family":"Kennedy","given":"Peter G."}],"issued":{"date-parts":[["2016",4]]}}}],"schema":"https://github.com/citation-style-language/schema/raw/master/csl-citation.json"} </w:instrText>
      </w:r>
      <w:r w:rsidR="00B3201A" w:rsidRPr="003238A6">
        <w:rPr>
          <w:rFonts w:cstheme="minorHAnsi"/>
        </w:rPr>
        <w:fldChar w:fldCharType="separate"/>
      </w:r>
      <w:r w:rsidR="00E80443" w:rsidRPr="003238A6">
        <w:rPr>
          <w:rFonts w:cstheme="minorHAnsi"/>
        </w:rPr>
        <w:t>(</w:t>
      </w:r>
      <w:r w:rsidR="001B3970" w:rsidRPr="003238A6">
        <w:rPr>
          <w:rFonts w:cstheme="minorHAnsi"/>
        </w:rPr>
        <w:t>Nguyen</w:t>
      </w:r>
      <w:r w:rsidR="001B3970">
        <w:rPr>
          <w:rFonts w:cstheme="minorHAnsi"/>
        </w:rPr>
        <w:t xml:space="preserve"> et al. 2016</w:t>
      </w:r>
      <w:r w:rsidR="00E80443" w:rsidRPr="003238A6">
        <w:rPr>
          <w:rFonts w:cstheme="minorHAnsi"/>
        </w:rPr>
        <w:t>)</w:t>
      </w:r>
      <w:r w:rsidR="00B3201A" w:rsidRPr="003238A6">
        <w:rPr>
          <w:rFonts w:cstheme="minorHAnsi"/>
        </w:rPr>
        <w:fldChar w:fldCharType="end"/>
      </w:r>
      <w:r w:rsidR="00B3201A" w:rsidRPr="003238A6">
        <w:rPr>
          <w:rFonts w:cstheme="minorHAnsi"/>
        </w:rPr>
        <w:t>.</w:t>
      </w:r>
    </w:p>
    <w:p w14:paraId="2BD74B78" w14:textId="7543CFFD" w:rsidR="008965B5" w:rsidRPr="00EB5A44" w:rsidRDefault="008965B5" w:rsidP="009A709C">
      <w:pPr>
        <w:spacing w:after="0" w:line="480" w:lineRule="auto"/>
        <w:rPr>
          <w:rFonts w:cstheme="minorHAnsi"/>
          <w:u w:val="single"/>
        </w:rPr>
      </w:pPr>
      <w:bookmarkStart w:id="2" w:name="_Hlk72913606"/>
      <w:r w:rsidRPr="00EB5A44">
        <w:rPr>
          <w:rFonts w:cstheme="minorHAnsi"/>
          <w:u w:val="single"/>
        </w:rPr>
        <w:lastRenderedPageBreak/>
        <w:t>Soil incubation study</w:t>
      </w:r>
    </w:p>
    <w:bookmarkEnd w:id="2"/>
    <w:p w14:paraId="6761FEDB" w14:textId="70E3D191" w:rsidR="003A137F" w:rsidRPr="003238A6" w:rsidRDefault="008965B5" w:rsidP="009A709C">
      <w:pPr>
        <w:spacing w:after="0" w:line="480" w:lineRule="auto"/>
        <w:ind w:firstLine="720"/>
        <w:rPr>
          <w:rFonts w:cstheme="minorHAnsi"/>
        </w:rPr>
      </w:pPr>
      <w:r w:rsidRPr="003238A6">
        <w:rPr>
          <w:rFonts w:cstheme="minorHAnsi"/>
        </w:rPr>
        <w:t>At the start of the incubation study, the amended s</w:t>
      </w:r>
      <w:r w:rsidR="003A137F" w:rsidRPr="003238A6">
        <w:rPr>
          <w:rFonts w:cstheme="minorHAnsi"/>
        </w:rPr>
        <w:t>oils were gently mixed and the final moisture content was adjusted with distilled water to achieve a gravimetric moisture content near field capacity (between 250-300% for forest floors and 40-75% for mineral soils as determined beforehand).</w:t>
      </w:r>
      <w:r w:rsidRPr="003238A6">
        <w:rPr>
          <w:rFonts w:cstheme="minorHAnsi"/>
        </w:rPr>
        <w:t xml:space="preserve"> The jars were covered and kept at 20°C for 15 weeks, with the lids removed once a week for a few hours to replenish the air. The total weight of each jar was noted at the onset of the study and distilled water was added every 2-3 weeks to maintain this moisture content. At the end of the incubation period the soil in each jar was gently stirred and two subsamples extracted and frozen at -</w:t>
      </w:r>
      <w:r w:rsidR="000A6BEF" w:rsidRPr="003238A6">
        <w:rPr>
          <w:rFonts w:cstheme="minorHAnsi"/>
        </w:rPr>
        <w:t>2</w:t>
      </w:r>
      <w:r w:rsidRPr="003238A6">
        <w:rPr>
          <w:rFonts w:cstheme="minorHAnsi"/>
        </w:rPr>
        <w:t>0°C for enzyme and ergosterol analysis. Gravimetric moisture content was determined on a third subsample (24 hours at 105°C), and the remaining soil was air-dried, ground and sieved (2 mm) for an analysis of exch. Mn concentrations.</w:t>
      </w:r>
      <w:r w:rsidR="003A137F" w:rsidRPr="003238A6">
        <w:rPr>
          <w:rFonts w:cstheme="minorHAnsi"/>
        </w:rPr>
        <w:t xml:space="preserve"> Ergosterol was extracted </w:t>
      </w:r>
      <w:r w:rsidR="003A137F" w:rsidRPr="003238A6">
        <w:rPr>
          <w:rFonts w:cstheme="minorHAnsi"/>
          <w:snapToGrid w:val="0"/>
        </w:rPr>
        <w:t xml:space="preserve">from approximately 0.5-g and 1.5-g dry-soil equivalent of mineral soil and forest floor, respectively, with </w:t>
      </w:r>
      <w:r w:rsidR="003A137F" w:rsidRPr="003238A6">
        <w:rPr>
          <w:rFonts w:cstheme="minorHAnsi"/>
        </w:rPr>
        <w:t xml:space="preserve">KOH in methanol, followed by three extractions in hexane. The samples were blown dried before adding to a solvent and analyzed with an HPLC at 280 nm wavelength </w:t>
      </w:r>
      <w:r w:rsidR="00B3201A" w:rsidRPr="003238A6">
        <w:rPr>
          <w:rFonts w:cstheme="minorHAnsi"/>
        </w:rPr>
        <w:fldChar w:fldCharType="begin"/>
      </w:r>
      <w:r w:rsidR="00E80443" w:rsidRPr="003238A6">
        <w:rPr>
          <w:rFonts w:cstheme="minorHAnsi"/>
        </w:rPr>
        <w:instrText xml:space="preserve"> ADDIN ZOTERO_ITEM CSL_CITATION {"citationID":"XxCo856O","properties":{"formattedCitation":"(10)","plainCitation":"(10)","noteIndex":0},"citationItems":[{"id":2606,"uris":["http://zotero.org/users/5053900/items/2QGQ2YNY"],"uri":["http://zotero.org/users/5053900/items/2QGQ2YNY"],"itemData":{"id":2606,"type":"article-journal","abstract":"Ergosterol is an important membrane sterol in almost all eumycotic fungi and has been postulated to be strongly associated with living cytoplasmic fungi in the soil. However, ergosterol is not produced by all fungi and the ergosterol concentrations are known to vary between the same species depending on the physiological state of the fungus. In this research we studied a modification to an ergosterol extraction technique which has the advantage of having a protocol with few steps of purification. This technique also includes an internal loss marker to evaluate the efficiency of extraction.","container-title":"J. Argent. Chem. Soc.","language":"en","page":"10-15","source":"Zotero","title":"Determination of ergosterol in cellular fungi by HPLC. A modified technique","volume":"98","author":[{"family":"Chiocchio","given":"V M"},{"family":"Matkovi","given":"L"}]}}],"schema":"https://github.com/citation-style-language/schema/raw/master/csl-citation.json"} </w:instrText>
      </w:r>
      <w:r w:rsidR="00B3201A" w:rsidRPr="003238A6">
        <w:rPr>
          <w:rFonts w:cstheme="minorHAnsi"/>
        </w:rPr>
        <w:fldChar w:fldCharType="separate"/>
      </w:r>
      <w:r w:rsidR="00E80443" w:rsidRPr="003238A6">
        <w:rPr>
          <w:rFonts w:cstheme="minorHAnsi"/>
        </w:rPr>
        <w:t>(</w:t>
      </w:r>
      <w:r w:rsidR="00EB5A44" w:rsidRPr="003238A6">
        <w:rPr>
          <w:rFonts w:cstheme="minorHAnsi"/>
        </w:rPr>
        <w:t>Chiocchio</w:t>
      </w:r>
      <w:r w:rsidR="00EB5A44">
        <w:rPr>
          <w:rFonts w:cstheme="minorHAnsi"/>
        </w:rPr>
        <w:t xml:space="preserve"> and </w:t>
      </w:r>
      <w:r w:rsidR="00EB5A44" w:rsidRPr="003238A6">
        <w:rPr>
          <w:rFonts w:cstheme="minorHAnsi"/>
        </w:rPr>
        <w:t>Matkovi</w:t>
      </w:r>
      <w:r w:rsidR="00EB5A44">
        <w:rPr>
          <w:rFonts w:cstheme="minorHAnsi"/>
        </w:rPr>
        <w:t xml:space="preserve"> 2011</w:t>
      </w:r>
      <w:r w:rsidR="00E80443" w:rsidRPr="003238A6">
        <w:rPr>
          <w:rFonts w:cstheme="minorHAnsi"/>
        </w:rPr>
        <w:t>)</w:t>
      </w:r>
      <w:r w:rsidR="00B3201A" w:rsidRPr="003238A6">
        <w:rPr>
          <w:rFonts w:cstheme="minorHAnsi"/>
        </w:rPr>
        <w:fldChar w:fldCharType="end"/>
      </w:r>
      <w:r w:rsidR="003A137F" w:rsidRPr="003238A6">
        <w:rPr>
          <w:rFonts w:cstheme="minorHAnsi"/>
        </w:rPr>
        <w:t>. Exchangeable Mn was determined by the BaCl</w:t>
      </w:r>
      <w:r w:rsidR="003A137F" w:rsidRPr="003238A6">
        <w:rPr>
          <w:rFonts w:cstheme="minorHAnsi"/>
          <w:vertAlign w:val="subscript"/>
        </w:rPr>
        <w:t>2</w:t>
      </w:r>
      <w:r w:rsidR="003A137F" w:rsidRPr="003238A6">
        <w:rPr>
          <w:rFonts w:cstheme="minorHAnsi"/>
        </w:rPr>
        <w:t xml:space="preserve"> method </w:t>
      </w:r>
      <w:r w:rsidR="003647EF" w:rsidRPr="003238A6">
        <w:rPr>
          <w:rFonts w:cstheme="minorHAnsi"/>
        </w:rPr>
        <w:fldChar w:fldCharType="begin"/>
      </w:r>
      <w:r w:rsidR="00E80443" w:rsidRPr="003238A6">
        <w:rPr>
          <w:rFonts w:cstheme="minorHAnsi"/>
        </w:rPr>
        <w:instrText xml:space="preserve"> ADDIN ZOTERO_ITEM CSL_CITATION {"citationID":"VEYktwKU","properties":{"formattedCitation":"(11)","plainCitation":"(11)","noteIndex":0},"citationItems":[{"id":2608,"uris":["http://zotero.org/users/5053900/items/8TD2CZB8"],"uri":["http://zotero.org/users/5053900/items/8TD2CZB8"],"itemData":{"id":2608,"type":"chapter","container-title":"Soil Sampling and Methods of Analysis","edition":"2nd","event-place":"Boca Raton, FL, USA","page":"197-206","publisher":"CRC Press","publisher-place":"Boca Raton, FL, USA","title":"Ion exchange and exchangeable cations","author":[{"family":"Hendershot","given":"W.H."},{"family":"Lalande","given":"H"},{"family":"Duquette","given":"M"}],"editor":[{"family":"Carter","given":"M.R."},{"family":"Gregorich","given":"Edward G."}],"issued":{"date-parts":[["2008"]]}}}],"schema":"https://github.com/citation-style-language/schema/raw/master/csl-citation.json"} </w:instrText>
      </w:r>
      <w:r w:rsidR="003647EF" w:rsidRPr="003238A6">
        <w:rPr>
          <w:rFonts w:cstheme="minorHAnsi"/>
        </w:rPr>
        <w:fldChar w:fldCharType="separate"/>
      </w:r>
      <w:r w:rsidR="00E80443" w:rsidRPr="003238A6">
        <w:rPr>
          <w:rFonts w:cstheme="minorHAnsi"/>
        </w:rPr>
        <w:t>(</w:t>
      </w:r>
      <w:r w:rsidR="00EB5A44" w:rsidRPr="003238A6">
        <w:rPr>
          <w:rFonts w:cstheme="minorHAnsi"/>
        </w:rPr>
        <w:t>Hendershot</w:t>
      </w:r>
      <w:r w:rsidR="00EB5A44">
        <w:rPr>
          <w:rFonts w:cstheme="minorHAnsi"/>
        </w:rPr>
        <w:t xml:space="preserve"> et al. 2008</w:t>
      </w:r>
      <w:r w:rsidR="00E80443" w:rsidRPr="003238A6">
        <w:rPr>
          <w:rFonts w:cstheme="minorHAnsi"/>
        </w:rPr>
        <w:t>)</w:t>
      </w:r>
      <w:r w:rsidR="003647EF" w:rsidRPr="003238A6">
        <w:rPr>
          <w:rFonts w:cstheme="minorHAnsi"/>
        </w:rPr>
        <w:fldChar w:fldCharType="end"/>
      </w:r>
      <w:r w:rsidR="000A6BEF" w:rsidRPr="003238A6">
        <w:rPr>
          <w:rFonts w:cstheme="minorHAnsi"/>
        </w:rPr>
        <w:t>.</w:t>
      </w:r>
    </w:p>
    <w:p w14:paraId="2160BDEE" w14:textId="273BA6FA" w:rsidR="009F61A4" w:rsidRPr="003238A6" w:rsidRDefault="009F61A4" w:rsidP="009F61A4">
      <w:pPr>
        <w:spacing w:after="0" w:line="480" w:lineRule="auto"/>
        <w:rPr>
          <w:rFonts w:cstheme="minorHAnsi"/>
          <w:b/>
        </w:rPr>
      </w:pPr>
      <w:r w:rsidRPr="003238A6">
        <w:rPr>
          <w:rFonts w:cstheme="minorHAnsi"/>
          <w:b/>
        </w:rPr>
        <w:t>References</w:t>
      </w:r>
    </w:p>
    <w:p w14:paraId="7A3FD778" w14:textId="17653FF0" w:rsidR="00BA47BE" w:rsidRDefault="001B3970" w:rsidP="009F61A4">
      <w:pPr>
        <w:pStyle w:val="Bibliography"/>
        <w:tabs>
          <w:tab w:val="clear" w:pos="504"/>
          <w:tab w:val="left" w:pos="0"/>
        </w:tabs>
        <w:spacing w:after="0" w:line="480" w:lineRule="auto"/>
        <w:ind w:left="0" w:firstLine="0"/>
        <w:rPr>
          <w:rFonts w:cstheme="minorHAnsi"/>
        </w:rPr>
      </w:pPr>
      <w:r w:rsidRPr="00D2361E">
        <w:t>Abarenkov K</w:t>
      </w:r>
      <w:r>
        <w:t>,</w:t>
      </w:r>
      <w:r w:rsidRPr="00D2361E">
        <w:t xml:space="preserve"> Zirk A</w:t>
      </w:r>
      <w:r>
        <w:t>,</w:t>
      </w:r>
      <w:r w:rsidRPr="00D2361E">
        <w:t xml:space="preserve"> Piirmann T</w:t>
      </w:r>
      <w:r>
        <w:t>,</w:t>
      </w:r>
      <w:r w:rsidRPr="00D2361E">
        <w:t xml:space="preserve"> Pöhönen R</w:t>
      </w:r>
      <w:r>
        <w:t>,</w:t>
      </w:r>
      <w:r w:rsidRPr="00D2361E">
        <w:t xml:space="preserve"> Ivanov F</w:t>
      </w:r>
      <w:r>
        <w:t>,</w:t>
      </w:r>
      <w:r w:rsidRPr="00D2361E">
        <w:t xml:space="preserve"> Nilsson R</w:t>
      </w:r>
      <w:r>
        <w:t>H,</w:t>
      </w:r>
      <w:r w:rsidRPr="00D2361E">
        <w:t xml:space="preserve"> Kõljalg U (2020) Full UNITE+INSD dataset for Fungi. Version 04.02.2020. UNITE Community.</w:t>
      </w:r>
      <w:r>
        <w:t xml:space="preserve"> </w:t>
      </w:r>
      <w:r w:rsidRPr="00D2361E">
        <w:t>doi.org/10.15156/BIO/786372</w:t>
      </w:r>
    </w:p>
    <w:p w14:paraId="58159BE6" w14:textId="0703298A" w:rsidR="00BA47BE" w:rsidRDefault="00BA47BE" w:rsidP="009F61A4">
      <w:pPr>
        <w:pStyle w:val="Bibliography"/>
        <w:tabs>
          <w:tab w:val="clear" w:pos="504"/>
          <w:tab w:val="left" w:pos="0"/>
        </w:tabs>
        <w:spacing w:after="0" w:line="480" w:lineRule="auto"/>
        <w:ind w:left="0" w:firstLine="0"/>
        <w:rPr>
          <w:rFonts w:cstheme="minorHAnsi"/>
        </w:rPr>
      </w:pPr>
      <w:r w:rsidRPr="003238A6">
        <w:rPr>
          <w:rFonts w:cstheme="minorHAnsi"/>
        </w:rPr>
        <w:t>Callahan</w:t>
      </w:r>
      <w:r>
        <w:rPr>
          <w:rFonts w:cstheme="minorHAnsi"/>
        </w:rPr>
        <w:t xml:space="preserve"> BJ</w:t>
      </w:r>
      <w:r w:rsidRPr="003238A6">
        <w:rPr>
          <w:rFonts w:cstheme="minorHAnsi"/>
        </w:rPr>
        <w:t xml:space="preserve">, </w:t>
      </w:r>
      <w:r>
        <w:t>McMurdie PJ, Rosen MJ, Han AW, Johnson AJA, Holmes SP</w:t>
      </w:r>
      <w:r>
        <w:t xml:space="preserve"> (2016)</w:t>
      </w:r>
      <w:r w:rsidRPr="003238A6">
        <w:rPr>
          <w:rFonts w:cstheme="minorHAnsi"/>
        </w:rPr>
        <w:t xml:space="preserve"> DADA2: High-resolution sample inference from Illumina amplicon data. </w:t>
      </w:r>
      <w:r w:rsidRPr="00BA47BE">
        <w:rPr>
          <w:rFonts w:cstheme="minorHAnsi"/>
        </w:rPr>
        <w:t>Nat Methods</w:t>
      </w:r>
      <w:r w:rsidRPr="003238A6">
        <w:rPr>
          <w:rFonts w:cstheme="minorHAnsi"/>
        </w:rPr>
        <w:t xml:space="preserve"> </w:t>
      </w:r>
      <w:r w:rsidRPr="00BA47BE">
        <w:rPr>
          <w:rFonts w:cstheme="minorHAnsi"/>
        </w:rPr>
        <w:t>13</w:t>
      </w:r>
      <w:r>
        <w:rPr>
          <w:rFonts w:cstheme="minorHAnsi"/>
        </w:rPr>
        <w:t>:</w:t>
      </w:r>
      <w:r w:rsidRPr="003238A6">
        <w:rPr>
          <w:rFonts w:cstheme="minorHAnsi"/>
        </w:rPr>
        <w:t>581–583</w:t>
      </w:r>
    </w:p>
    <w:p w14:paraId="07B5C018" w14:textId="01045DB3" w:rsidR="00EB5A44" w:rsidRDefault="00EB5A44" w:rsidP="009F61A4">
      <w:pPr>
        <w:pStyle w:val="Bibliography"/>
        <w:tabs>
          <w:tab w:val="clear" w:pos="504"/>
          <w:tab w:val="left" w:pos="0"/>
        </w:tabs>
        <w:spacing w:after="0" w:line="480" w:lineRule="auto"/>
        <w:ind w:left="0" w:firstLine="0"/>
        <w:rPr>
          <w:rFonts w:cstheme="minorHAnsi"/>
        </w:rPr>
      </w:pPr>
      <w:r w:rsidRPr="003238A6">
        <w:rPr>
          <w:rFonts w:cstheme="minorHAnsi"/>
        </w:rPr>
        <w:t>Chiocchio</w:t>
      </w:r>
      <w:r>
        <w:rPr>
          <w:rFonts w:cstheme="minorHAnsi"/>
        </w:rPr>
        <w:t xml:space="preserve"> VM</w:t>
      </w:r>
      <w:r w:rsidRPr="003238A6">
        <w:rPr>
          <w:rFonts w:cstheme="minorHAnsi"/>
        </w:rPr>
        <w:t>, Matkovi</w:t>
      </w:r>
      <w:r>
        <w:rPr>
          <w:rFonts w:cstheme="minorHAnsi"/>
        </w:rPr>
        <w:t xml:space="preserve"> L (2011)</w:t>
      </w:r>
      <w:r w:rsidRPr="003238A6">
        <w:rPr>
          <w:rFonts w:cstheme="minorHAnsi"/>
        </w:rPr>
        <w:t xml:space="preserve"> Determination of ergosterol in cellular fungi by HPLC. A modified technique. </w:t>
      </w:r>
      <w:r w:rsidRPr="00EB5A44">
        <w:rPr>
          <w:rFonts w:cstheme="minorHAnsi"/>
        </w:rPr>
        <w:t>J Argent Chem Soc</w:t>
      </w:r>
      <w:r w:rsidRPr="003238A6">
        <w:rPr>
          <w:rFonts w:cstheme="minorHAnsi"/>
        </w:rPr>
        <w:t xml:space="preserve"> </w:t>
      </w:r>
      <w:r w:rsidRPr="00EB5A44">
        <w:rPr>
          <w:rFonts w:cstheme="minorHAnsi"/>
        </w:rPr>
        <w:t>98</w:t>
      </w:r>
      <w:r>
        <w:rPr>
          <w:rFonts w:cstheme="minorHAnsi"/>
        </w:rPr>
        <w:t>:</w:t>
      </w:r>
      <w:r w:rsidRPr="003238A6">
        <w:rPr>
          <w:rFonts w:cstheme="minorHAnsi"/>
        </w:rPr>
        <w:t>10–15</w:t>
      </w:r>
    </w:p>
    <w:p w14:paraId="345C7080" w14:textId="5E474C51" w:rsidR="009F61A4" w:rsidRPr="003238A6" w:rsidRDefault="009F61A4" w:rsidP="009F61A4">
      <w:pPr>
        <w:pStyle w:val="Bibliography"/>
        <w:tabs>
          <w:tab w:val="clear" w:pos="504"/>
          <w:tab w:val="left" w:pos="0"/>
        </w:tabs>
        <w:spacing w:after="0" w:line="480" w:lineRule="auto"/>
        <w:ind w:left="0" w:firstLine="0"/>
        <w:rPr>
          <w:rFonts w:cstheme="minorHAnsi"/>
        </w:rPr>
      </w:pPr>
      <w:r w:rsidRPr="003238A6">
        <w:rPr>
          <w:rFonts w:cstheme="minorHAnsi"/>
        </w:rPr>
        <w:lastRenderedPageBreak/>
        <w:t>DeForest</w:t>
      </w:r>
      <w:r>
        <w:rPr>
          <w:rFonts w:cstheme="minorHAnsi"/>
        </w:rPr>
        <w:t xml:space="preserve"> JL (2009)</w:t>
      </w:r>
      <w:r w:rsidRPr="003238A6">
        <w:rPr>
          <w:rFonts w:cstheme="minorHAnsi"/>
        </w:rPr>
        <w:t xml:space="preserve"> The influence of time, storage temperature, and substrate age on potential soil enzyme activity in acidic forest soils using MUB-linked substrates and l-DOPA</w:t>
      </w:r>
      <w:r w:rsidRPr="009F61A4">
        <w:rPr>
          <w:rFonts w:cstheme="minorHAnsi"/>
        </w:rPr>
        <w:t>. Soil Biol Biochem.</w:t>
      </w:r>
      <w:r w:rsidRPr="003238A6">
        <w:rPr>
          <w:rFonts w:cstheme="minorHAnsi"/>
        </w:rPr>
        <w:t xml:space="preserve"> </w:t>
      </w:r>
      <w:r w:rsidRPr="009F61A4">
        <w:rPr>
          <w:rFonts w:cstheme="minorHAnsi"/>
        </w:rPr>
        <w:t>41</w:t>
      </w:r>
      <w:r>
        <w:rPr>
          <w:rFonts w:cstheme="minorHAnsi"/>
        </w:rPr>
        <w:t>:</w:t>
      </w:r>
      <w:r w:rsidRPr="003238A6">
        <w:rPr>
          <w:rFonts w:cstheme="minorHAnsi"/>
        </w:rPr>
        <w:t>1180–1186</w:t>
      </w:r>
    </w:p>
    <w:p w14:paraId="1E1EEC00" w14:textId="7047A148" w:rsidR="001B3970" w:rsidRDefault="001B3970" w:rsidP="009F61A4">
      <w:pPr>
        <w:pStyle w:val="Bibliography"/>
        <w:tabs>
          <w:tab w:val="clear" w:pos="504"/>
          <w:tab w:val="left" w:pos="0"/>
        </w:tabs>
        <w:spacing w:after="0" w:line="480" w:lineRule="auto"/>
        <w:ind w:left="0" w:firstLine="0"/>
        <w:rPr>
          <w:rFonts w:cstheme="minorHAnsi"/>
        </w:rPr>
      </w:pPr>
      <w:r w:rsidRPr="003238A6">
        <w:rPr>
          <w:rFonts w:cstheme="minorHAnsi"/>
        </w:rPr>
        <w:t>Frøslev</w:t>
      </w:r>
      <w:r>
        <w:rPr>
          <w:rFonts w:cstheme="minorHAnsi"/>
        </w:rPr>
        <w:t xml:space="preserve"> TG</w:t>
      </w:r>
      <w:r w:rsidRPr="003238A6">
        <w:rPr>
          <w:rFonts w:cstheme="minorHAnsi"/>
        </w:rPr>
        <w:t xml:space="preserve">, </w:t>
      </w:r>
      <w:r w:rsidRPr="00D2361E">
        <w:t>Kjøller</w:t>
      </w:r>
      <w:r>
        <w:t xml:space="preserve"> R</w:t>
      </w:r>
      <w:r w:rsidRPr="00D2361E">
        <w:t>,</w:t>
      </w:r>
      <w:r>
        <w:t xml:space="preserve"> </w:t>
      </w:r>
      <w:r w:rsidRPr="00D2361E">
        <w:t>Bruun</w:t>
      </w:r>
      <w:r>
        <w:t xml:space="preserve"> HH</w:t>
      </w:r>
      <w:r w:rsidRPr="00D2361E">
        <w:t>,</w:t>
      </w:r>
      <w:r>
        <w:t xml:space="preserve"> </w:t>
      </w:r>
      <w:r w:rsidRPr="00D2361E">
        <w:t>Ejrnæs</w:t>
      </w:r>
      <w:r>
        <w:t xml:space="preserve"> R</w:t>
      </w:r>
      <w:r w:rsidRPr="00D2361E">
        <w:t>,</w:t>
      </w:r>
      <w:r>
        <w:t xml:space="preserve"> </w:t>
      </w:r>
      <w:r w:rsidRPr="00D2361E">
        <w:t>Brunbjerg</w:t>
      </w:r>
      <w:r>
        <w:t xml:space="preserve"> AK</w:t>
      </w:r>
      <w:r w:rsidRPr="00D2361E">
        <w:t>, Pietroni</w:t>
      </w:r>
      <w:r>
        <w:t xml:space="preserve"> C, </w:t>
      </w:r>
      <w:r w:rsidRPr="00D2361E">
        <w:t>Hansen</w:t>
      </w:r>
      <w:r>
        <w:t xml:space="preserve"> AJ</w:t>
      </w:r>
      <w:r w:rsidRPr="003238A6">
        <w:rPr>
          <w:rFonts w:cstheme="minorHAnsi"/>
        </w:rPr>
        <w:t xml:space="preserve"> </w:t>
      </w:r>
      <w:r>
        <w:rPr>
          <w:rFonts w:cstheme="minorHAnsi"/>
        </w:rPr>
        <w:t xml:space="preserve">(2017) </w:t>
      </w:r>
      <w:r w:rsidRPr="003238A6">
        <w:rPr>
          <w:rFonts w:cstheme="minorHAnsi"/>
        </w:rPr>
        <w:t>Algorithm for post-clustering curation of DNA amplicon data yields reliable biodiversity estimates.</w:t>
      </w:r>
      <w:r w:rsidRPr="001B3970">
        <w:rPr>
          <w:rFonts w:cstheme="minorHAnsi"/>
        </w:rPr>
        <w:t xml:space="preserve"> Nat Commun. 8</w:t>
      </w:r>
      <w:r>
        <w:rPr>
          <w:rFonts w:cstheme="minorHAnsi"/>
        </w:rPr>
        <w:t>:</w:t>
      </w:r>
      <w:r w:rsidRPr="003238A6">
        <w:rPr>
          <w:rFonts w:cstheme="minorHAnsi"/>
        </w:rPr>
        <w:t>1–11</w:t>
      </w:r>
    </w:p>
    <w:p w14:paraId="17632283" w14:textId="0D15F32E" w:rsidR="009F61A4" w:rsidRPr="003238A6" w:rsidRDefault="009F61A4" w:rsidP="009F61A4">
      <w:pPr>
        <w:pStyle w:val="Bibliography"/>
        <w:tabs>
          <w:tab w:val="clear" w:pos="504"/>
          <w:tab w:val="left" w:pos="0"/>
        </w:tabs>
        <w:spacing w:after="0" w:line="480" w:lineRule="auto"/>
        <w:ind w:left="0" w:firstLine="0"/>
        <w:rPr>
          <w:rFonts w:cstheme="minorHAnsi"/>
        </w:rPr>
      </w:pPr>
      <w:r w:rsidRPr="003238A6">
        <w:rPr>
          <w:rFonts w:cstheme="minorHAnsi"/>
        </w:rPr>
        <w:t>Green</w:t>
      </w:r>
      <w:r>
        <w:rPr>
          <w:rFonts w:cstheme="minorHAnsi"/>
        </w:rPr>
        <w:t xml:space="preserve"> RN</w:t>
      </w:r>
      <w:r w:rsidRPr="003238A6">
        <w:rPr>
          <w:rFonts w:cstheme="minorHAnsi"/>
        </w:rPr>
        <w:t>, Trowbridge</w:t>
      </w:r>
      <w:r>
        <w:rPr>
          <w:rFonts w:cstheme="minorHAnsi"/>
        </w:rPr>
        <w:t xml:space="preserve"> RL</w:t>
      </w:r>
      <w:r w:rsidRPr="003238A6">
        <w:rPr>
          <w:rFonts w:cstheme="minorHAnsi"/>
        </w:rPr>
        <w:t>, Klinka</w:t>
      </w:r>
      <w:r>
        <w:rPr>
          <w:rFonts w:cstheme="minorHAnsi"/>
        </w:rPr>
        <w:t xml:space="preserve"> K </w:t>
      </w:r>
      <w:r w:rsidRPr="003238A6">
        <w:rPr>
          <w:rFonts w:cstheme="minorHAnsi"/>
        </w:rPr>
        <w:t>(1993) Towards a taxonomic classification of humus forms.</w:t>
      </w:r>
      <w:r>
        <w:rPr>
          <w:rFonts w:cstheme="minorHAnsi"/>
        </w:rPr>
        <w:t xml:space="preserve"> For Sci</w:t>
      </w:r>
      <w:r w:rsidRPr="009F61A4">
        <w:rPr>
          <w:rFonts w:cstheme="minorHAnsi"/>
        </w:rPr>
        <w:t xml:space="preserve"> 39</w:t>
      </w:r>
      <w:r>
        <w:rPr>
          <w:rFonts w:cstheme="minorHAnsi"/>
        </w:rPr>
        <w:t>:</w:t>
      </w:r>
      <w:r w:rsidRPr="003238A6">
        <w:rPr>
          <w:rFonts w:cstheme="minorHAnsi"/>
        </w:rPr>
        <w:t>1–49</w:t>
      </w:r>
    </w:p>
    <w:p w14:paraId="453C5ECF" w14:textId="5B44BF7E" w:rsidR="00EB5A44" w:rsidRDefault="009F61A4" w:rsidP="009F61A4">
      <w:pPr>
        <w:pStyle w:val="Bibliography"/>
        <w:tabs>
          <w:tab w:val="clear" w:pos="504"/>
          <w:tab w:val="left" w:pos="0"/>
        </w:tabs>
        <w:spacing w:after="0" w:line="480" w:lineRule="auto"/>
        <w:ind w:left="0" w:firstLine="0"/>
        <w:rPr>
          <w:rFonts w:cstheme="minorHAnsi"/>
        </w:rPr>
      </w:pPr>
      <w:r w:rsidRPr="003238A6">
        <w:rPr>
          <w:rFonts w:cstheme="minorHAnsi"/>
        </w:rPr>
        <w:t>Kyaschenko</w:t>
      </w:r>
      <w:r>
        <w:rPr>
          <w:rFonts w:cstheme="minorHAnsi"/>
        </w:rPr>
        <w:t xml:space="preserve"> J</w:t>
      </w:r>
      <w:r w:rsidRPr="003238A6">
        <w:rPr>
          <w:rFonts w:cstheme="minorHAnsi"/>
        </w:rPr>
        <w:t>, Clemmensen</w:t>
      </w:r>
      <w:r>
        <w:rPr>
          <w:rFonts w:cstheme="minorHAnsi"/>
        </w:rPr>
        <w:t xml:space="preserve"> KE</w:t>
      </w:r>
      <w:r w:rsidRPr="003238A6">
        <w:rPr>
          <w:rFonts w:cstheme="minorHAnsi"/>
        </w:rPr>
        <w:t>, Karltun</w:t>
      </w:r>
      <w:r>
        <w:rPr>
          <w:rFonts w:cstheme="minorHAnsi"/>
        </w:rPr>
        <w:t xml:space="preserve"> E</w:t>
      </w:r>
      <w:r w:rsidRPr="003238A6">
        <w:rPr>
          <w:rFonts w:cstheme="minorHAnsi"/>
        </w:rPr>
        <w:t>, Lindahl</w:t>
      </w:r>
      <w:r>
        <w:rPr>
          <w:rFonts w:cstheme="minorHAnsi"/>
        </w:rPr>
        <w:t xml:space="preserve"> BD (2017)</w:t>
      </w:r>
      <w:r w:rsidRPr="003238A6">
        <w:rPr>
          <w:rFonts w:cstheme="minorHAnsi"/>
        </w:rPr>
        <w:t xml:space="preserve"> Below-ground organic matter accumulation along a boreal forest fertility gradient relates to guild interaction within fungal communities. </w:t>
      </w:r>
      <w:r w:rsidRPr="009F61A4">
        <w:rPr>
          <w:rFonts w:cstheme="minorHAnsi"/>
        </w:rPr>
        <w:t>Ecol Lett 20</w:t>
      </w:r>
      <w:r>
        <w:rPr>
          <w:rFonts w:cstheme="minorHAnsi"/>
        </w:rPr>
        <w:t>:</w:t>
      </w:r>
      <w:r w:rsidRPr="003238A6">
        <w:rPr>
          <w:rFonts w:cstheme="minorHAnsi"/>
        </w:rPr>
        <w:t>1546–1555</w:t>
      </w:r>
    </w:p>
    <w:p w14:paraId="72B04DA5" w14:textId="714CB7FF" w:rsidR="00EB5A44" w:rsidRDefault="00EB5A44" w:rsidP="009F61A4">
      <w:pPr>
        <w:pStyle w:val="Bibliography"/>
        <w:tabs>
          <w:tab w:val="clear" w:pos="504"/>
          <w:tab w:val="left" w:pos="0"/>
        </w:tabs>
        <w:spacing w:after="0" w:line="480" w:lineRule="auto"/>
        <w:ind w:left="0" w:firstLine="0"/>
        <w:rPr>
          <w:rFonts w:cstheme="minorHAnsi"/>
        </w:rPr>
      </w:pPr>
      <w:r w:rsidRPr="003238A6">
        <w:rPr>
          <w:rFonts w:cstheme="minorHAnsi"/>
        </w:rPr>
        <w:t>Hendershot</w:t>
      </w:r>
      <w:r>
        <w:rPr>
          <w:rFonts w:cstheme="minorHAnsi"/>
        </w:rPr>
        <w:t xml:space="preserve"> WH</w:t>
      </w:r>
      <w:r w:rsidRPr="003238A6">
        <w:rPr>
          <w:rFonts w:cstheme="minorHAnsi"/>
        </w:rPr>
        <w:t>, Lalande</w:t>
      </w:r>
      <w:r>
        <w:rPr>
          <w:rFonts w:cstheme="minorHAnsi"/>
        </w:rPr>
        <w:t xml:space="preserve"> H</w:t>
      </w:r>
      <w:r w:rsidRPr="003238A6">
        <w:rPr>
          <w:rFonts w:cstheme="minorHAnsi"/>
        </w:rPr>
        <w:t>, Duquette</w:t>
      </w:r>
      <w:r>
        <w:rPr>
          <w:rFonts w:cstheme="minorHAnsi"/>
        </w:rPr>
        <w:t xml:space="preserve"> M (2008)</w:t>
      </w:r>
      <w:r w:rsidRPr="003238A6">
        <w:rPr>
          <w:rFonts w:cstheme="minorHAnsi"/>
        </w:rPr>
        <w:t xml:space="preserve"> Ion exchange and exchangeable cations</w:t>
      </w:r>
      <w:r>
        <w:rPr>
          <w:rFonts w:cstheme="minorHAnsi"/>
        </w:rPr>
        <w:t>.</w:t>
      </w:r>
      <w:r w:rsidRPr="003238A6">
        <w:rPr>
          <w:rFonts w:cstheme="minorHAnsi"/>
        </w:rPr>
        <w:t xml:space="preserve"> </w:t>
      </w:r>
      <w:r>
        <w:rPr>
          <w:rFonts w:cstheme="minorHAnsi"/>
        </w:rPr>
        <w:t>I</w:t>
      </w:r>
      <w:r w:rsidRPr="003238A6">
        <w:rPr>
          <w:rFonts w:cstheme="minorHAnsi"/>
        </w:rPr>
        <w:t>n</w:t>
      </w:r>
      <w:r>
        <w:rPr>
          <w:rFonts w:cstheme="minorHAnsi"/>
        </w:rPr>
        <w:t>:</w:t>
      </w:r>
      <w:r w:rsidRPr="003238A6">
        <w:rPr>
          <w:rFonts w:cstheme="minorHAnsi"/>
        </w:rPr>
        <w:t xml:space="preserve"> </w:t>
      </w:r>
      <w:r w:rsidRPr="00EB5A44">
        <w:rPr>
          <w:rFonts w:cstheme="minorHAnsi"/>
        </w:rPr>
        <w:t>Soil Sampling and Methods of Analysis,</w:t>
      </w:r>
      <w:r w:rsidRPr="003238A6">
        <w:rPr>
          <w:rFonts w:cstheme="minorHAnsi"/>
        </w:rPr>
        <w:t xml:space="preserve"> 2nd Ed. Carter</w:t>
      </w:r>
      <w:r>
        <w:rPr>
          <w:rFonts w:cstheme="minorHAnsi"/>
        </w:rPr>
        <w:t xml:space="preserve"> MR</w:t>
      </w:r>
      <w:r w:rsidRPr="003238A6">
        <w:rPr>
          <w:rFonts w:cstheme="minorHAnsi"/>
        </w:rPr>
        <w:t>, Gregorich</w:t>
      </w:r>
      <w:r>
        <w:rPr>
          <w:rFonts w:cstheme="minorHAnsi"/>
        </w:rPr>
        <w:t xml:space="preserve"> EG (e</w:t>
      </w:r>
      <w:r w:rsidRPr="003238A6">
        <w:rPr>
          <w:rFonts w:cstheme="minorHAnsi"/>
        </w:rPr>
        <w:t>ds</w:t>
      </w:r>
      <w:r>
        <w:rPr>
          <w:rFonts w:cstheme="minorHAnsi"/>
        </w:rPr>
        <w:t>),</w:t>
      </w:r>
      <w:r w:rsidRPr="003238A6">
        <w:rPr>
          <w:rFonts w:cstheme="minorHAnsi"/>
        </w:rPr>
        <w:t xml:space="preserve"> CRC Press, pp 197–206</w:t>
      </w:r>
    </w:p>
    <w:p w14:paraId="0CB6AA9E" w14:textId="7F874F13" w:rsidR="009F61A4" w:rsidRDefault="009F61A4" w:rsidP="009F61A4">
      <w:pPr>
        <w:pStyle w:val="Bibliography"/>
        <w:tabs>
          <w:tab w:val="clear" w:pos="504"/>
          <w:tab w:val="left" w:pos="0"/>
        </w:tabs>
        <w:spacing w:after="0" w:line="480" w:lineRule="auto"/>
        <w:ind w:left="0" w:firstLine="0"/>
        <w:rPr>
          <w:rFonts w:cstheme="minorHAnsi"/>
        </w:rPr>
      </w:pPr>
      <w:r w:rsidRPr="003238A6">
        <w:rPr>
          <w:rFonts w:cstheme="minorHAnsi"/>
        </w:rPr>
        <w:t>Ngo</w:t>
      </w:r>
      <w:r>
        <w:rPr>
          <w:rFonts w:cstheme="minorHAnsi"/>
        </w:rPr>
        <w:t xml:space="preserve"> TT</w:t>
      </w:r>
      <w:r w:rsidRPr="003238A6">
        <w:rPr>
          <w:rFonts w:cstheme="minorHAnsi"/>
        </w:rPr>
        <w:t xml:space="preserve">, </w:t>
      </w:r>
      <w:r>
        <w:rPr>
          <w:rFonts w:cstheme="minorHAnsi"/>
        </w:rPr>
        <w:t>L</w:t>
      </w:r>
      <w:r w:rsidRPr="003238A6">
        <w:rPr>
          <w:rFonts w:cstheme="minorHAnsi"/>
        </w:rPr>
        <w:t>enhoff</w:t>
      </w:r>
      <w:r>
        <w:rPr>
          <w:rFonts w:cstheme="minorHAnsi"/>
        </w:rPr>
        <w:t xml:space="preserve"> HM (1980)</w:t>
      </w:r>
      <w:r w:rsidRPr="003238A6">
        <w:rPr>
          <w:rFonts w:cstheme="minorHAnsi"/>
        </w:rPr>
        <w:t xml:space="preserve"> A sensitive and versatile chromogenic assay for peroxidase and peroxidase-coupled reactions. </w:t>
      </w:r>
      <w:r w:rsidRPr="009F61A4">
        <w:rPr>
          <w:rFonts w:cstheme="minorHAnsi"/>
        </w:rPr>
        <w:t>Anal Biochem</w:t>
      </w:r>
      <w:r w:rsidRPr="003238A6">
        <w:rPr>
          <w:rFonts w:cstheme="minorHAnsi"/>
        </w:rPr>
        <w:t xml:space="preserve"> </w:t>
      </w:r>
      <w:r w:rsidRPr="009F61A4">
        <w:rPr>
          <w:rFonts w:cstheme="minorHAnsi"/>
        </w:rPr>
        <w:t>105</w:t>
      </w:r>
      <w:r>
        <w:rPr>
          <w:rFonts w:cstheme="minorHAnsi"/>
        </w:rPr>
        <w:t>:</w:t>
      </w:r>
      <w:r w:rsidRPr="003238A6">
        <w:rPr>
          <w:rFonts w:cstheme="minorHAnsi"/>
        </w:rPr>
        <w:t>389–397</w:t>
      </w:r>
    </w:p>
    <w:p w14:paraId="163ED9D2" w14:textId="04F17BED" w:rsidR="001B3970" w:rsidRPr="001B3970" w:rsidRDefault="001B3970" w:rsidP="00EB5A44">
      <w:pPr>
        <w:spacing w:after="0" w:line="480" w:lineRule="auto"/>
      </w:pPr>
      <w:r w:rsidRPr="00D2361E">
        <w:t>Nguyen</w:t>
      </w:r>
      <w:r>
        <w:t xml:space="preserve"> NH</w:t>
      </w:r>
      <w:r w:rsidRPr="00D2361E">
        <w:t xml:space="preserve">, Song </w:t>
      </w:r>
      <w:r>
        <w:t>Z</w:t>
      </w:r>
      <w:r w:rsidRPr="00D2361E">
        <w:t xml:space="preserve">, Bates </w:t>
      </w:r>
      <w:r>
        <w:t>ST</w:t>
      </w:r>
      <w:r w:rsidRPr="00D2361E">
        <w:t xml:space="preserve">, Branco </w:t>
      </w:r>
      <w:r>
        <w:t>S</w:t>
      </w:r>
      <w:r w:rsidRPr="00D2361E">
        <w:t xml:space="preserve">, Tedersoo </w:t>
      </w:r>
      <w:r>
        <w:t>L</w:t>
      </w:r>
      <w:r w:rsidRPr="00D2361E">
        <w:t xml:space="preserve">, Menke </w:t>
      </w:r>
      <w:r>
        <w:t>J</w:t>
      </w:r>
      <w:r w:rsidRPr="00D2361E">
        <w:t xml:space="preserve">, Schilling </w:t>
      </w:r>
      <w:r>
        <w:t>JS</w:t>
      </w:r>
      <w:r w:rsidRPr="00D2361E">
        <w:t xml:space="preserve">, Kennedy </w:t>
      </w:r>
      <w:r>
        <w:t>PG</w:t>
      </w:r>
      <w:r w:rsidR="00EB5A44">
        <w:t xml:space="preserve"> (2016) </w:t>
      </w:r>
      <w:r w:rsidRPr="003238A6">
        <w:rPr>
          <w:rFonts w:cstheme="minorHAnsi"/>
        </w:rPr>
        <w:t xml:space="preserve">FUNGuild: An open annotation tool for parsing fungal community datasets by ecological guild. </w:t>
      </w:r>
      <w:r w:rsidRPr="00EB5A44">
        <w:rPr>
          <w:rFonts w:cstheme="minorHAnsi"/>
        </w:rPr>
        <w:t>Fungal Ecol</w:t>
      </w:r>
      <w:r w:rsidRPr="003238A6">
        <w:rPr>
          <w:rFonts w:cstheme="minorHAnsi"/>
        </w:rPr>
        <w:t xml:space="preserve"> </w:t>
      </w:r>
      <w:r w:rsidRPr="00EB5A44">
        <w:rPr>
          <w:rFonts w:cstheme="minorHAnsi"/>
        </w:rPr>
        <w:t>20</w:t>
      </w:r>
      <w:r w:rsidR="00EB5A44">
        <w:rPr>
          <w:rFonts w:cstheme="minorHAnsi"/>
        </w:rPr>
        <w:t>:</w:t>
      </w:r>
      <w:r w:rsidRPr="003238A6">
        <w:rPr>
          <w:rFonts w:cstheme="minorHAnsi"/>
        </w:rPr>
        <w:t>241–248</w:t>
      </w:r>
    </w:p>
    <w:p w14:paraId="1B988A43" w14:textId="3F2BD57D" w:rsidR="003647EF" w:rsidRPr="003238A6" w:rsidRDefault="00BA47BE" w:rsidP="009A709C">
      <w:pPr>
        <w:spacing w:after="0" w:line="480" w:lineRule="auto"/>
        <w:rPr>
          <w:rFonts w:cstheme="minorHAnsi"/>
          <w:b/>
          <w:bCs/>
        </w:rPr>
      </w:pPr>
      <w:r w:rsidRPr="00343D63">
        <w:rPr>
          <w:rFonts w:cstheme="minorHAnsi"/>
        </w:rPr>
        <w:t xml:space="preserve">Toju H, Tanabe AS, Yamamoto S, Sato H (2012) High-coverage ITS Primers for the DNA-based identification of Ascomycetes and Basidiomycetes in environmental samples. </w:t>
      </w:r>
      <w:r w:rsidRPr="00343D63">
        <w:rPr>
          <w:rFonts w:cstheme="minorHAnsi"/>
          <w:shd w:val="clear" w:color="auto" w:fill="FFFFFF"/>
        </w:rPr>
        <w:t>PLoS ONE 7(7):e40863</w:t>
      </w:r>
    </w:p>
    <w:sectPr w:rsidR="003647EF" w:rsidRPr="003238A6" w:rsidSect="00020D00">
      <w:pgSz w:w="12240" w:h="15840"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0F"/>
    <w:rsid w:val="00020D00"/>
    <w:rsid w:val="000550D7"/>
    <w:rsid w:val="000A6BEF"/>
    <w:rsid w:val="001B3970"/>
    <w:rsid w:val="00311A0F"/>
    <w:rsid w:val="003238A6"/>
    <w:rsid w:val="003647EF"/>
    <w:rsid w:val="003A137F"/>
    <w:rsid w:val="004101B8"/>
    <w:rsid w:val="004306CB"/>
    <w:rsid w:val="00687AB2"/>
    <w:rsid w:val="006B7408"/>
    <w:rsid w:val="006E1468"/>
    <w:rsid w:val="00720553"/>
    <w:rsid w:val="008965B5"/>
    <w:rsid w:val="009A709C"/>
    <w:rsid w:val="009F61A4"/>
    <w:rsid w:val="00B3201A"/>
    <w:rsid w:val="00B429B0"/>
    <w:rsid w:val="00BA47BE"/>
    <w:rsid w:val="00BE3722"/>
    <w:rsid w:val="00CF407C"/>
    <w:rsid w:val="00E80443"/>
    <w:rsid w:val="00E958DF"/>
    <w:rsid w:val="00EB5A44"/>
    <w:rsid w:val="00FD756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C01DF"/>
  <w15:chartTrackingRefBased/>
  <w15:docId w15:val="{953691EA-5D62-48E2-A074-1D5B528F2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1A0F"/>
    <w:rPr>
      <w:color w:val="0563C1" w:themeColor="hyperlink"/>
      <w:u w:val="single"/>
    </w:rPr>
  </w:style>
  <w:style w:type="paragraph" w:styleId="BalloonText">
    <w:name w:val="Balloon Text"/>
    <w:basedOn w:val="Normal"/>
    <w:link w:val="BalloonTextChar"/>
    <w:uiPriority w:val="99"/>
    <w:semiHidden/>
    <w:unhideWhenUsed/>
    <w:rsid w:val="007205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0553"/>
    <w:rPr>
      <w:rFonts w:ascii="Segoe UI" w:hAnsi="Segoe UI" w:cs="Segoe UI"/>
      <w:sz w:val="18"/>
      <w:szCs w:val="18"/>
    </w:rPr>
  </w:style>
  <w:style w:type="paragraph" w:styleId="Bibliography">
    <w:name w:val="Bibliography"/>
    <w:basedOn w:val="Normal"/>
    <w:next w:val="Normal"/>
    <w:uiPriority w:val="37"/>
    <w:unhideWhenUsed/>
    <w:rsid w:val="003647EF"/>
    <w:pPr>
      <w:tabs>
        <w:tab w:val="left" w:pos="504"/>
      </w:tabs>
      <w:spacing w:after="24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imr.bio/protocol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4FD39B-7208-470E-B5F4-3D4793E99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5</Pages>
  <Words>3906</Words>
  <Characters>22268</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Kranabetter, Marty FLNR:EX</dc:creator>
  <cp:keywords/>
  <dc:description/>
  <cp:lastModifiedBy>Kranabetter, Marty FLNR:EX</cp:lastModifiedBy>
  <cp:revision>9</cp:revision>
  <dcterms:created xsi:type="dcterms:W3CDTF">2021-03-08T16:54:00Z</dcterms:created>
  <dcterms:modified xsi:type="dcterms:W3CDTF">2021-06-15T17:09:00Z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zotero-version="5.0.96"&gt;&lt;session id="CNdo07ga"/&gt;&lt;style id="http://www.zotero.org/styles/pnas" hasBibliography="1" bibliographyStyleHasBeenSet="1"/&gt;&lt;prefs&gt;&lt;pref name="fieldType" value="Field"/&gt;&lt;pref name="automaticJournalAbbreviation</vt:lpwstr>
  </property>
  <property fmtid="{D5CDD505-2E9C-101B-9397-08002B2CF9AE}" pid="3" name="ZOTERO_PREF_2">
    <vt:lpwstr>s" value="true"/&gt;&lt;/prefs&gt;&lt;/data&gt;</vt:lpwstr>
  </property>
</Properties>
</file>