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1ED7A9" w14:textId="39F6F221" w:rsidR="008E447F" w:rsidRDefault="008E447F" w:rsidP="008E447F">
      <w:pPr>
        <w:spacing w:line="240" w:lineRule="auto"/>
        <w:jc w:val="both"/>
        <w:rPr>
          <w:b/>
          <w:color w:val="2F5496"/>
          <w:lang w:val="en-US"/>
        </w:rPr>
      </w:pPr>
      <w:bookmarkStart w:id="0" w:name="_o8knivhgrjp0" w:colFirst="0" w:colLast="0"/>
      <w:bookmarkStart w:id="1" w:name="_f2v586fpfhep" w:colFirst="0" w:colLast="0"/>
      <w:bookmarkStart w:id="2" w:name="_gjdgxs" w:colFirst="0" w:colLast="0"/>
      <w:bookmarkEnd w:id="0"/>
      <w:bookmarkEnd w:id="1"/>
      <w:bookmarkEnd w:id="2"/>
      <w:r w:rsidRPr="00661A09">
        <w:rPr>
          <w:b/>
          <w:color w:val="2F5496"/>
          <w:lang w:val="en-US"/>
        </w:rPr>
        <w:t>Supplemental Figures</w:t>
      </w:r>
    </w:p>
    <w:p w14:paraId="504930A1" w14:textId="1A0DE1BB" w:rsidR="00720E48" w:rsidRDefault="00720E48" w:rsidP="004429AD">
      <w:pPr>
        <w:spacing w:line="240" w:lineRule="auto"/>
        <w:jc w:val="both"/>
        <w:rPr>
          <w:bCs/>
          <w:color w:val="000000" w:themeColor="text1"/>
          <w:sz w:val="20"/>
          <w:szCs w:val="20"/>
          <w:lang w:val="en-US"/>
        </w:rPr>
      </w:pPr>
    </w:p>
    <w:p w14:paraId="7245D86E" w14:textId="77777777" w:rsidR="008E447F" w:rsidRPr="00D90010" w:rsidRDefault="008E447F" w:rsidP="008E447F">
      <w:pPr>
        <w:spacing w:line="240" w:lineRule="auto"/>
        <w:jc w:val="center"/>
        <w:rPr>
          <w:b/>
          <w:color w:val="2F5496"/>
          <w:lang w:val="en-US"/>
        </w:rPr>
      </w:pPr>
    </w:p>
    <w:p w14:paraId="7C8CD5E4" w14:textId="77777777" w:rsidR="008E447F" w:rsidRDefault="008E447F" w:rsidP="008E447F">
      <w:pPr>
        <w:spacing w:line="240" w:lineRule="auto"/>
        <w:jc w:val="center"/>
        <w:rPr>
          <w:b/>
          <w:color w:val="2F5496"/>
          <w:lang w:val="en-US"/>
        </w:rPr>
      </w:pPr>
    </w:p>
    <w:p w14:paraId="41F67541" w14:textId="77777777" w:rsidR="008E447F" w:rsidRPr="00D90010" w:rsidRDefault="008E447F" w:rsidP="008E447F">
      <w:pPr>
        <w:spacing w:line="240" w:lineRule="auto"/>
        <w:jc w:val="center"/>
        <w:rPr>
          <w:b/>
          <w:color w:val="2F5496"/>
          <w:lang w:val="en-US"/>
        </w:rPr>
      </w:pPr>
    </w:p>
    <w:p w14:paraId="26FD07F8" w14:textId="77777777" w:rsidR="008E447F" w:rsidRPr="00D90010" w:rsidRDefault="008E447F" w:rsidP="008E447F">
      <w:pPr>
        <w:spacing w:line="240" w:lineRule="auto"/>
        <w:jc w:val="center"/>
        <w:rPr>
          <w:b/>
          <w:color w:val="2F5496"/>
          <w:lang w:val="en-US"/>
        </w:rPr>
      </w:pPr>
      <w:r w:rsidRPr="00D90010">
        <w:rPr>
          <w:b/>
          <w:noProof/>
          <w:color w:val="2F5496"/>
          <w:lang w:val="en-US" w:eastAsia="en-US"/>
        </w:rPr>
        <w:drawing>
          <wp:inline distT="0" distB="0" distL="0" distR="0" wp14:anchorId="2FB351CD" wp14:editId="0D55EB29">
            <wp:extent cx="5934075" cy="6148070"/>
            <wp:effectExtent l="0" t="0" r="9525" b="0"/>
            <wp:docPr id="10" name="Picture 10" descr="Bibione:Users:matt:Dropbox (NYU Langone Health):Maurano Lab - Manuscripts:FINEMAP Manuscript:png:Fig. S1 - credible set compari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ibione:Users:matt:Dropbox (NYU Langone Health):Maurano Lab - Manuscripts:FINEMAP Manuscript:png:Fig. S1 - credible set compariso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4075" cy="6148070"/>
                    </a:xfrm>
                    <a:prstGeom prst="rect">
                      <a:avLst/>
                    </a:prstGeom>
                    <a:noFill/>
                    <a:ln>
                      <a:noFill/>
                    </a:ln>
                  </pic:spPr>
                </pic:pic>
              </a:graphicData>
            </a:graphic>
          </wp:inline>
        </w:drawing>
      </w:r>
    </w:p>
    <w:p w14:paraId="54278843" w14:textId="77777777" w:rsidR="008E447F" w:rsidRPr="00D90010" w:rsidRDefault="008E447F" w:rsidP="008E447F">
      <w:pPr>
        <w:spacing w:line="240" w:lineRule="auto"/>
        <w:jc w:val="center"/>
        <w:rPr>
          <w:b/>
          <w:color w:val="2F5496"/>
          <w:lang w:val="en-US"/>
        </w:rPr>
      </w:pPr>
    </w:p>
    <w:p w14:paraId="0BA36402" w14:textId="77777777" w:rsidR="008E447F" w:rsidRPr="00D90010" w:rsidRDefault="008E447F" w:rsidP="008E447F">
      <w:pPr>
        <w:spacing w:line="240" w:lineRule="auto"/>
        <w:jc w:val="center"/>
        <w:rPr>
          <w:b/>
          <w:color w:val="2F5496"/>
          <w:lang w:val="en-US"/>
        </w:rPr>
      </w:pPr>
    </w:p>
    <w:p w14:paraId="16406943" w14:textId="77777777" w:rsidR="008E447F" w:rsidRPr="00D90010" w:rsidRDefault="008E447F" w:rsidP="008E447F">
      <w:pPr>
        <w:spacing w:line="240" w:lineRule="auto"/>
        <w:jc w:val="center"/>
        <w:rPr>
          <w:b/>
          <w:color w:val="2F5496"/>
          <w:lang w:val="en-US"/>
        </w:rPr>
      </w:pPr>
    </w:p>
    <w:p w14:paraId="4012DC39" w14:textId="74CDA40C" w:rsidR="008E447F" w:rsidRPr="00D90010" w:rsidRDefault="008E447F" w:rsidP="008E447F">
      <w:pPr>
        <w:spacing w:line="240" w:lineRule="auto"/>
        <w:jc w:val="both"/>
        <w:rPr>
          <w:b/>
          <w:color w:val="2F5496"/>
          <w:lang w:val="en-US"/>
        </w:rPr>
      </w:pPr>
      <w:r w:rsidRPr="00D90010">
        <w:rPr>
          <w:b/>
          <w:color w:val="2F5496"/>
          <w:lang w:val="en-US"/>
        </w:rPr>
        <w:t>Supplementary Fig. </w:t>
      </w:r>
      <w:r w:rsidR="00BC0B3C">
        <w:rPr>
          <w:b/>
          <w:color w:val="2F5496"/>
          <w:lang w:val="en-US"/>
        </w:rPr>
        <w:t>1</w:t>
      </w:r>
      <w:r w:rsidRPr="00D90010">
        <w:rPr>
          <w:b/>
          <w:color w:val="2F5496"/>
          <w:lang w:val="en-US"/>
        </w:rPr>
        <w:t>. Summary of statistical fine mapping results.</w:t>
      </w:r>
    </w:p>
    <w:p w14:paraId="2E9748FB" w14:textId="0570078A" w:rsidR="00720E48" w:rsidRDefault="008E447F" w:rsidP="00720E48">
      <w:pPr>
        <w:spacing w:line="240" w:lineRule="auto"/>
        <w:jc w:val="both"/>
        <w:rPr>
          <w:b/>
          <w:color w:val="2F5496"/>
          <w:lang w:val="en-US"/>
        </w:rPr>
      </w:pPr>
      <w:r w:rsidRPr="00D90010">
        <w:rPr>
          <w:lang w:val="en-US"/>
        </w:rPr>
        <w:t>(</w:t>
      </w:r>
      <w:r w:rsidRPr="00D90010">
        <w:rPr>
          <w:b/>
          <w:bCs/>
          <w:lang w:val="en-US"/>
        </w:rPr>
        <w:t>a</w:t>
      </w:r>
      <w:r w:rsidRPr="00D90010">
        <w:rPr>
          <w:lang w:val="en-US"/>
        </w:rPr>
        <w:t>) Composition and overlap of genome-wide significantly associated sets and FINEMAP credible set. (</w:t>
      </w:r>
      <w:r w:rsidRPr="00D90010">
        <w:rPr>
          <w:b/>
          <w:bCs/>
          <w:lang w:val="en-US"/>
        </w:rPr>
        <w:t>b-c</w:t>
      </w:r>
      <w:r w:rsidRPr="00D90010">
        <w:rPr>
          <w:lang w:val="en-US"/>
        </w:rPr>
        <w:t>) Frequency of loci where lead GWAS SNV by P-value is also (</w:t>
      </w:r>
      <w:r w:rsidRPr="00D90010">
        <w:rPr>
          <w:b/>
          <w:bCs/>
          <w:lang w:val="en-US"/>
        </w:rPr>
        <w:t>b</w:t>
      </w:r>
      <w:r w:rsidRPr="00D90010">
        <w:rPr>
          <w:lang w:val="en-US"/>
        </w:rPr>
        <w:t>) lead SNV by log</w:t>
      </w:r>
      <w:r w:rsidRPr="00D90010">
        <w:rPr>
          <w:vertAlign w:val="subscript"/>
          <w:lang w:val="en-US"/>
        </w:rPr>
        <w:t>10</w:t>
      </w:r>
      <w:r w:rsidRPr="00D90010">
        <w:rPr>
          <w:lang w:val="en-US"/>
        </w:rPr>
        <w:t>(BF) or (</w:t>
      </w:r>
      <w:r w:rsidRPr="00D90010">
        <w:rPr>
          <w:b/>
          <w:bCs/>
          <w:lang w:val="en-US"/>
        </w:rPr>
        <w:t>c</w:t>
      </w:r>
      <w:r w:rsidRPr="00D90010">
        <w:rPr>
          <w:lang w:val="en-US"/>
        </w:rPr>
        <w:t>) has log</w:t>
      </w:r>
      <w:r w:rsidRPr="00D90010">
        <w:rPr>
          <w:vertAlign w:val="subscript"/>
          <w:lang w:val="en-US"/>
        </w:rPr>
        <w:t>10</w:t>
      </w:r>
      <w:r w:rsidRPr="00D90010">
        <w:rPr>
          <w:lang w:val="en-US"/>
        </w:rPr>
        <w:t>(BF) &gt; 2.</w:t>
      </w:r>
    </w:p>
    <w:p w14:paraId="35DDF141" w14:textId="77777777" w:rsidR="00720E48" w:rsidRDefault="00720E48">
      <w:pPr>
        <w:rPr>
          <w:b/>
          <w:color w:val="2F5496"/>
          <w:lang w:val="en-US"/>
        </w:rPr>
      </w:pPr>
      <w:r>
        <w:rPr>
          <w:b/>
          <w:color w:val="2F5496"/>
          <w:lang w:val="en-US"/>
        </w:rPr>
        <w:br w:type="page"/>
      </w:r>
      <w:bookmarkStart w:id="3" w:name="_GoBack"/>
      <w:bookmarkEnd w:id="3"/>
    </w:p>
    <w:p w14:paraId="7CD78997" w14:textId="77777777" w:rsidR="008E447F" w:rsidRPr="00D90010" w:rsidRDefault="008E447F" w:rsidP="004429AD">
      <w:pPr>
        <w:spacing w:line="240" w:lineRule="auto"/>
        <w:jc w:val="both"/>
        <w:rPr>
          <w:b/>
          <w:color w:val="2F5496"/>
          <w:lang w:val="en-US"/>
        </w:rPr>
      </w:pPr>
    </w:p>
    <w:p w14:paraId="73C65FD6" w14:textId="77777777" w:rsidR="008E447F" w:rsidRPr="00D90010" w:rsidRDefault="008E447F" w:rsidP="008E447F">
      <w:pPr>
        <w:spacing w:line="240" w:lineRule="auto"/>
        <w:jc w:val="center"/>
        <w:rPr>
          <w:b/>
          <w:color w:val="2F5496"/>
          <w:lang w:val="en-US"/>
        </w:rPr>
      </w:pPr>
      <w:r w:rsidRPr="0074560A">
        <w:rPr>
          <w:b/>
          <w:noProof/>
          <w:color w:val="2F5496"/>
          <w:lang w:val="en-US" w:eastAsia="en-US"/>
        </w:rPr>
        <w:drawing>
          <wp:inline distT="0" distB="0" distL="0" distR="0" wp14:anchorId="342B3486" wp14:editId="788ACE18">
            <wp:extent cx="5598584" cy="6858000"/>
            <wp:effectExtent l="0" t="0" r="0" b="0"/>
            <wp:docPr id="20" name="Picture 20" descr="Bibione:Users:matt:Dropbox (NYU Langone Health):Maurano Lab - Manuscripts:FINEMAP Manuscript:png:Fig. S2 - fine mapping summary-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bione:Users:matt:Dropbox (NYU Langone Health):Maurano Lab - Manuscripts:FINEMAP Manuscript:png:Fig. S2 - fine mapping summary-0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06840" cy="6868113"/>
                    </a:xfrm>
                    <a:prstGeom prst="rect">
                      <a:avLst/>
                    </a:prstGeom>
                    <a:noFill/>
                    <a:ln>
                      <a:noFill/>
                    </a:ln>
                  </pic:spPr>
                </pic:pic>
              </a:graphicData>
            </a:graphic>
          </wp:inline>
        </w:drawing>
      </w:r>
    </w:p>
    <w:p w14:paraId="1C5789DC" w14:textId="101B455E" w:rsidR="008E447F" w:rsidRPr="00D90010" w:rsidRDefault="008E447F" w:rsidP="008E447F">
      <w:pPr>
        <w:spacing w:line="240" w:lineRule="auto"/>
        <w:jc w:val="both"/>
        <w:rPr>
          <w:b/>
          <w:color w:val="2F5496"/>
          <w:lang w:val="en-US"/>
        </w:rPr>
      </w:pPr>
      <w:r w:rsidRPr="00D90010">
        <w:rPr>
          <w:b/>
          <w:color w:val="2F5496"/>
          <w:lang w:val="en-US"/>
        </w:rPr>
        <w:t>Supplementary Fig. </w:t>
      </w:r>
      <w:r w:rsidR="00BC0B3C">
        <w:rPr>
          <w:b/>
          <w:color w:val="2F5496"/>
          <w:lang w:val="en-US"/>
        </w:rPr>
        <w:t>2</w:t>
      </w:r>
      <w:r w:rsidRPr="00D90010">
        <w:rPr>
          <w:b/>
          <w:color w:val="2F5496"/>
          <w:lang w:val="en-US"/>
        </w:rPr>
        <w:t>. Assessment of fine-mapping GWAS loci.</w:t>
      </w:r>
    </w:p>
    <w:p w14:paraId="65506CCD" w14:textId="77777777" w:rsidR="008E447F" w:rsidRDefault="008E447F" w:rsidP="008E447F">
      <w:pPr>
        <w:jc w:val="both"/>
        <w:rPr>
          <w:b/>
          <w:color w:val="2F5496"/>
          <w:lang w:val="en-US"/>
        </w:rPr>
      </w:pPr>
      <w:r w:rsidRPr="00D90010">
        <w:rPr>
          <w:bCs/>
          <w:lang w:val="en-US"/>
        </w:rPr>
        <w:t>Overview of allelic heterogeneity at fine-mapped loci (</w:t>
      </w:r>
      <w:r w:rsidRPr="00D90010">
        <w:rPr>
          <w:b/>
          <w:lang w:val="en-US"/>
        </w:rPr>
        <w:t>a-d</w:t>
      </w:r>
      <w:r w:rsidRPr="00D90010">
        <w:rPr>
          <w:bCs/>
          <w:lang w:val="en-US"/>
        </w:rPr>
        <w:t xml:space="preserve">). </w:t>
      </w:r>
      <w:r w:rsidRPr="00D90010">
        <w:rPr>
          <w:lang w:val="en-US"/>
        </w:rPr>
        <w:t>Accounting for the number of causal signals per trait, as measured by (</w:t>
      </w:r>
      <w:r w:rsidRPr="00D90010">
        <w:rPr>
          <w:b/>
          <w:bCs/>
          <w:lang w:val="en-US"/>
        </w:rPr>
        <w:t>a</w:t>
      </w:r>
      <w:r w:rsidRPr="00D90010">
        <w:rPr>
          <w:lang w:val="en-US"/>
        </w:rPr>
        <w:t>) FINEMAP (k_max); (</w:t>
      </w:r>
      <w:r w:rsidRPr="00D90010">
        <w:rPr>
          <w:b/>
          <w:bCs/>
          <w:lang w:val="en-US"/>
        </w:rPr>
        <w:t>b</w:t>
      </w:r>
      <w:r w:rsidRPr="00D90010">
        <w:rPr>
          <w:lang w:val="en-US"/>
        </w:rPr>
        <w:t>) number of statistically significant groups of independent SNVs log</w:t>
      </w:r>
      <w:r w:rsidRPr="00D90010">
        <w:rPr>
          <w:vertAlign w:val="subscript"/>
          <w:lang w:val="en-US"/>
        </w:rPr>
        <w:t>10</w:t>
      </w:r>
      <w:r w:rsidRPr="00D90010">
        <w:rPr>
          <w:lang w:val="en-US"/>
        </w:rPr>
        <w:t>(BF) &gt; 3; (</w:t>
      </w:r>
      <w:r w:rsidRPr="00D90010">
        <w:rPr>
          <w:b/>
          <w:bCs/>
          <w:lang w:val="en-US"/>
        </w:rPr>
        <w:t>c</w:t>
      </w:r>
      <w:r w:rsidRPr="00D90010">
        <w:rPr>
          <w:lang w:val="en-US"/>
        </w:rPr>
        <w:t>) the number of individual SNVs log</w:t>
      </w:r>
      <w:r w:rsidRPr="00D90010">
        <w:rPr>
          <w:vertAlign w:val="subscript"/>
          <w:lang w:val="en-US"/>
        </w:rPr>
        <w:t>10</w:t>
      </w:r>
      <w:r w:rsidRPr="00D90010">
        <w:rPr>
          <w:lang w:val="en-US"/>
        </w:rPr>
        <w:t>(BF) &gt; 2; and, (</w:t>
      </w:r>
      <w:r w:rsidRPr="00D90010">
        <w:rPr>
          <w:b/>
          <w:bCs/>
          <w:lang w:val="en-US"/>
        </w:rPr>
        <w:t>d</w:t>
      </w:r>
      <w:r w:rsidRPr="00D90010">
        <w:rPr>
          <w:lang w:val="en-US"/>
        </w:rPr>
        <w:t>) the number of SNVs in statistically significant groups of independent SNVs log</w:t>
      </w:r>
      <w:r w:rsidRPr="00D90010">
        <w:rPr>
          <w:vertAlign w:val="subscript"/>
          <w:lang w:val="en-US"/>
        </w:rPr>
        <w:t>10</w:t>
      </w:r>
      <w:r w:rsidRPr="00D90010">
        <w:rPr>
          <w:lang w:val="en-US"/>
        </w:rPr>
        <w:t>(BF) &gt; 3. (</w:t>
      </w:r>
      <w:r w:rsidRPr="00D90010">
        <w:rPr>
          <w:b/>
          <w:lang w:val="en-US"/>
        </w:rPr>
        <w:t>e</w:t>
      </w:r>
      <w:r w:rsidRPr="00D90010">
        <w:rPr>
          <w:lang w:val="en-US"/>
        </w:rPr>
        <w:t>) extent of genomic region covered by log</w:t>
      </w:r>
      <w:r w:rsidRPr="00D90010">
        <w:rPr>
          <w:vertAlign w:val="subscript"/>
          <w:lang w:val="en-US"/>
        </w:rPr>
        <w:t>10</w:t>
      </w:r>
      <w:r w:rsidRPr="00D90010">
        <w:rPr>
          <w:lang w:val="en-US"/>
        </w:rPr>
        <w:t>(BF) &gt; 3 at each locus.</w:t>
      </w:r>
      <w:r w:rsidRPr="00D90010">
        <w:rPr>
          <w:b/>
          <w:color w:val="2F5496"/>
          <w:lang w:val="en-US"/>
        </w:rPr>
        <w:br w:type="page"/>
      </w:r>
    </w:p>
    <w:p w14:paraId="596AD0EF" w14:textId="77777777" w:rsidR="008E447F" w:rsidRDefault="008E447F" w:rsidP="008E447F">
      <w:pPr>
        <w:jc w:val="both"/>
        <w:rPr>
          <w:b/>
          <w:color w:val="2F5496"/>
          <w:lang w:val="en-US"/>
        </w:rPr>
      </w:pPr>
    </w:p>
    <w:p w14:paraId="71DE4035" w14:textId="77777777" w:rsidR="008E447F" w:rsidRDefault="008E447F" w:rsidP="008E447F">
      <w:pPr>
        <w:jc w:val="both"/>
        <w:rPr>
          <w:b/>
          <w:color w:val="2F5496"/>
          <w:lang w:val="en-US"/>
        </w:rPr>
      </w:pPr>
    </w:p>
    <w:p w14:paraId="765213DB" w14:textId="77777777" w:rsidR="008E447F" w:rsidRPr="00D90010" w:rsidRDefault="008E447F" w:rsidP="008E447F">
      <w:pPr>
        <w:jc w:val="both"/>
        <w:rPr>
          <w:b/>
          <w:color w:val="2F5496"/>
          <w:lang w:val="en-US"/>
        </w:rPr>
      </w:pPr>
    </w:p>
    <w:p w14:paraId="45D0BA42" w14:textId="77777777" w:rsidR="008E447F" w:rsidRDefault="008E447F" w:rsidP="008E447F">
      <w:pPr>
        <w:spacing w:line="240" w:lineRule="auto"/>
        <w:jc w:val="center"/>
        <w:rPr>
          <w:b/>
          <w:color w:val="2F5496"/>
          <w:lang w:val="en-US"/>
        </w:rPr>
      </w:pPr>
      <w:r w:rsidRPr="00D90010">
        <w:rPr>
          <w:b/>
          <w:noProof/>
          <w:color w:val="2F5496"/>
          <w:lang w:val="en-US" w:eastAsia="en-US"/>
        </w:rPr>
        <w:drawing>
          <wp:inline distT="0" distB="0" distL="0" distR="0" wp14:anchorId="0011719F" wp14:editId="3840A0D4">
            <wp:extent cx="3428546" cy="5876925"/>
            <wp:effectExtent l="0" t="0" r="635" b="0"/>
            <wp:docPr id="3" name="Picture 3" descr="Bibione:Users:matt:Dropbox (NYU Langone Health):Maurano Lab - Manuscripts:FINEMAP Manuscript:png:Fig. S6 - compare to prior resul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bione:Users:matt:Dropbox (NYU Langone Health):Maurano Lab - Manuscripts:FINEMAP Manuscript:png:Fig. S6 - compare to prior results.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33736" cy="5885822"/>
                    </a:xfrm>
                    <a:prstGeom prst="rect">
                      <a:avLst/>
                    </a:prstGeom>
                    <a:noFill/>
                    <a:ln>
                      <a:noFill/>
                    </a:ln>
                  </pic:spPr>
                </pic:pic>
              </a:graphicData>
            </a:graphic>
          </wp:inline>
        </w:drawing>
      </w:r>
    </w:p>
    <w:p w14:paraId="73865FFF" w14:textId="77777777" w:rsidR="008E447F" w:rsidRDefault="008E447F" w:rsidP="008E447F">
      <w:pPr>
        <w:spacing w:line="240" w:lineRule="auto"/>
        <w:jc w:val="center"/>
        <w:rPr>
          <w:b/>
          <w:color w:val="2F5496"/>
          <w:lang w:val="en-US"/>
        </w:rPr>
      </w:pPr>
    </w:p>
    <w:p w14:paraId="051DBAAB" w14:textId="77777777" w:rsidR="008E447F" w:rsidRDefault="008E447F" w:rsidP="008E447F">
      <w:pPr>
        <w:spacing w:line="240" w:lineRule="auto"/>
        <w:jc w:val="center"/>
        <w:rPr>
          <w:b/>
          <w:color w:val="2F5496"/>
          <w:lang w:val="en-US"/>
        </w:rPr>
      </w:pPr>
    </w:p>
    <w:p w14:paraId="608EDD81" w14:textId="77777777" w:rsidR="008E447F" w:rsidRDefault="008E447F" w:rsidP="008E447F">
      <w:pPr>
        <w:spacing w:line="240" w:lineRule="auto"/>
        <w:jc w:val="center"/>
        <w:rPr>
          <w:b/>
          <w:color w:val="2F5496"/>
          <w:lang w:val="en-US"/>
        </w:rPr>
      </w:pPr>
    </w:p>
    <w:p w14:paraId="63D47E38" w14:textId="77777777" w:rsidR="008E447F" w:rsidRPr="00D90010" w:rsidRDefault="008E447F" w:rsidP="008E447F">
      <w:pPr>
        <w:spacing w:line="240" w:lineRule="auto"/>
        <w:jc w:val="center"/>
        <w:rPr>
          <w:b/>
          <w:color w:val="2F5496"/>
          <w:lang w:val="en-US"/>
        </w:rPr>
      </w:pPr>
    </w:p>
    <w:p w14:paraId="69FB1ACF" w14:textId="0140D4EF" w:rsidR="008E447F" w:rsidRPr="00D90010" w:rsidRDefault="008E447F" w:rsidP="008E447F">
      <w:pPr>
        <w:spacing w:line="240" w:lineRule="auto"/>
        <w:jc w:val="both"/>
        <w:rPr>
          <w:b/>
          <w:color w:val="2F5496"/>
          <w:lang w:val="en-US"/>
        </w:rPr>
      </w:pPr>
      <w:r>
        <w:rPr>
          <w:b/>
          <w:color w:val="2F5496"/>
          <w:lang w:val="en-US"/>
        </w:rPr>
        <w:t>Supplementary Fig. </w:t>
      </w:r>
      <w:r w:rsidR="002E70C1">
        <w:rPr>
          <w:b/>
          <w:color w:val="2F5496"/>
          <w:lang w:val="en-US"/>
        </w:rPr>
        <w:t>3</w:t>
      </w:r>
      <w:r w:rsidRPr="00D90010">
        <w:rPr>
          <w:b/>
          <w:color w:val="2F5496"/>
          <w:lang w:val="en-US"/>
        </w:rPr>
        <w:t xml:space="preserve">. </w:t>
      </w:r>
      <w:r>
        <w:rPr>
          <w:b/>
          <w:color w:val="2F5496"/>
          <w:lang w:val="en-US"/>
        </w:rPr>
        <w:t>Comparison</w:t>
      </w:r>
      <w:r w:rsidRPr="00D90010">
        <w:rPr>
          <w:b/>
          <w:color w:val="2F5496"/>
          <w:lang w:val="en-US"/>
        </w:rPr>
        <w:t xml:space="preserve"> of fine-mapping credible sets to past studies.</w:t>
      </w:r>
    </w:p>
    <w:p w14:paraId="614069B0" w14:textId="01181591" w:rsidR="008E447F" w:rsidRPr="00D90010" w:rsidRDefault="008E447F" w:rsidP="008E447F">
      <w:pPr>
        <w:spacing w:line="240" w:lineRule="auto"/>
        <w:jc w:val="both"/>
        <w:rPr>
          <w:b/>
          <w:lang w:val="en-US"/>
        </w:rPr>
      </w:pPr>
      <w:r w:rsidRPr="00D90010">
        <w:rPr>
          <w:lang w:val="en-US"/>
        </w:rPr>
        <w:t>(</w:t>
      </w:r>
      <w:r w:rsidRPr="00D90010">
        <w:rPr>
          <w:b/>
          <w:bCs/>
          <w:lang w:val="en-US"/>
        </w:rPr>
        <w:t>a-b</w:t>
      </w:r>
      <w:r w:rsidRPr="00D90010">
        <w:rPr>
          <w:lang w:val="en-US"/>
        </w:rPr>
        <w:t>) Enrichment of positive control gene sets. Shown is enrichment of SNV sets for positive control genes within 25 Kbp.</w:t>
      </w:r>
      <w:r w:rsidRPr="00D90010">
        <w:rPr>
          <w:b/>
          <w:lang w:val="en-US"/>
        </w:rPr>
        <w:t xml:space="preserve"> </w:t>
      </w:r>
      <w:r w:rsidRPr="00D90010">
        <w:rPr>
          <w:bCs/>
          <w:lang w:val="en-US"/>
        </w:rPr>
        <w:t>(</w:t>
      </w:r>
      <w:r w:rsidRPr="00D90010">
        <w:rPr>
          <w:b/>
          <w:lang w:val="en-US"/>
        </w:rPr>
        <w:t>a</w:t>
      </w:r>
      <w:r w:rsidRPr="00D90010">
        <w:rPr>
          <w:bCs/>
          <w:lang w:val="en-US"/>
        </w:rPr>
        <w:t>)</w:t>
      </w:r>
      <w:r w:rsidRPr="00D90010">
        <w:rPr>
          <w:lang w:val="en-US"/>
        </w:rPr>
        <w:t xml:space="preserve"> Comparison to eBMD analysis from Morris et al. 2019</w:t>
      </w:r>
      <w:r w:rsidRPr="00661A09">
        <w:rPr>
          <w:lang w:val="en-US"/>
        </w:rPr>
        <w:fldChar w:fldCharType="begin" w:fldLock="1"/>
      </w:r>
      <w:r w:rsidR="00092B7B">
        <w:rPr>
          <w:lang w:val="en-US"/>
        </w:rPr>
        <w:instrText>ADDIN CSL_CITATION {"citationItems":[{"id":"ITEM-1","itemData":{"DOI":"10.1038/s41588-018-0302-x","ISSN":"1061-4036","PMID":"21710015","abstract":"Osteoporosis is a common debilitating chronic disease diagnosed primarily using bone mineral density (BMD). We undertook a comprehensive assessment of human genetic determinants of bone density in 426,824 individuals, identifying a total of 518 genome-wide significant loci, (301 novel), explaining 20% of the total variance in BMD - as estimated by heel quantitative ultrasound (eBMD). Next, meta-analysis identified 13 bone fracture loci in ~1.2M individuals, which were also associated with BMD. We then identified target genes from cell-specific genomic landscape features, including chromatin conformation and accessible chromatin sites, that were strongly enriched for genes known to influence bone density and strength (maximum odds ratio = 58, P = 10E-75). We next performed rapid throughput skeletal phenotyping of 126 knockout mice lacking eBMD Target Genes and showed that these mice had an increased frequency of abnormal skeletal phenotypes compared to 526 unselected lines (P &lt; 0.0001). In-depth analysis of one such Target Gene, DAAM2, showed a disproportionate decrease in bone strength relative to mineralization. This comprehensive human and murine genetic atlas provides empirical evidence testing how to link associated SNPs to causal genes, offers new insights into osteoporosis pathophysiology and highlights opportunities for drug development.","author":[{"dropping-particle":"","family":"Morris","given":"John A","non-dropping-particle":"","parse-names":false,"suffix":""},{"dropping-particle":"","family":"Kemp","given":"John P","non-dropping-particle":"","parse-names":false,"suffix":""},{"dropping-particle":"","family":"Youlten","given":"Scott E","non-dropping-particle":"","parse-names":false,"suffix":""},{"dropping-particle":"","family":"Laurent","given":"Laetitia","non-dropping-particle":"","parse-names":false,"suffix":""},{"dropping-particle":"","family":"Logan","given":"John G","non-dropping-particle":"","parse-names":false,"suffix":""},{"dropping-particle":"","family":"Chai","given":"Ryan C.","non-dropping-particle":"","parse-names":false,"suffix":""},{"dropping-particle":"","family":"Vulpescu","given":"Nicholas A","non-dropping-particle":"","parse-names":false,"suffix":""},{"dropping-particle":"","family":"Forgetta","given":"Vincenzo","non-dropping-particle":"","parse-names":false,"suffix":""},{"dropping-particle":"","family":"Kleinman","given":"Aaron","non-dropping-particle":"","parse-names":false,"suffix":""},{"dropping-particle":"","family":"Mohanty","given":"Sindhu T.","non-dropping-particle":"","parse-names":false,"suffix":""},{"dropping-particle":"","family":"Sergio","given":"C Marcelo","non-dropping-particle":"","parse-names":false,"suffix":""},{"dropping-particle":"","family":"Quinn","given":"Julian","non-dropping-particle":"","parse-names":false,"suffix":""},{"dropping-particle":"","family":"Nguyen-Yamamoto","given":"Loan","non-dropping-particle":"","parse-names":false,"suffix":""},{"dropping-particle":"","family":"Luco","given":"Aimee-lee","non-dropping-particle":"","parse-names":false,"suffix":""},{"dropping-particle":"","family":"Vijay","given":"Jinchu","non-dropping-particle":"","parse-names":false,"suffix":""},{"dropping-particle":"","family":"Simon","given":"Marie-michelle","non-dropping-particle":"","parse-names":false,"suffix":""},{"dropping-particle":"","family":"Pramatarova","given":"Albena","non-dropping-particle":"","parse-names":false,"suffix":""},{"dropping-particle":"","family":"Medina-Gomez","given":"Carolina","non-dropping-particle":"","parse-names":false,"suffix":""},{"dropping-particle":"","family":"Trajanoska","given":"Katerina","non-dropping-particle":"","parse-names":false,"suffix":""},{"dropping-particle":"","family":"Ghirardello","given":"Elena J","non-dropping-particle":"","parse-names":false,"suffix":""},{"dropping-particle":"","family":"Butterfield","given":"Natalie C","non-dropping-particle":"","parse-names":false,"suffix":""},{"dropping-particle":"","family":"Curry","given":"Katharine F","non-dropping-particle":"","parse-names":false,"suffix":""},{"dropping-particle":"","family":"Leitch","given":"Victoria D","non-dropping-particle":"","parse-names":false,"suffix":""},{"dropping-particle":"","family":"Sparkes","given":"Penny C","non-dropping-particle":"","parse-names":false,"suffix":""},{"dropping-particle":"","family":"Adoum","given":"Anne-tounsia","non-dropping-particle":"","parse-names":false,"suffix":""},{"dropping-particle":"","family":"Mannan","given":"Naila S","non-dropping-particle":"","parse-names":false,"suffix":""},{"dropping-particle":"","family":"Komla-Ebri","given":"Davide S. K.","non-dropping-particle":"","parse-names":false,"suffix":""},{"dropping-particle":"","family":"Pollard","given":"Andrea S","non-dropping-particle":"","parse-names":false,"suffix":""},{"dropping-particle":"","family":"Dewhurst","given":"Hannah F","non-dropping-particle":"","parse-names":false,"suffix":""},{"dropping-particle":"","family":"Hassall","given":"Thomas A. D.","non-dropping-particle":"","parse-names":false,"suffix":""},{"dropping-particle":"","family":"Beltejar","given":"Michael-john G","non-dropping-particle":"","parse-names":false,"suffix":""},{"dropping-particle":"","family":"Adams","given":"Douglas J","non-dropping-particle":"","parse-names":false,"suffix":""},{"dropping-particle":"","family":"Vaillancourt","given":"Suzanne M","non-dropping-particle":"","parse-names":false,"suffix":""},{"dropping-particle":"","family":"Kaptoge","given":"Stephen","non-dropping-particle":"","parse-names":false,"suffix":""},{"dropping-particle":"","family":"Baldock","given":"Paul","non-dropping-particle":"","parse-names":false,"suffix":""},{"dropping-particle":"","family":"Cooper","given":"Cyrus","non-dropping-particle":"","parse-names":false,"suffix":""},{"dropping-particle":"","family":"Reeve","given":"Jonathan","non-dropping-particle":"","parse-names":false,"suffix":""},{"dropping-particle":"","family":"Ntzani","given":"Evangelia E.","non-dropping-particle":"","parse-names":false,"suffix":""},{"dropping-particle":"","family":"Evangelou","given":"Evangelos","non-dropping-particle":"","parse-names":false,"suffix":""},{"dropping-particle":"","family":"Ohlsson","given":"Claes","non-dropping-particle":"","parse-names":false,"suffix":""},{"dropping-particle":"","family":"Karasik","given":"David","non-dropping-particle":"","parse-names":false,"suffix":""},{"dropping-particle":"","family":"Rivadeneira","given":"Fernando","non-dropping-particle":"","parse-names":false,"suffix":""},{"dropping-particle":"","family":"Kiel","given":"Douglas P","non-dropping-particle":"","parse-names":false,"suffix":""},{"dropping-particle":"","family":"Tobias","given":"Jonathan H","non-dropping-particle":"","parse-names":false,"suffix":""},{"dropping-particle":"","family":"Gregson","given":"Celia L","non-dropping-particle":"","parse-names":false,"suffix":""},{"dropping-particle":"","family":"Harvey","given":"Nicholas C","non-dropping-particle":"","parse-names":false,"suffix":""},{"dropping-particle":"","family":"Grundberg","given":"Elin","non-dropping-particle":"","parse-names":false,"suffix":""},{"dropping-particle":"","family":"Goltzman","given":"David","non-dropping-particle":"","parse-names":false,"suffix":""},{"dropping-particle":"","family":"Adams","given":"David J","non-dropping-particle":"","parse-names":false,"suffix":""},{"dropping-particle":"","family":"Lelliott","given":"Christopher J","non-dropping-particle":"","parse-names":false,"suffix":""},{"dropping-particle":"","family":"Hinds","given":"David A","non-dropping-particle":"","parse-names":false,"suffix":""},{"dropping-particle":"","family":"Ackert-Bicknell","given":"Cheryl L","non-dropping-particle":"","parse-names":false,"suffix":""},{"dropping-particle":"","family":"Hsu","given":"Yi-hsiang","non-dropping-particle":"","parse-names":false,"suffix":""},{"dropping-particle":"","family":"Maurano","given":"Matthew T","non-dropping-particle":"","parse-names":false,"suffix":""},{"dropping-particle":"","family":"Croucher","given":"Peter I","non-dropping-particle":"","parse-names":false,"suffix":""},{"dropping-particle":"","family":"Williams","given":"Graham R","non-dropping-particle":"","parse-names":false,"suffix":""},{"dropping-particle":"","family":"Bassett","given":"J. H. Duncan","non-dropping-particle":"","parse-names":false,"suffix":""},{"dropping-particle":"","family":"Evans","given":"David M","non-dropping-particle":"","parse-names":false,"suffix":""},{"dropping-particle":"","family":"Richards","given":"J Brent","non-dropping-particle":"","parse-names":false,"suffix":""}],"container-title":"Nature Genetics","id":"ITEM-1","issued":{"date-parts":[["2018","12"]]},"page":"338863","title":"An atlas of genetic influences on osteoporosis in humans and mice","type":"article-journal"},"uris":["http://www.mendeley.com/documents/?uuid=48522860-5944-427d-94a2-fac934abe598"]}],"mendeley":{"formattedCitation":"[1]","plainTextFormattedCitation":"[1]","previouslyFormattedCitation":"[1]"},"properties":{"noteIndex":0},"schema":"https://github.com/citation-style-language/schema/raw/master/csl-citation.json"}</w:instrText>
      </w:r>
      <w:r w:rsidRPr="00661A09">
        <w:rPr>
          <w:lang w:val="en-US"/>
        </w:rPr>
        <w:fldChar w:fldCharType="separate"/>
      </w:r>
      <w:r w:rsidR="003C0E34" w:rsidRPr="003C0E34">
        <w:rPr>
          <w:noProof/>
          <w:lang w:val="en-US"/>
        </w:rPr>
        <w:t>[1]</w:t>
      </w:r>
      <w:r w:rsidRPr="00661A09">
        <w:rPr>
          <w:lang w:val="en-US"/>
        </w:rPr>
        <w:fldChar w:fldCharType="end"/>
      </w:r>
      <w:r w:rsidRPr="00D90010">
        <w:rPr>
          <w:lang w:val="en-US"/>
        </w:rPr>
        <w:t xml:space="preserve"> in terms of enrichment for OMIM + Drug genes and osteocyte expression genes. The Morris et al. GWAS was used as input to the FINEMAP pipeline in the present study.</w:t>
      </w:r>
      <w:r w:rsidRPr="00D90010">
        <w:rPr>
          <w:b/>
          <w:lang w:val="en-US"/>
        </w:rPr>
        <w:t xml:space="preserve"> </w:t>
      </w:r>
      <w:r w:rsidRPr="00D90010">
        <w:rPr>
          <w:bCs/>
          <w:lang w:val="en-US"/>
        </w:rPr>
        <w:t>(</w:t>
      </w:r>
      <w:r w:rsidRPr="00D90010">
        <w:rPr>
          <w:b/>
          <w:lang w:val="en-US"/>
        </w:rPr>
        <w:t>b</w:t>
      </w:r>
      <w:r w:rsidRPr="00D90010">
        <w:rPr>
          <w:lang w:val="en-US"/>
        </w:rPr>
        <w:t>) Comparison to published Type 2 Diabetes fine-mapping study</w:t>
      </w:r>
      <w:r w:rsidRPr="00661A09">
        <w:rPr>
          <w:lang w:val="en-US"/>
        </w:rPr>
        <w:fldChar w:fldCharType="begin" w:fldLock="1"/>
      </w:r>
      <w:r w:rsidR="00092B7B">
        <w:rPr>
          <w:lang w:val="en-US"/>
        </w:rPr>
        <w:instrText>ADDIN CSL_CITATION {"citationItems":[{"id":"ITEM-1","itemData":{"DOI":"10.1038/s41588-018-0241-6","ISSN":"15461718","PMID":"30297969","abstract":"We expanded GWAS discovery for type 2 diabetes (T2D) by combining data from 898,130 European-descent individuals (9% cases), after imputation to high-density reference panels. With these data, we (i) extend the inventory of T2D-risk variants (243 loci, 135 newly implicated in T2D predisposition, comprising 403 distinct association signals); (ii) enrich discovery of lower-frequency risk alleles (80 index variants with minor allele frequency &lt;5%, 14 with estimated allelic odds ratio &gt;2); (iii) substantially improve fine-mapping of causal variants (at 51 signals, one variant accounted for &gt;80% posterior probability of association (PPA)); (iv) extend fine-mapping through integration of tissue-specific epigenomic information (islet regulatory annotations extend the number of variants with PPA &gt;80% to 73); (v) highlight validated therapeutic targets (18 genes with associations attributable to coding variants); and (vi) demonstrate enhanced potential for clinical translation (genome-wide chip heritability explains 18% of T2D risk; individuals in the extremes of a T2D polygenic risk score differ more than ninefold in prevalence).","author":[{"dropping-particle":"","family":"Mahajan","given":"Anubha","non-dropping-particle":"","parse-names":false,"suffix":""},{"dropping-particle":"","family":"Taliun","given":"Daniel","non-dropping-particle":"","parse-names":false,"suffix":""},{"dropping-particle":"","family":"Thurner","given":"Matthias","non-dropping-particle":"","parse-names":false,"suffix":""},{"dropping-particle":"","family":"Robertson","given":"Neil R.","non-dropping-particle":"","parse-names":false,"suffix":""},{"dropping-particle":"","family":"Torres","given":"Jason M.","non-dropping-particle":"","parse-names":false,"suffix":""},{"dropping-particle":"","family":"Rayner","given":"N. William","non-dropping-particle":"","parse-names":false,"suffix":""},{"dropping-particle":"","family":"Payne","given":"Anthony J.","non-dropping-particle":"","parse-names":false,"suffix":""},{"dropping-particle":"","family":"Steinthorsdottir","given":"Valgerdur","non-dropping-particle":"","parse-names":false,"suffix":""},{"dropping-particle":"","family":"Scott","given":"Robert A.","non-dropping-particle":"","parse-names":false,"suffix":""},{"dropping-particle":"","family":"Grarup","given":"Niels","non-dropping-particle":"","parse-names":false,"suffix":""},{"dropping-particle":"","family":"Cook","given":"James P.","non-dropping-particle":"","parse-names":false,"suffix":""},{"dropping-particle":"","family":"Schmidt","given":"Ellen M.","non-dropping-particle":"","parse-names":false,"suffix":""},{"dropping-particle":"","family":"Wuttke","given":"Matthias","non-dropping-particle":"","parse-names":false,"suffix":""},{"dropping-particle":"","family":"Sarnowski","given":"Chloé","non-dropping-particle":"","parse-names":false,"suffix":""},{"dropping-particle":"","family":"Mägi","given":"Reedik","non-dropping-particle":"","parse-names":false,"suffix":""},{"dropping-particle":"","family":"Nano","given":"Jana","non-dropping-particle":"","parse-names":false,"suffix":""},{"dropping-particle":"","family":"Gieger","given":"Christian","non-dropping-particle":"","parse-names":false,"suffix":""},{"dropping-particle":"","family":"Trompet","given":"Stella","non-dropping-particle":"","parse-names":false,"suffix":""},{"dropping-particle":"","family":"Lecoeur","given":"Cécile","non-dropping-particle":"","parse-names":false,"suffix":""},{"dropping-particle":"","family":"Preuss","given":"Michael H.","non-dropping-particle":"","parse-names":false,"suffix":""},{"dropping-particle":"","family":"Prins","given":"Bram Peter","non-dropping-particle":"","parse-names":false,"suffix":""},{"dropping-particle":"","family":"Guo","given":"Xiuqing","non-dropping-particle":"","parse-names":false,"suffix":""},{"dropping-particle":"","family":"Bielak","given":"Lawrence F.","non-dropping-particle":"","parse-names":false,"suffix":""},{"dropping-particle":"","family":"Below","given":"Jennifer E.","non-dropping-particle":"","parse-names":false,"suffix":""},{"dropping-particle":"","family":"Bowden","given":"Donald W.","non-dropping-particle":"","parse-names":false,"suffix":""},{"dropping-particle":"","family":"Chambers","given":"John Campbell","non-dropping-particle":"","parse-names":false,"suffix":""},{"dropping-particle":"","family":"Kim","given":"Young Jin","non-dropping-particle":"","parse-names":false,"suffix":""},{"dropping-particle":"","family":"Ng","given":"Maggie C.Y.","non-dropping-particle":"","parse-names":false,"suffix":""},{"dropping-particle":"","family":"Petty","given":"Lauren E.","non-dropping-particle":"","parse-names":false,"suffix":""},{"dropping-particle":"","family":"Sim","given":"Xueling","non-dropping-particle":"","parse-names":false,"suffix":""},{"dropping-particle":"","family":"Zhang","given":"Weihua","non-dropping-particle":"","parse-names":false,"suffix":""},{"dropping-particle":"","family":"Bennett","given":"Amanda J.","non-dropping-particle":"","parse-names":false,"suffix":""},{"dropping-particle":"","family":"Bork-Jensen","given":"Jette","non-dropping-particle":"","parse-names":false,"suffix":""},{"dropping-particle":"","family":"Brummett","given":"Chad M.","non-dropping-particle":"","parse-names":false,"suffix":""},{"dropping-particle":"","family":"Canouil","given":"Mickaël","non-dropping-particle":"","parse-names":false,"suffix":""},{"dropping-particle":"","family":"Ec kardt","given":"Kai Uwe","non-dropping-particle":"","parse-names":false,"suffix":""},{"dropping-particle":"","family":"Fischer","given":"Krista","non-dropping-particle":"","parse-names":false,"suffix":""},{"dropping-particle":"","family":"Kardia","given":"Sharon L.R.","non-dropping-particle":"","parse-names":false,"suffix":""},{"dropping-particle":"","family":"Kronenberg","given":"Florian","non-dropping-particle":"","parse-names":false,"suffix":""},{"dropping-particle":"","family":"Läll","given":"Kristi","non-dropping-particle":"","parse-names":false,"suffix":""},{"dropping-particle":"","family":"Liu","given":"Ching Ti","non-dropping-particle":"","parse-names":false,"suffix":""},{"dropping-particle":"","family":"Locke","given":"Adam E.","non-dropping-particle":"","parse-names":false,"suffix":""},{"dropping-particle":"","family":"Luan","given":"Jian’an","non-dropping-particle":"","parse-names":false,"suffix":""},{"dropping-particle":"","family":"Ntalla","given":"Ioanna","non-dropping-particle":"","parse-names":false,"suffix":""},{"dropping-particle":"","family":"Nylander","given":"Vibe","non-dropping-particle":"","parse-names":false,"suffix":""},{"dropping-particle":"","family":"Schönherr","given":"Sebastian","non-dropping-particle":"","parse-names":false,"suffix":""},{"dropping-particle":"","family":"Schurmann","given":"Claudia","non-dropping-particle":"","parse-names":false,"suffix":""},{"dropping-particle":"","family":"Yengo","given":"Loïc","non-dropping-particle":"","parse-names":false,"suffix":""},{"dropping-particle":"","family":"Bottinger","given":"Erwin P.","non-dropping-particle":"","parse-names":false,"suffix":""},{"dropping-particle":"","family":"Brandslund","given":"Ivan","non-dropping-particle":"","parse-names":false,"suffix":""},{"dropping-particle":"","family":"Christensen","given":"Cramer","non-dropping-particle":"","parse-names":false,"suffix":""},{"dropping-particle":"","family":"Dedoussis","given":"George","non-dropping-particle":"","parse-names":false,"suffix":""},{"dropping-particle":"","family":"Florez","given":"Jose C.","non-dropping-particle":"","parse-names":false,"suffix":""},{"dropping-particle":"","family":"Ford","given":"Ian","non-dropping-particle":"","parse-names":false,"suffix":""},{"dropping-particle":"","family":"Franco","given":"Oscar H.","non-dropping-particle":"","parse-names":false,"suffix":""},{"dropping-particle":"","family":"Frayling","given":"Timothy M.","non-dropping-particle":"","parse-names":false,"suffix":""},{"dropping-particle":"","family":"Giedraitis","given":"Vilmantas","non-dropping-particle":"","parse-names":false,"suffix":""},{"dropping-particle":"","family":"Hackinger","given":"Sophie","non-dropping-particle":"","parse-names":false,"suffix":""},{"dropping-particle":"","family":"Hattersley","given":"Andrew T.","non-dropping-particle":"","parse-names":false,"suffix":""},{"dropping-particle":"","family":"Herder","given":"Christian","non-dropping-particle":"","parse-names":false,"suffix":""},{"dropping-particle":"","family":"Ikram","given":"M. Arfan","non-dropping-particle":"","parse-names":false,"suffix":""},{"dropping-particle":"","family":"Ingelsson","given":"Martin","non-dropping-particle":"","parse-names":false,"suffix":""},{"dropping-particle":"","family":"Jørgensen","given":"Marit E.","non-dropping-particle":"","parse-names":false,"suffix":""},{"dropping-particle":"","family":"Jørgensen","given":"Torben","non-dropping-particle":"","parse-names":false,"suffix":""},{"dropping-particle":"","family":"Kriebel","given":"Jennifer","non-dropping-particle":"","parse-names":false,"suffix":""},{"dropping-particle":"","family":"Kuusisto","given":"Johanna","non-dropping-particle":"","parse-names":false,"suffix":""},{"dropping-particle":"","family":"Ligthart","given":"Symen","non-dropping-particle":"","parse-names":false,"suffix":""},{"dropping-particle":"","family":"Lindgren","given":"Cecilia M.","non-dropping-particle":"","parse-names":false,"suffix":""},{"dropping-particle":"","family":"Linneberg","given":"Allan","non-dropping-particle":"","parse-names":false,"suffix":""},{"dropping-particle":"","family":"Lyssenko","given":"Valeriya","non-dropping-particle":"","parse-names":false,"suffix":""},{"dropping-particle":"","family":"Mamakou","given":"Vasiliki","non-dropping-particle":"","parse-names":false,"suffix":""},{"dropping-particle":"","family":"Meitinger","given":"Thomas","non-dropping-particle":"","parse-names":false,"suffix":""},{"dropping-particle":"","family":"Mohlke","given":"Karen L.","non-dropping-particle":"","parse-names":false,"suffix":""},{"dropping-particle":"","family":"Morris","given":"Andrew D.","non-dropping-particle":"","parse-names":false,"suffix":""},{"dropping-particle":"","family":"Nadkarni","given":"Girish","non-dropping-particle":"","parse-names":false,"suffix":""},{"dropping-particle":"","family":"Pankow","given":"James S.","non-dropping-particle":"","parse-names":false,"suffix":""},{"dropping-particle":"","family":"Peters","given":"Annette","non-dropping-particle":"","parse-names":false,"suffix":""},{"dropping-particle":"","family":"Sattar","given":"Naveed","non-dropping-particle":"","parse-names":false,"suffix":""},{"dropping-particle":"","family":"Stančáková","given":"Alena","non-dropping-particle":"","parse-names":false,"suffix":""},{"dropping-particle":"","family":"Strauch","given":"Konstantin","non-dropping-particle":"","parse-names":false,"suffix":""},{"dropping-particle":"","family":"Taylor","given":"Kent D.","non-dropping-particle":"","parse-names":false,"suffix":""},{"dropping-particle":"","family":"Thorand","given":"Barbara","non-dropping-particle":"","parse-names":false,"suffix":""},{"dropping-particle":"","family":"Thorleifsson","given":"Gudmar","non-dropping-particle":"","parse-names":false,"suffix":""},{"dropping-particle":"","family":"Thorsteinsdottir","given":"Unnur","non-dropping-particle":"","parse-names":false,"suffix":""},{"dropping-particle":"","family":"Tuomilehto","given":"Jaakko","non-dropping-particle":"","parse-names":false,"suffix":""},{"dropping-particle":"","family":"Witte","given":"Daniel R.","non-dropping-particle":"","parse-names":false,"suffix":""},{"dropping-particle":"","family":"Dupuis","given":"Josée","non-dropping-particle":"","parse-names":false,"suffix":""},{"dropping-particle":"","family":"Peyser","given":"Patricia A.","non-dropping-particle":"","parse-names":false,"suffix":""},{"dropping-particle":"","family":"Zeggini","given":"Eleftheria","non-dropping-particle":"","parse-names":false,"suffix":""},{"dropping-particle":"","family":"Loos","given":"Ruth J.F.","non-dropping-particle":"","parse-names":false,"suffix":""},{"dropping-particle":"","family":"Froguel","given":"Philippe","non-dropping-particle":"","parse-names":false,"suffix":""},{"dropping-particle":"","family":"Ingelsson","given":"Erik","non-dropping-particle":"","parse-names":false,"suffix":""},{"dropping-particle":"","family":"Lind","given":"Lars","non-dropping-particle":"","parse-names":false,"suffix":""},{"dropping-particle":"","family":"Groop","given":"Leif","non-dropping-particle":"","parse-names":false,"suffix":""},{"dropping-particle":"","family":"Laakso","given":"Markku","non-dropping-particle":"","parse-names":false,"suffix":""},{"dropping-particle":"","family":"Collins","given":"Francis S.","non-dropping-particle":"","parse-names":false,"suffix":""},{"dropping-particle":"","family":"Jukema","given":"J. Wouter","non-dropping-particle":"","parse-names":false,"suffix":""},{"dropping-particle":"","family":"Palmer","given":"Colin N.A.","non-dropping-particle":"","parse-names":false,"suffix":""},{"dropping-particle":"","family":"Grallert","given":"Harald","non-dropping-particle":"","parse-names":false,"suffix":""},{"dropping-particle":"","family":"Metspalu","given":"Andres","non-dropping-particle":"","parse-names":false,"suffix":""},{"dropping-particle":"","family":"Dehghan","given":"Abbas","non-dropping-particle":"","parse-names":false,"suffix":""},{"dropping-particle":"","family":"Köttgen","given":"Anna","non-dropping-particle":"","parse-names":false,"suffix":""},{"dropping-particle":"","family":"Abecasis","given":"Goncalo R.","non-dropping-particle":"","parse-names":false,"suffix":""},{"dropping-particle":"","family":"Meigs","given":"James B.","non-dropping-particle":"","parse-names":false,"suffix":""},{"dropping-particle":"","family":"Rotter","given":"Jerome I.","non-dropping-particle":"","parse-names":false,"suffix":""},{"dropping-particle":"","family":"Marchini","given":"Jonathan","non-dropping-particle":"","parse-names":false,"suffix":""},{"dropping-particle":"","family":"Pedersen","given":"Oluf","non-dropping-particle":"","parse-names":false,"suffix":""},{"dropping-particle":"","family":"Hansen","given":"Torben","non-dropping-particle":"","parse-names":false,"suffix":""},{"dropping-particle":"","family":"Langenberg","given":"Claudia","non-dropping-particle":"","parse-names":false,"suffix":""},{"dropping-particle":"","family":"Wareham","given":"Nicholas J.","non-dropping-particle":"","parse-names":false,"suffix":""},{"dropping-particle":"","family":"Stefansson","given":"Kari","non-dropping-particle":"","parse-names":false,"suffix":""},{"dropping-particle":"","family":"Gloyn","given":"Anna L.","non-dropping-particle":"","parse-names":false,"suffix":""},{"dropping-particle":"","family":"Morris","given":"Andrew P.","non-dropping-particle":"","parse-names":false,"suffix":""},{"dropping-particle":"","family":"Boehnke","given":"Michael","non-dropping-particle":"","parse-names":false,"suffix":""},{"dropping-particle":"","family":"McCarthy","given":"Mark I.","non-dropping-particle":"","parse-names":false,"suffix":""}],"container-title":"Nature Genetics","id":"ITEM-1","issue":"11","issued":{"date-parts":[["2018","11","1"]]},"page":"1505-1513","publisher":"Nature Publishing Group","title":"Fine-mapping type 2 diabetes loci to single-variant resolution using high-density imputation and islet-specific epigenome maps","type":"article-journal","volume":"50"},"uris":["http://www.mendeley.com/documents/?uuid=d153c752-73c9-3d37-b178-f30549d5bdfe"]}],"mendeley":{"formattedCitation":"[2]","plainTextFormattedCitation":"[2]","previouslyFormattedCitation":"[2]"},"properties":{"noteIndex":0},"schema":"https://github.com/citation-style-language/schema/raw/master/csl-citation.json"}</w:instrText>
      </w:r>
      <w:r w:rsidRPr="00661A09">
        <w:rPr>
          <w:lang w:val="en-US"/>
        </w:rPr>
        <w:fldChar w:fldCharType="separate"/>
      </w:r>
      <w:r w:rsidR="003C0E34" w:rsidRPr="003C0E34">
        <w:rPr>
          <w:noProof/>
          <w:lang w:val="en-US"/>
        </w:rPr>
        <w:t>[2]</w:t>
      </w:r>
      <w:r w:rsidRPr="00661A09">
        <w:rPr>
          <w:lang w:val="en-US"/>
        </w:rPr>
        <w:fldChar w:fldCharType="end"/>
      </w:r>
      <w:r w:rsidRPr="00D90010">
        <w:rPr>
          <w:lang w:val="en-US"/>
        </w:rPr>
        <w:t xml:space="preserve"> in terms of enrichment for OMIM + Drug genes and Expression positive control sets.</w:t>
      </w:r>
    </w:p>
    <w:p w14:paraId="7F2373C1" w14:textId="77777777" w:rsidR="008E447F" w:rsidRPr="00D90010" w:rsidRDefault="008E447F" w:rsidP="008E447F">
      <w:pPr>
        <w:jc w:val="both"/>
        <w:rPr>
          <w:b/>
          <w:color w:val="2F5496"/>
          <w:lang w:val="en-US"/>
        </w:rPr>
      </w:pPr>
    </w:p>
    <w:p w14:paraId="0E1CA5C2" w14:textId="1E7D2654" w:rsidR="00720E48" w:rsidRDefault="00720E48">
      <w:pPr>
        <w:rPr>
          <w:b/>
          <w:color w:val="2F5496"/>
          <w:lang w:val="en-US"/>
        </w:rPr>
      </w:pPr>
      <w:r>
        <w:rPr>
          <w:b/>
          <w:color w:val="2F5496"/>
          <w:lang w:val="en-US"/>
        </w:rPr>
        <w:br w:type="page"/>
      </w:r>
    </w:p>
    <w:p w14:paraId="42342494" w14:textId="77777777" w:rsidR="008E447F" w:rsidRPr="00D90010" w:rsidRDefault="008E447F" w:rsidP="008E447F">
      <w:pPr>
        <w:spacing w:line="240" w:lineRule="auto"/>
        <w:jc w:val="center"/>
        <w:rPr>
          <w:b/>
          <w:color w:val="2F5496"/>
          <w:lang w:val="en-US"/>
        </w:rPr>
      </w:pPr>
    </w:p>
    <w:p w14:paraId="7C0FB3A7" w14:textId="77777777" w:rsidR="008E447F" w:rsidRPr="00D90010" w:rsidRDefault="008E447F" w:rsidP="008E447F">
      <w:pPr>
        <w:spacing w:line="240" w:lineRule="auto"/>
        <w:jc w:val="center"/>
        <w:rPr>
          <w:b/>
          <w:color w:val="2F5496"/>
          <w:lang w:val="en-US"/>
        </w:rPr>
      </w:pPr>
    </w:p>
    <w:p w14:paraId="016C0602" w14:textId="77777777" w:rsidR="008E447F" w:rsidRDefault="008E447F" w:rsidP="008E447F">
      <w:pPr>
        <w:spacing w:line="240" w:lineRule="auto"/>
        <w:jc w:val="center"/>
        <w:rPr>
          <w:b/>
          <w:color w:val="2F5496"/>
          <w:lang w:val="en-US"/>
        </w:rPr>
      </w:pPr>
    </w:p>
    <w:p w14:paraId="282F236A" w14:textId="77777777" w:rsidR="008E447F" w:rsidRPr="00D90010" w:rsidRDefault="008E447F" w:rsidP="008E447F">
      <w:pPr>
        <w:spacing w:line="240" w:lineRule="auto"/>
        <w:jc w:val="center"/>
        <w:rPr>
          <w:b/>
          <w:color w:val="2F5496"/>
          <w:lang w:val="en-US"/>
        </w:rPr>
      </w:pPr>
    </w:p>
    <w:p w14:paraId="336E6530" w14:textId="77777777" w:rsidR="008E447F" w:rsidRPr="00D90010" w:rsidRDefault="008E447F" w:rsidP="008E447F">
      <w:pPr>
        <w:spacing w:line="240" w:lineRule="auto"/>
        <w:jc w:val="center"/>
        <w:rPr>
          <w:b/>
          <w:color w:val="2F5496"/>
          <w:lang w:val="en-US"/>
        </w:rPr>
      </w:pPr>
    </w:p>
    <w:p w14:paraId="2D2CB2F3" w14:textId="77777777" w:rsidR="008E447F" w:rsidRPr="00D90010" w:rsidRDefault="008E447F" w:rsidP="008E447F">
      <w:pPr>
        <w:spacing w:line="240" w:lineRule="auto"/>
        <w:jc w:val="center"/>
        <w:rPr>
          <w:b/>
          <w:color w:val="2F5496"/>
          <w:lang w:val="en-US"/>
        </w:rPr>
      </w:pPr>
    </w:p>
    <w:p w14:paraId="26D9E191" w14:textId="77777777" w:rsidR="008E447F" w:rsidRPr="00D90010" w:rsidRDefault="008E447F" w:rsidP="008E447F">
      <w:pPr>
        <w:spacing w:line="240" w:lineRule="auto"/>
        <w:jc w:val="center"/>
        <w:rPr>
          <w:b/>
          <w:color w:val="2F5496"/>
          <w:lang w:val="en-US"/>
        </w:rPr>
      </w:pPr>
    </w:p>
    <w:p w14:paraId="0FAF4C3C" w14:textId="77777777" w:rsidR="008E447F" w:rsidRPr="00D90010" w:rsidRDefault="008E447F" w:rsidP="008E447F">
      <w:pPr>
        <w:spacing w:line="240" w:lineRule="auto"/>
        <w:jc w:val="center"/>
        <w:rPr>
          <w:b/>
          <w:color w:val="2F5496"/>
          <w:lang w:val="en-US"/>
        </w:rPr>
      </w:pPr>
    </w:p>
    <w:p w14:paraId="530C5FBE" w14:textId="77777777" w:rsidR="008E447F" w:rsidRPr="00D90010" w:rsidRDefault="008E447F" w:rsidP="008E447F">
      <w:pPr>
        <w:spacing w:line="240" w:lineRule="auto"/>
        <w:jc w:val="center"/>
        <w:rPr>
          <w:b/>
          <w:color w:val="2F5496"/>
          <w:lang w:val="en-US"/>
        </w:rPr>
      </w:pPr>
    </w:p>
    <w:p w14:paraId="1CC1D83A" w14:textId="77777777" w:rsidR="008E447F" w:rsidRPr="00D90010" w:rsidRDefault="008E447F" w:rsidP="008E447F">
      <w:pPr>
        <w:spacing w:line="240" w:lineRule="auto"/>
        <w:jc w:val="center"/>
        <w:rPr>
          <w:b/>
          <w:color w:val="2F5496"/>
          <w:lang w:val="en-US"/>
        </w:rPr>
      </w:pPr>
      <w:r>
        <w:rPr>
          <w:b/>
          <w:noProof/>
          <w:color w:val="2F5496"/>
          <w:lang w:val="en-US" w:eastAsia="en-US"/>
        </w:rPr>
        <w:drawing>
          <wp:inline distT="0" distB="0" distL="0" distR="0" wp14:anchorId="2266A41C" wp14:editId="56B28509">
            <wp:extent cx="3848100" cy="48278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1"/>
                    <a:stretch>
                      <a:fillRect/>
                    </a:stretch>
                  </pic:blipFill>
                  <pic:spPr>
                    <a:xfrm>
                      <a:off x="0" y="0"/>
                      <a:ext cx="3849389" cy="4829492"/>
                    </a:xfrm>
                    <a:prstGeom prst="rect">
                      <a:avLst/>
                    </a:prstGeom>
                  </pic:spPr>
                </pic:pic>
              </a:graphicData>
            </a:graphic>
          </wp:inline>
        </w:drawing>
      </w:r>
    </w:p>
    <w:p w14:paraId="5390DCEB" w14:textId="77777777" w:rsidR="008E447F" w:rsidRPr="00D90010" w:rsidRDefault="008E447F" w:rsidP="008E447F">
      <w:pPr>
        <w:spacing w:line="240" w:lineRule="auto"/>
        <w:jc w:val="center"/>
        <w:rPr>
          <w:b/>
          <w:color w:val="2F5496"/>
          <w:lang w:val="en-US"/>
        </w:rPr>
      </w:pPr>
    </w:p>
    <w:p w14:paraId="777817E2" w14:textId="77777777" w:rsidR="008E447F" w:rsidRPr="00D90010" w:rsidRDefault="008E447F" w:rsidP="008E447F">
      <w:pPr>
        <w:spacing w:line="240" w:lineRule="auto"/>
        <w:jc w:val="center"/>
        <w:rPr>
          <w:b/>
          <w:color w:val="2F5496"/>
          <w:lang w:val="en-US"/>
        </w:rPr>
      </w:pPr>
    </w:p>
    <w:p w14:paraId="55392440" w14:textId="77777777" w:rsidR="008E447F" w:rsidRPr="00D90010" w:rsidRDefault="008E447F" w:rsidP="008E447F">
      <w:pPr>
        <w:spacing w:line="240" w:lineRule="auto"/>
        <w:jc w:val="center"/>
        <w:rPr>
          <w:b/>
          <w:color w:val="2F5496"/>
          <w:lang w:val="en-US"/>
        </w:rPr>
      </w:pPr>
    </w:p>
    <w:p w14:paraId="0C307B80" w14:textId="77777777" w:rsidR="008E447F" w:rsidRPr="00D90010" w:rsidRDefault="008E447F" w:rsidP="008E447F">
      <w:pPr>
        <w:spacing w:line="240" w:lineRule="auto"/>
        <w:jc w:val="center"/>
        <w:rPr>
          <w:b/>
          <w:color w:val="2F5496"/>
          <w:lang w:val="en-US"/>
        </w:rPr>
      </w:pPr>
    </w:p>
    <w:p w14:paraId="3AFEA595" w14:textId="2F3587A1" w:rsidR="008E447F" w:rsidRPr="0074560A" w:rsidRDefault="008E447F" w:rsidP="008E447F">
      <w:pPr>
        <w:spacing w:line="240" w:lineRule="auto"/>
        <w:jc w:val="both"/>
        <w:rPr>
          <w:b/>
          <w:bCs/>
          <w:color w:val="1F497D" w:themeColor="text2"/>
          <w:lang w:val="en-US"/>
        </w:rPr>
      </w:pPr>
      <w:r w:rsidRPr="0074560A">
        <w:rPr>
          <w:b/>
          <w:bCs/>
          <w:color w:val="1F497D" w:themeColor="text2"/>
          <w:lang w:val="en-US"/>
        </w:rPr>
        <w:t>Supplementary Fig. </w:t>
      </w:r>
      <w:r w:rsidR="002E70C1">
        <w:rPr>
          <w:b/>
          <w:bCs/>
          <w:color w:val="1F497D" w:themeColor="text2"/>
          <w:lang w:val="en-US"/>
        </w:rPr>
        <w:t>4</w:t>
      </w:r>
      <w:r w:rsidR="008E4AF1" w:rsidRPr="0074560A">
        <w:rPr>
          <w:b/>
          <w:bCs/>
          <w:color w:val="1F497D" w:themeColor="text2"/>
          <w:lang w:val="en-US"/>
        </w:rPr>
        <w:t xml:space="preserve"> </w:t>
      </w:r>
      <w:r w:rsidRPr="0074560A">
        <w:rPr>
          <w:b/>
          <w:bCs/>
          <w:color w:val="1F497D" w:themeColor="text2"/>
          <w:lang w:val="en-US"/>
        </w:rPr>
        <w:t>Fine mapping yields increased enrichment for positive control genes.</w:t>
      </w:r>
    </w:p>
    <w:p w14:paraId="562314ED" w14:textId="77777777" w:rsidR="008E447F" w:rsidRPr="00D90010" w:rsidRDefault="008E447F" w:rsidP="008E447F">
      <w:pPr>
        <w:spacing w:line="240" w:lineRule="auto"/>
        <w:jc w:val="both"/>
        <w:rPr>
          <w:lang w:val="en-US"/>
        </w:rPr>
      </w:pPr>
      <w:r w:rsidRPr="00D90010">
        <w:rPr>
          <w:lang w:val="en-US"/>
        </w:rPr>
        <w:t>Comparison of fold enrichment for positive control genes within ±25 kbp of (</w:t>
      </w:r>
      <w:r w:rsidRPr="00D90010">
        <w:rPr>
          <w:b/>
          <w:lang w:val="en-US"/>
        </w:rPr>
        <w:t>a</w:t>
      </w:r>
      <w:r w:rsidRPr="00D90010">
        <w:rPr>
          <w:bCs/>
          <w:lang w:val="en-US"/>
        </w:rPr>
        <w:t>)</w:t>
      </w:r>
      <w:r w:rsidRPr="00D90010">
        <w:rPr>
          <w:lang w:val="en-US"/>
        </w:rPr>
        <w:t>, significant (P &lt; 5 × 10</w:t>
      </w:r>
      <w:r w:rsidRPr="00D90010">
        <w:rPr>
          <w:vertAlign w:val="superscript"/>
          <w:lang w:val="en-US"/>
        </w:rPr>
        <w:t>-8</w:t>
      </w:r>
      <w:r w:rsidRPr="00D90010">
        <w:rPr>
          <w:lang w:val="en-US"/>
        </w:rPr>
        <w:t>) or (</w:t>
      </w:r>
      <w:r w:rsidRPr="00D90010">
        <w:rPr>
          <w:b/>
          <w:lang w:val="en-US"/>
        </w:rPr>
        <w:t>b</w:t>
      </w:r>
      <w:r w:rsidRPr="00D90010">
        <w:rPr>
          <w:bCs/>
          <w:lang w:val="en-US"/>
        </w:rPr>
        <w:t>)</w:t>
      </w:r>
      <w:r w:rsidRPr="00D90010">
        <w:rPr>
          <w:lang w:val="en-US"/>
        </w:rPr>
        <w:t>, log</w:t>
      </w:r>
      <w:r w:rsidRPr="00D90010">
        <w:rPr>
          <w:vertAlign w:val="subscript"/>
          <w:lang w:val="en-US"/>
        </w:rPr>
        <w:t>10</w:t>
      </w:r>
      <w:r w:rsidRPr="00D90010">
        <w:rPr>
          <w:lang w:val="en-US"/>
        </w:rPr>
        <w:t>(BF) &gt; 2 SNVs. Fold enrichment was calculated as the proportion of positive control genes targeted to the proportion of all genes targeted.</w:t>
      </w:r>
      <w:r w:rsidRPr="00D90010">
        <w:rPr>
          <w:lang w:val="en-US"/>
        </w:rPr>
        <w:br w:type="page"/>
      </w:r>
    </w:p>
    <w:p w14:paraId="1AE6B319" w14:textId="77777777" w:rsidR="008E447F" w:rsidRDefault="008E447F" w:rsidP="008E447F">
      <w:pPr>
        <w:jc w:val="center"/>
        <w:rPr>
          <w:b/>
          <w:color w:val="2F5496"/>
          <w:lang w:val="en-US"/>
        </w:rPr>
      </w:pPr>
    </w:p>
    <w:p w14:paraId="1F71883F" w14:textId="77777777" w:rsidR="008E447F" w:rsidRDefault="008E447F" w:rsidP="008E447F">
      <w:pPr>
        <w:jc w:val="center"/>
        <w:rPr>
          <w:b/>
          <w:color w:val="2F5496"/>
          <w:lang w:val="en-US"/>
        </w:rPr>
      </w:pPr>
    </w:p>
    <w:p w14:paraId="61849B45" w14:textId="77777777" w:rsidR="008E447F" w:rsidRPr="00D90010" w:rsidRDefault="008E447F" w:rsidP="008E447F">
      <w:pPr>
        <w:jc w:val="center"/>
        <w:rPr>
          <w:b/>
          <w:color w:val="2F5496"/>
          <w:lang w:val="en-US"/>
        </w:rPr>
      </w:pPr>
    </w:p>
    <w:p w14:paraId="3745A3B9" w14:textId="77777777" w:rsidR="008E447F" w:rsidRPr="00D90010" w:rsidRDefault="008E447F" w:rsidP="008E447F">
      <w:pPr>
        <w:spacing w:line="240" w:lineRule="auto"/>
        <w:jc w:val="center"/>
        <w:rPr>
          <w:b/>
          <w:color w:val="2F5496"/>
          <w:lang w:val="en-US"/>
        </w:rPr>
      </w:pPr>
    </w:p>
    <w:p w14:paraId="05A6BB24" w14:textId="77777777" w:rsidR="008E447F" w:rsidRPr="00D90010" w:rsidRDefault="008E447F" w:rsidP="008E447F">
      <w:pPr>
        <w:spacing w:line="240" w:lineRule="auto"/>
        <w:jc w:val="center"/>
        <w:rPr>
          <w:b/>
          <w:color w:val="2F5496"/>
          <w:lang w:val="en-US"/>
        </w:rPr>
      </w:pPr>
      <w:r w:rsidRPr="00D90010">
        <w:rPr>
          <w:b/>
          <w:noProof/>
          <w:color w:val="2F5496"/>
          <w:lang w:val="en-US" w:eastAsia="en-US"/>
        </w:rPr>
        <w:drawing>
          <wp:inline distT="0" distB="0" distL="0" distR="0" wp14:anchorId="19A69352" wp14:editId="266E7D98">
            <wp:extent cx="5389020" cy="6143625"/>
            <wp:effectExtent l="0" t="0" r="0" b="0"/>
            <wp:docPr id="5" name="Picture 5" descr="Bibione:Users:matt:Dropbox (NYU Langone Health):Maurano Lab - Manuscripts:FINEMAP Manuscript:png:Fig. S4 - expression enrich-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bione:Users:matt:Dropbox (NYU Langone Health):Maurano Lab - Manuscripts:FINEMAP Manuscript:png:Fig. S4 - expression enrich-01.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93662" cy="6148917"/>
                    </a:xfrm>
                    <a:prstGeom prst="rect">
                      <a:avLst/>
                    </a:prstGeom>
                    <a:noFill/>
                    <a:ln>
                      <a:noFill/>
                    </a:ln>
                  </pic:spPr>
                </pic:pic>
              </a:graphicData>
            </a:graphic>
          </wp:inline>
        </w:drawing>
      </w:r>
    </w:p>
    <w:p w14:paraId="6865F9C4" w14:textId="77777777" w:rsidR="008E447F" w:rsidRPr="00D90010" w:rsidRDefault="008E447F" w:rsidP="008E447F">
      <w:pPr>
        <w:spacing w:line="240" w:lineRule="auto"/>
        <w:jc w:val="center"/>
        <w:rPr>
          <w:b/>
          <w:color w:val="2F5496"/>
          <w:lang w:val="en-US"/>
        </w:rPr>
      </w:pPr>
    </w:p>
    <w:p w14:paraId="2B2BBC0E" w14:textId="77777777" w:rsidR="008E447F" w:rsidRPr="00D90010" w:rsidRDefault="008E447F" w:rsidP="008E447F">
      <w:pPr>
        <w:spacing w:line="240" w:lineRule="auto"/>
        <w:jc w:val="center"/>
        <w:rPr>
          <w:b/>
          <w:color w:val="2F5496"/>
          <w:lang w:val="en-US"/>
        </w:rPr>
      </w:pPr>
    </w:p>
    <w:p w14:paraId="47DA357C" w14:textId="77777777" w:rsidR="008E447F" w:rsidRPr="00D90010" w:rsidRDefault="008E447F" w:rsidP="008E447F">
      <w:pPr>
        <w:spacing w:line="240" w:lineRule="auto"/>
        <w:jc w:val="center"/>
        <w:rPr>
          <w:b/>
          <w:color w:val="2F5496"/>
          <w:lang w:val="en-US"/>
        </w:rPr>
      </w:pPr>
    </w:p>
    <w:p w14:paraId="1942AC11" w14:textId="33A0E4D0" w:rsidR="008E447F" w:rsidRPr="00D90010" w:rsidRDefault="008E447F" w:rsidP="008E447F">
      <w:pPr>
        <w:spacing w:line="240" w:lineRule="auto"/>
        <w:jc w:val="both"/>
        <w:rPr>
          <w:b/>
          <w:color w:val="2F5496"/>
          <w:lang w:val="en-US"/>
        </w:rPr>
      </w:pPr>
      <w:r>
        <w:rPr>
          <w:b/>
          <w:color w:val="2F5496"/>
          <w:lang w:val="en-US"/>
        </w:rPr>
        <w:t>Supplementary Fig. </w:t>
      </w:r>
      <w:r w:rsidR="002E70C1">
        <w:rPr>
          <w:b/>
          <w:color w:val="2F5496"/>
          <w:lang w:val="en-US"/>
        </w:rPr>
        <w:t>5</w:t>
      </w:r>
      <w:r w:rsidRPr="00D90010">
        <w:rPr>
          <w:b/>
          <w:color w:val="2F5496"/>
          <w:lang w:val="en-US"/>
        </w:rPr>
        <w:t>. Tissue-selective expression positive control gene sets.</w:t>
      </w:r>
    </w:p>
    <w:p w14:paraId="2DCFCFBC" w14:textId="77777777" w:rsidR="008E447F" w:rsidRPr="00D90010" w:rsidRDefault="008E447F" w:rsidP="008E447F">
      <w:pPr>
        <w:spacing w:line="240" w:lineRule="auto"/>
        <w:jc w:val="both"/>
        <w:rPr>
          <w:lang w:val="en-US"/>
        </w:rPr>
      </w:pPr>
      <w:r w:rsidRPr="00D90010">
        <w:rPr>
          <w:bCs/>
          <w:lang w:val="en-US"/>
        </w:rPr>
        <w:t>(</w:t>
      </w:r>
      <w:r w:rsidRPr="00D90010">
        <w:rPr>
          <w:b/>
          <w:lang w:val="en-US"/>
        </w:rPr>
        <w:t>a</w:t>
      </w:r>
      <w:r w:rsidRPr="00D90010">
        <w:rPr>
          <w:bCs/>
          <w:lang w:val="en-US"/>
        </w:rPr>
        <w:t>)</w:t>
      </w:r>
      <w:r w:rsidRPr="00D90010">
        <w:rPr>
          <w:lang w:val="en-US"/>
        </w:rPr>
        <w:t xml:space="preserve"> Expression of genes by RNA-seq in relevant tissue-selective sets (x-axis) for 32 tissues from GTEx (y-axis). Color indicates TPM level normalized by z-score across tissues.</w:t>
      </w:r>
    </w:p>
    <w:p w14:paraId="186124AF" w14:textId="77777777" w:rsidR="008E447F" w:rsidRPr="00D90010" w:rsidRDefault="008E447F" w:rsidP="008E447F">
      <w:pPr>
        <w:spacing w:line="240" w:lineRule="auto"/>
        <w:jc w:val="both"/>
        <w:rPr>
          <w:lang w:val="en-US"/>
        </w:rPr>
      </w:pPr>
      <w:r w:rsidRPr="00D90010">
        <w:rPr>
          <w:bCs/>
          <w:lang w:val="en-US"/>
        </w:rPr>
        <w:t>(</w:t>
      </w:r>
      <w:r w:rsidRPr="00D90010">
        <w:rPr>
          <w:b/>
          <w:lang w:val="en-US"/>
        </w:rPr>
        <w:t>b</w:t>
      </w:r>
      <w:r w:rsidRPr="00D90010">
        <w:rPr>
          <w:bCs/>
          <w:lang w:val="en-US"/>
        </w:rPr>
        <w:t>)</w:t>
      </w:r>
      <w:r w:rsidRPr="00D90010">
        <w:rPr>
          <w:lang w:val="en-US"/>
        </w:rPr>
        <w:t xml:space="preserve"> Enrichment for tissue-selective gene sets within 25 Kbp of log</w:t>
      </w:r>
      <w:r w:rsidRPr="00D90010">
        <w:rPr>
          <w:vertAlign w:val="subscript"/>
          <w:lang w:val="en-US"/>
        </w:rPr>
        <w:t>10</w:t>
      </w:r>
      <w:r>
        <w:rPr>
          <w:lang w:val="en-US"/>
        </w:rPr>
        <w:t>(BF) &gt; 2 SNVs for 5 traits.</w:t>
      </w:r>
    </w:p>
    <w:p w14:paraId="61C908B1" w14:textId="77777777" w:rsidR="008E447F" w:rsidRPr="00D90010" w:rsidRDefault="008E447F" w:rsidP="008E447F">
      <w:pPr>
        <w:jc w:val="both"/>
        <w:rPr>
          <w:bCs/>
          <w:lang w:val="en-US"/>
        </w:rPr>
      </w:pPr>
      <w:r w:rsidRPr="00D90010">
        <w:rPr>
          <w:bCs/>
          <w:lang w:val="en-US"/>
        </w:rPr>
        <w:br w:type="page"/>
      </w:r>
    </w:p>
    <w:p w14:paraId="785F5433" w14:textId="77777777" w:rsidR="008E447F" w:rsidRPr="00D90010" w:rsidRDefault="008E447F" w:rsidP="008E447F">
      <w:pPr>
        <w:spacing w:line="240" w:lineRule="auto"/>
        <w:jc w:val="center"/>
        <w:rPr>
          <w:lang w:val="en-US"/>
        </w:rPr>
      </w:pPr>
      <w:r>
        <w:rPr>
          <w:noProof/>
          <w:lang w:val="en-US" w:eastAsia="en-US"/>
        </w:rPr>
        <w:lastRenderedPageBreak/>
        <w:drawing>
          <wp:inline distT="0" distB="0" distL="0" distR="0" wp14:anchorId="77D4EAA9" wp14:editId="3E3B494F">
            <wp:extent cx="4953000" cy="56134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3"/>
                    <a:stretch>
                      <a:fillRect/>
                    </a:stretch>
                  </pic:blipFill>
                  <pic:spPr>
                    <a:xfrm>
                      <a:off x="0" y="0"/>
                      <a:ext cx="4957848" cy="5618894"/>
                    </a:xfrm>
                    <a:prstGeom prst="rect">
                      <a:avLst/>
                    </a:prstGeom>
                  </pic:spPr>
                </pic:pic>
              </a:graphicData>
            </a:graphic>
          </wp:inline>
        </w:drawing>
      </w:r>
    </w:p>
    <w:p w14:paraId="7C2E29ED" w14:textId="77777777" w:rsidR="008E447F" w:rsidRPr="00D90010" w:rsidRDefault="008E447F" w:rsidP="008E447F">
      <w:pPr>
        <w:spacing w:line="240" w:lineRule="auto"/>
        <w:jc w:val="center"/>
        <w:rPr>
          <w:lang w:val="en-US"/>
        </w:rPr>
      </w:pPr>
    </w:p>
    <w:p w14:paraId="120B5D9D" w14:textId="3E76BCD1" w:rsidR="008E447F" w:rsidRDefault="008E447F" w:rsidP="008E447F">
      <w:pPr>
        <w:spacing w:line="240" w:lineRule="auto"/>
        <w:jc w:val="both"/>
        <w:rPr>
          <w:lang w:val="en-US"/>
        </w:rPr>
      </w:pPr>
      <w:r w:rsidRPr="00D90010">
        <w:rPr>
          <w:b/>
          <w:color w:val="2F5496"/>
          <w:lang w:val="en-US"/>
        </w:rPr>
        <w:t>Supplementary Fig. </w:t>
      </w:r>
      <w:r w:rsidR="002E70C1">
        <w:rPr>
          <w:b/>
          <w:color w:val="2F5496"/>
          <w:lang w:val="en-US"/>
        </w:rPr>
        <w:t>6</w:t>
      </w:r>
      <w:r w:rsidR="008E4AF1" w:rsidRPr="0074560A">
        <w:rPr>
          <w:b/>
          <w:bCs/>
          <w:color w:val="1F497D" w:themeColor="text2"/>
          <w:lang w:val="en-US"/>
        </w:rPr>
        <w:t xml:space="preserve"> </w:t>
      </w:r>
      <w:r w:rsidRPr="0074560A">
        <w:rPr>
          <w:b/>
          <w:bCs/>
          <w:color w:val="1F497D" w:themeColor="text2"/>
          <w:lang w:val="en-US"/>
        </w:rPr>
        <w:t>Enrichment of SNV sets meeting increasing log</w:t>
      </w:r>
      <w:r w:rsidRPr="0074560A">
        <w:rPr>
          <w:b/>
          <w:bCs/>
          <w:color w:val="1F497D" w:themeColor="text2"/>
          <w:vertAlign w:val="subscript"/>
          <w:lang w:val="en-US"/>
        </w:rPr>
        <w:t>10</w:t>
      </w:r>
      <w:r w:rsidRPr="0074560A">
        <w:rPr>
          <w:b/>
          <w:bCs/>
          <w:color w:val="1F497D" w:themeColor="text2"/>
          <w:lang w:val="en-US"/>
        </w:rPr>
        <w:t>(BF) cutoffs for DHSs</w:t>
      </w:r>
      <w:r w:rsidRPr="00D90010">
        <w:rPr>
          <w:lang w:val="en-US"/>
        </w:rPr>
        <w:t>.</w:t>
      </w:r>
    </w:p>
    <w:p w14:paraId="591314E5" w14:textId="77777777" w:rsidR="008E447F" w:rsidRPr="00D90010" w:rsidRDefault="008E447F" w:rsidP="008E447F">
      <w:pPr>
        <w:spacing w:line="240" w:lineRule="auto"/>
        <w:jc w:val="both"/>
        <w:rPr>
          <w:bCs/>
          <w:lang w:val="en-US"/>
        </w:rPr>
      </w:pPr>
      <w:r w:rsidRPr="00D90010">
        <w:rPr>
          <w:lang w:val="en-US"/>
        </w:rPr>
        <w:t>Labeled enrichments correspond to cell and tissue types selected for that trait. Enrichments were calculated as the ratio between the proportion of SNVs above threshold within DHSs and the proportion of all SNVs within DHSs.</w:t>
      </w:r>
    </w:p>
    <w:p w14:paraId="4C156C42" w14:textId="77777777" w:rsidR="008E447F" w:rsidRDefault="008E447F" w:rsidP="008E447F">
      <w:pPr>
        <w:rPr>
          <w:bCs/>
          <w:lang w:val="en-US"/>
        </w:rPr>
      </w:pPr>
      <w:r>
        <w:rPr>
          <w:bCs/>
          <w:lang w:val="en-US"/>
        </w:rPr>
        <w:br w:type="page"/>
      </w:r>
    </w:p>
    <w:p w14:paraId="6CE6FC5C" w14:textId="77777777" w:rsidR="008E447F" w:rsidRDefault="008E447F" w:rsidP="008E447F">
      <w:pPr>
        <w:spacing w:line="240" w:lineRule="auto"/>
        <w:jc w:val="center"/>
        <w:rPr>
          <w:bCs/>
          <w:lang w:val="en-US"/>
        </w:rPr>
      </w:pPr>
    </w:p>
    <w:p w14:paraId="746C5433" w14:textId="77777777" w:rsidR="008E447F" w:rsidRDefault="008E447F" w:rsidP="008E447F">
      <w:pPr>
        <w:spacing w:line="240" w:lineRule="auto"/>
        <w:jc w:val="center"/>
        <w:rPr>
          <w:bCs/>
          <w:lang w:val="en-US"/>
        </w:rPr>
      </w:pPr>
    </w:p>
    <w:p w14:paraId="7AE70F40" w14:textId="77777777" w:rsidR="008E447F" w:rsidRDefault="008E447F" w:rsidP="008E447F">
      <w:pPr>
        <w:spacing w:line="240" w:lineRule="auto"/>
        <w:jc w:val="center"/>
        <w:rPr>
          <w:bCs/>
          <w:lang w:val="en-US"/>
        </w:rPr>
      </w:pPr>
    </w:p>
    <w:p w14:paraId="0D410BA8" w14:textId="77777777" w:rsidR="008E447F" w:rsidRDefault="008E447F" w:rsidP="008E447F">
      <w:pPr>
        <w:spacing w:line="240" w:lineRule="auto"/>
        <w:jc w:val="center"/>
        <w:rPr>
          <w:bCs/>
          <w:lang w:val="en-US"/>
        </w:rPr>
      </w:pPr>
    </w:p>
    <w:p w14:paraId="1368D3D2" w14:textId="77777777" w:rsidR="008E447F" w:rsidRDefault="008E447F" w:rsidP="008E447F">
      <w:pPr>
        <w:spacing w:line="240" w:lineRule="auto"/>
        <w:jc w:val="center"/>
        <w:rPr>
          <w:bCs/>
          <w:lang w:val="en-US"/>
        </w:rPr>
      </w:pPr>
    </w:p>
    <w:p w14:paraId="3792E413" w14:textId="77777777" w:rsidR="008E447F" w:rsidRDefault="008E447F" w:rsidP="008E447F">
      <w:pPr>
        <w:spacing w:line="240" w:lineRule="auto"/>
        <w:jc w:val="center"/>
        <w:rPr>
          <w:bCs/>
          <w:lang w:val="en-US"/>
        </w:rPr>
      </w:pPr>
    </w:p>
    <w:p w14:paraId="19447D01" w14:textId="77777777" w:rsidR="008E447F" w:rsidRDefault="008E447F" w:rsidP="008E447F">
      <w:pPr>
        <w:spacing w:line="240" w:lineRule="auto"/>
        <w:jc w:val="center"/>
        <w:rPr>
          <w:bCs/>
          <w:lang w:val="en-US"/>
        </w:rPr>
      </w:pPr>
    </w:p>
    <w:p w14:paraId="737C4981" w14:textId="77777777" w:rsidR="008E447F" w:rsidRPr="00D90010" w:rsidRDefault="008E447F" w:rsidP="008E447F">
      <w:pPr>
        <w:spacing w:line="240" w:lineRule="auto"/>
        <w:jc w:val="center"/>
        <w:rPr>
          <w:bCs/>
          <w:lang w:val="en-US"/>
        </w:rPr>
      </w:pPr>
      <w:r>
        <w:rPr>
          <w:bCs/>
          <w:noProof/>
          <w:lang w:val="en-US" w:eastAsia="en-US"/>
        </w:rPr>
        <w:drawing>
          <wp:inline distT="0" distB="0" distL="0" distR="0" wp14:anchorId="0378358B" wp14:editId="35AAC0CE">
            <wp:extent cx="6357938" cy="5086350"/>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4"/>
                    <a:stretch>
                      <a:fillRect/>
                    </a:stretch>
                  </pic:blipFill>
                  <pic:spPr>
                    <a:xfrm>
                      <a:off x="0" y="0"/>
                      <a:ext cx="6360128" cy="5088102"/>
                    </a:xfrm>
                    <a:prstGeom prst="rect">
                      <a:avLst/>
                    </a:prstGeom>
                  </pic:spPr>
                </pic:pic>
              </a:graphicData>
            </a:graphic>
          </wp:inline>
        </w:drawing>
      </w:r>
    </w:p>
    <w:p w14:paraId="021CD845" w14:textId="77777777" w:rsidR="008E447F" w:rsidRPr="00D90010" w:rsidRDefault="008E447F" w:rsidP="008E447F">
      <w:pPr>
        <w:spacing w:line="240" w:lineRule="auto"/>
        <w:jc w:val="center"/>
        <w:rPr>
          <w:bCs/>
          <w:lang w:val="en-US"/>
        </w:rPr>
      </w:pPr>
    </w:p>
    <w:p w14:paraId="27A19307" w14:textId="77777777" w:rsidR="008E447F" w:rsidRPr="00D90010" w:rsidRDefault="008E447F" w:rsidP="008E447F">
      <w:pPr>
        <w:spacing w:line="240" w:lineRule="auto"/>
        <w:jc w:val="center"/>
        <w:rPr>
          <w:bCs/>
          <w:lang w:val="en-US"/>
        </w:rPr>
      </w:pPr>
    </w:p>
    <w:p w14:paraId="7C9243B7" w14:textId="77777777" w:rsidR="008E447F" w:rsidRPr="00D90010" w:rsidRDefault="008E447F" w:rsidP="008E447F">
      <w:pPr>
        <w:spacing w:line="240" w:lineRule="auto"/>
        <w:jc w:val="center"/>
        <w:rPr>
          <w:bCs/>
          <w:lang w:val="en-US"/>
        </w:rPr>
      </w:pPr>
    </w:p>
    <w:p w14:paraId="123CC1F6" w14:textId="77777777" w:rsidR="008E447F" w:rsidRPr="00D90010" w:rsidRDefault="008E447F" w:rsidP="008E447F">
      <w:pPr>
        <w:spacing w:line="240" w:lineRule="auto"/>
        <w:jc w:val="center"/>
        <w:rPr>
          <w:bCs/>
          <w:lang w:val="en-US"/>
        </w:rPr>
      </w:pPr>
    </w:p>
    <w:p w14:paraId="3FE9C539" w14:textId="6C36776D" w:rsidR="008E447F" w:rsidRPr="00D90010" w:rsidRDefault="008E447F" w:rsidP="008E447F">
      <w:pPr>
        <w:spacing w:line="240" w:lineRule="auto"/>
        <w:jc w:val="both"/>
        <w:rPr>
          <w:b/>
          <w:color w:val="2F5496"/>
          <w:lang w:val="en-US"/>
        </w:rPr>
      </w:pPr>
      <w:r w:rsidRPr="00D90010">
        <w:rPr>
          <w:b/>
          <w:color w:val="2F5496"/>
          <w:lang w:val="en-US"/>
        </w:rPr>
        <w:t>Supplementary Fig. </w:t>
      </w:r>
      <w:r w:rsidR="002E70C1">
        <w:rPr>
          <w:b/>
          <w:color w:val="2F5496"/>
          <w:lang w:val="en-US"/>
        </w:rPr>
        <w:t>7</w:t>
      </w:r>
      <w:r w:rsidRPr="00D90010">
        <w:rPr>
          <w:b/>
          <w:color w:val="2F5496"/>
          <w:lang w:val="en-US"/>
        </w:rPr>
        <w:t>. Gene targeting enrichment (normalized).</w:t>
      </w:r>
    </w:p>
    <w:p w14:paraId="063FE0CB" w14:textId="77777777" w:rsidR="008E447F" w:rsidRPr="00D90010" w:rsidRDefault="008E447F" w:rsidP="008E447F">
      <w:pPr>
        <w:spacing w:line="240" w:lineRule="auto"/>
        <w:jc w:val="both"/>
        <w:rPr>
          <w:lang w:val="en-US"/>
        </w:rPr>
      </w:pPr>
      <w:r w:rsidRPr="00D90010">
        <w:rPr>
          <w:lang w:val="en-US"/>
        </w:rPr>
        <w:t xml:space="preserve">Gene targeting enrichment over distance (x-axis) for all traits. SNV sets, DHS sets, and enrichments are as in </w:t>
      </w:r>
      <w:r w:rsidRPr="00D90010">
        <w:rPr>
          <w:b/>
          <w:lang w:val="en-US"/>
        </w:rPr>
        <w:t>Fig. 2c</w:t>
      </w:r>
      <w:r w:rsidRPr="00D90010">
        <w:rPr>
          <w:lang w:val="en-US"/>
        </w:rPr>
        <w:t>, but normalized to the peak enrichment in “All SNVs, P-value &lt; 5 × 10</w:t>
      </w:r>
      <w:r w:rsidRPr="00D90010">
        <w:rPr>
          <w:vertAlign w:val="superscript"/>
          <w:lang w:val="en-US"/>
        </w:rPr>
        <w:t>-8</w:t>
      </w:r>
      <w:r w:rsidRPr="00D90010">
        <w:rPr>
          <w:lang w:val="en-US"/>
        </w:rPr>
        <w:t>.” The OMIM + Drug set for Bilirubin (D) has only 2 genes and is not shown.</w:t>
      </w:r>
    </w:p>
    <w:p w14:paraId="5B9F915A" w14:textId="77777777" w:rsidR="008E447F" w:rsidRPr="00D90010" w:rsidRDefault="008E447F" w:rsidP="008E447F">
      <w:pPr>
        <w:spacing w:line="240" w:lineRule="auto"/>
        <w:jc w:val="both"/>
        <w:rPr>
          <w:lang w:val="en-US"/>
        </w:rPr>
      </w:pPr>
    </w:p>
    <w:p w14:paraId="13982016" w14:textId="77777777" w:rsidR="008E447F" w:rsidRPr="00D90010" w:rsidRDefault="008E447F" w:rsidP="008E447F">
      <w:pPr>
        <w:jc w:val="both"/>
        <w:rPr>
          <w:b/>
          <w:color w:val="2F5496"/>
          <w:lang w:val="en-US"/>
        </w:rPr>
      </w:pPr>
      <w:r w:rsidRPr="00D90010">
        <w:rPr>
          <w:b/>
          <w:color w:val="2F5496"/>
          <w:lang w:val="en-US"/>
        </w:rPr>
        <w:br w:type="page"/>
      </w:r>
    </w:p>
    <w:p w14:paraId="5D813707" w14:textId="77777777" w:rsidR="008E447F" w:rsidRPr="00D90010" w:rsidRDefault="008E447F" w:rsidP="008E447F">
      <w:pPr>
        <w:spacing w:line="240" w:lineRule="auto"/>
        <w:jc w:val="center"/>
        <w:rPr>
          <w:b/>
          <w:color w:val="2F5496"/>
          <w:lang w:val="en-US"/>
        </w:rPr>
      </w:pPr>
    </w:p>
    <w:p w14:paraId="4129026D" w14:textId="77777777" w:rsidR="008E447F" w:rsidRPr="00D90010" w:rsidRDefault="008E447F" w:rsidP="008E447F">
      <w:pPr>
        <w:spacing w:line="240" w:lineRule="auto"/>
        <w:jc w:val="center"/>
        <w:rPr>
          <w:b/>
          <w:color w:val="2F5496"/>
          <w:lang w:val="en-US"/>
        </w:rPr>
      </w:pPr>
      <w:r>
        <w:rPr>
          <w:b/>
          <w:noProof/>
          <w:color w:val="2F5496"/>
          <w:lang w:val="en-US" w:eastAsia="en-US"/>
        </w:rPr>
        <w:drawing>
          <wp:inline distT="0" distB="0" distL="0" distR="0" wp14:anchorId="72B37839" wp14:editId="6A18174B">
            <wp:extent cx="6209898" cy="4654550"/>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5"/>
                    <a:stretch>
                      <a:fillRect/>
                    </a:stretch>
                  </pic:blipFill>
                  <pic:spPr>
                    <a:xfrm>
                      <a:off x="0" y="0"/>
                      <a:ext cx="6224456" cy="4665461"/>
                    </a:xfrm>
                    <a:prstGeom prst="rect">
                      <a:avLst/>
                    </a:prstGeom>
                  </pic:spPr>
                </pic:pic>
              </a:graphicData>
            </a:graphic>
          </wp:inline>
        </w:drawing>
      </w:r>
    </w:p>
    <w:p w14:paraId="36BD469A" w14:textId="77777777" w:rsidR="008E447F" w:rsidRPr="00D90010" w:rsidRDefault="008E447F" w:rsidP="008E447F">
      <w:pPr>
        <w:spacing w:line="240" w:lineRule="auto"/>
        <w:jc w:val="center"/>
        <w:rPr>
          <w:b/>
          <w:color w:val="2F5496"/>
          <w:lang w:val="en-US"/>
        </w:rPr>
      </w:pPr>
    </w:p>
    <w:p w14:paraId="164A5BF0" w14:textId="00907C80" w:rsidR="008E447F" w:rsidRPr="00D90010" w:rsidRDefault="008E447F" w:rsidP="008E447F">
      <w:pPr>
        <w:spacing w:line="240" w:lineRule="auto"/>
        <w:jc w:val="both"/>
        <w:rPr>
          <w:b/>
          <w:lang w:val="en-US"/>
        </w:rPr>
      </w:pPr>
      <w:r w:rsidRPr="00D90010">
        <w:rPr>
          <w:b/>
          <w:color w:val="2F5496"/>
          <w:lang w:val="en-US"/>
        </w:rPr>
        <w:t>Supplementary Fig. </w:t>
      </w:r>
      <w:r w:rsidR="002E70C1">
        <w:rPr>
          <w:b/>
          <w:color w:val="2F5496"/>
          <w:lang w:val="en-US"/>
        </w:rPr>
        <w:t>8</w:t>
      </w:r>
      <w:r w:rsidRPr="00D90010">
        <w:rPr>
          <w:b/>
          <w:color w:val="2F5496"/>
          <w:lang w:val="en-US"/>
        </w:rPr>
        <w:t>. Long-range gene targeting using pcHi-C and eQTL data.</w:t>
      </w:r>
    </w:p>
    <w:p w14:paraId="3DB5BF6F" w14:textId="77777777" w:rsidR="008E447F" w:rsidRDefault="008E447F" w:rsidP="008E447F">
      <w:pPr>
        <w:spacing w:line="240" w:lineRule="auto"/>
        <w:jc w:val="both"/>
        <w:rPr>
          <w:lang w:val="en-US"/>
        </w:rPr>
      </w:pPr>
      <w:r w:rsidRPr="00D90010">
        <w:rPr>
          <w:lang w:val="en-US"/>
        </w:rPr>
        <w:t>Enrichments by distance shown using GTEx eQTLs and pcHi-C (</w:t>
      </w:r>
      <w:r w:rsidRPr="0074560A">
        <w:rPr>
          <w:b/>
          <w:lang w:val="en-US"/>
        </w:rPr>
        <w:t>Table S5</w:t>
      </w:r>
      <w:r w:rsidRPr="00D90010">
        <w:rPr>
          <w:lang w:val="en-US"/>
        </w:rPr>
        <w:t xml:space="preserve">). SNV sets and enrichments are as in </w:t>
      </w:r>
      <w:r w:rsidRPr="00D90010">
        <w:rPr>
          <w:b/>
          <w:lang w:val="en-US"/>
        </w:rPr>
        <w:t>Fig. 2c</w:t>
      </w:r>
      <w:r w:rsidRPr="00D90010">
        <w:rPr>
          <w:lang w:val="en-US"/>
        </w:rPr>
        <w:t>.</w:t>
      </w:r>
      <w:r w:rsidRPr="00D90010">
        <w:rPr>
          <w:b/>
          <w:lang w:val="en-US"/>
        </w:rPr>
        <w:t xml:space="preserve"> </w:t>
      </w:r>
      <w:r w:rsidRPr="00D90010">
        <w:rPr>
          <w:lang w:val="en-US"/>
        </w:rPr>
        <w:t>OMIM + Drug and Expression gene sets were combined to serve as positive controls. Enrichments are shown for points where &gt;3 positive control genes are represented.</w:t>
      </w:r>
    </w:p>
    <w:p w14:paraId="007DD67A" w14:textId="77777777" w:rsidR="008E447F" w:rsidRDefault="008E447F" w:rsidP="008E447F">
      <w:pPr>
        <w:spacing w:line="240" w:lineRule="auto"/>
        <w:jc w:val="both"/>
        <w:rPr>
          <w:lang w:val="en-US"/>
        </w:rPr>
      </w:pPr>
    </w:p>
    <w:p w14:paraId="7699AEEE" w14:textId="77777777" w:rsidR="008E447F" w:rsidRDefault="008E447F" w:rsidP="008E447F">
      <w:pPr>
        <w:spacing w:line="240" w:lineRule="auto"/>
        <w:jc w:val="both"/>
        <w:rPr>
          <w:lang w:val="en-US"/>
        </w:rPr>
      </w:pPr>
    </w:p>
    <w:p w14:paraId="063AFD3D" w14:textId="77777777" w:rsidR="00644E0D" w:rsidRDefault="00644E0D" w:rsidP="00644E0D">
      <w:pPr>
        <w:spacing w:line="240" w:lineRule="auto"/>
        <w:jc w:val="center"/>
        <w:rPr>
          <w:b/>
          <w:color w:val="2F5496"/>
          <w:lang w:val="en-US"/>
        </w:rPr>
      </w:pPr>
      <w:r>
        <w:rPr>
          <w:b/>
          <w:noProof/>
          <w:color w:val="2F5496"/>
          <w:lang w:val="en-US" w:eastAsia="en-US"/>
        </w:rPr>
        <w:lastRenderedPageBreak/>
        <w:drawing>
          <wp:inline distT="0" distB="0" distL="0" distR="0" wp14:anchorId="65CFCB19" wp14:editId="6FAF6D20">
            <wp:extent cx="4975462" cy="6710901"/>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69632" cy="6837918"/>
                    </a:xfrm>
                    <a:prstGeom prst="rect">
                      <a:avLst/>
                    </a:prstGeom>
                    <a:noFill/>
                  </pic:spPr>
                </pic:pic>
              </a:graphicData>
            </a:graphic>
          </wp:inline>
        </w:drawing>
      </w:r>
    </w:p>
    <w:p w14:paraId="00D8CB8A" w14:textId="4204DD31" w:rsidR="008E447F" w:rsidRDefault="00644E0D" w:rsidP="00644E0D">
      <w:pPr>
        <w:spacing w:line="240" w:lineRule="auto"/>
        <w:jc w:val="both"/>
        <w:rPr>
          <w:lang w:val="en-US"/>
        </w:rPr>
      </w:pPr>
      <w:r w:rsidRPr="00FE508A">
        <w:rPr>
          <w:b/>
          <w:color w:val="2F5496"/>
          <w:sz w:val="20"/>
          <w:szCs w:val="20"/>
          <w:lang w:val="en-US"/>
        </w:rPr>
        <w:t>Supplementary Fig. </w:t>
      </w:r>
      <w:r w:rsidR="002E70C1">
        <w:rPr>
          <w:b/>
          <w:color w:val="2F5496"/>
          <w:sz w:val="20"/>
          <w:szCs w:val="20"/>
          <w:lang w:val="en-US"/>
        </w:rPr>
        <w:t>9</w:t>
      </w:r>
      <w:r w:rsidRPr="00FE508A">
        <w:rPr>
          <w:b/>
          <w:color w:val="2F5496"/>
          <w:sz w:val="20"/>
          <w:szCs w:val="20"/>
          <w:lang w:val="en-US"/>
        </w:rPr>
        <w:t xml:space="preserve">. Ei </w:t>
      </w:r>
      <w:r>
        <w:rPr>
          <w:b/>
          <w:color w:val="2F5496"/>
          <w:sz w:val="20"/>
          <w:szCs w:val="20"/>
          <w:lang w:val="en-US"/>
        </w:rPr>
        <w:t>data and process w</w:t>
      </w:r>
      <w:r w:rsidRPr="00FE508A">
        <w:rPr>
          <w:b/>
          <w:color w:val="2F5496"/>
          <w:sz w:val="20"/>
          <w:szCs w:val="20"/>
          <w:lang w:val="en-US"/>
        </w:rPr>
        <w:t>orkflow.</w:t>
      </w:r>
      <w:r w:rsidRPr="00FE508A">
        <w:rPr>
          <w:bCs/>
          <w:color w:val="000000" w:themeColor="text1"/>
          <w:sz w:val="20"/>
          <w:szCs w:val="20"/>
          <w:lang w:val="en-US"/>
        </w:rPr>
        <w:t xml:space="preserve"> Input includes GWAS summary statistics and am appropriate LD reference panel. First, GWAS summary statistics are LD</w:t>
      </w:r>
      <w:r>
        <w:rPr>
          <w:bCs/>
          <w:color w:val="000000" w:themeColor="text1"/>
          <w:sz w:val="20"/>
          <w:szCs w:val="20"/>
          <w:lang w:val="en-US"/>
        </w:rPr>
        <w:t>-</w:t>
      </w:r>
      <w:r w:rsidRPr="00FE508A">
        <w:rPr>
          <w:bCs/>
          <w:color w:val="000000" w:themeColor="text1"/>
          <w:sz w:val="20"/>
          <w:szCs w:val="20"/>
          <w:lang w:val="en-US"/>
        </w:rPr>
        <w:t xml:space="preserve">clumped to determine a set of GWAS loci </w:t>
      </w:r>
      <w:r>
        <w:rPr>
          <w:bCs/>
          <w:color w:val="000000" w:themeColor="text1"/>
          <w:sz w:val="20"/>
          <w:szCs w:val="20"/>
          <w:lang w:val="en-US"/>
        </w:rPr>
        <w:t>for</w:t>
      </w:r>
      <w:r w:rsidRPr="00FE508A">
        <w:rPr>
          <w:bCs/>
          <w:color w:val="000000" w:themeColor="text1"/>
          <w:sz w:val="20"/>
          <w:szCs w:val="20"/>
          <w:lang w:val="en-US"/>
        </w:rPr>
        <w:t xml:space="preserve"> statistical fine-mapping to determine a set of putatively causal SNVs at each locus. Genes overlapping the GWAS loci are paired to causal SNVs via their proximity to genes and further annotated as to whether the SNVs confer functional impact (using SNPEff, dbSNP for coding impact and DHS overlap for non-coding). Further information is added to the SNV-gene pairing such as gene length, GWAS summary statistics (eg. effectsize, MAF) and FINEMAP summary statistics (eg. log10(Bayes Factor)). The output consists of an annotation matrix where each row is an SNV-gene pairing and columns contain information regarding the SNV or gene, including SNV-gene distance (see </w:t>
      </w:r>
      <w:r w:rsidRPr="00FE508A">
        <w:rPr>
          <w:b/>
          <w:color w:val="365F91" w:themeColor="accent1" w:themeShade="BF"/>
          <w:sz w:val="20"/>
          <w:szCs w:val="20"/>
          <w:lang w:val="en-US"/>
        </w:rPr>
        <w:t>Supplemental Table 6</w:t>
      </w:r>
      <w:r w:rsidRPr="00FE508A">
        <w:rPr>
          <w:bCs/>
          <w:color w:val="000000" w:themeColor="text1"/>
          <w:sz w:val="20"/>
          <w:szCs w:val="20"/>
          <w:lang w:val="en-US"/>
        </w:rPr>
        <w:t xml:space="preserve">). The annotation matrix (see </w:t>
      </w:r>
      <w:r w:rsidRPr="00FE508A">
        <w:rPr>
          <w:b/>
          <w:color w:val="365F91" w:themeColor="accent1" w:themeShade="BF"/>
          <w:sz w:val="20"/>
          <w:szCs w:val="20"/>
          <w:lang w:val="en-US"/>
        </w:rPr>
        <w:t>Supplementary Table 6</w:t>
      </w:r>
      <w:r w:rsidRPr="00FE508A">
        <w:rPr>
          <w:bCs/>
          <w:color w:val="000000" w:themeColor="text1"/>
          <w:sz w:val="20"/>
          <w:szCs w:val="20"/>
          <w:lang w:val="en-US"/>
        </w:rPr>
        <w:t xml:space="preserve">) may contain multiple SNVs paired to a given gene and thus multiple annotation values (such as coding impact, GWAS effect size, etc) may be associated to each gene. To resolve this into a set of features, each annotation is summarized over all SNVs paired to a gene using basic operations (sum, min, mean, max) as well as scaling of these values based on their distance to the gene. A listing of features is provided in </w:t>
      </w:r>
      <w:r w:rsidRPr="00FE508A">
        <w:rPr>
          <w:b/>
          <w:color w:val="365F91" w:themeColor="accent1" w:themeShade="BF"/>
          <w:sz w:val="20"/>
          <w:szCs w:val="20"/>
          <w:lang w:val="en-US"/>
        </w:rPr>
        <w:t>Supplementary Table 7</w:t>
      </w:r>
      <w:r w:rsidRPr="00FE508A">
        <w:rPr>
          <w:bCs/>
          <w:color w:val="000000" w:themeColor="text1"/>
          <w:sz w:val="20"/>
          <w:szCs w:val="20"/>
          <w:lang w:val="en-US"/>
        </w:rPr>
        <w:t>. Model training was conducted using a leave-one-out approach, whereby each trait-specific model was trained using data from the remaining traits.</w:t>
      </w:r>
    </w:p>
    <w:p w14:paraId="43AA49FA" w14:textId="76E4D79B" w:rsidR="00720E48" w:rsidRDefault="00720E48" w:rsidP="008E447F">
      <w:pPr>
        <w:spacing w:line="240" w:lineRule="auto"/>
        <w:jc w:val="both"/>
        <w:rPr>
          <w:lang w:val="en-US"/>
        </w:rPr>
      </w:pPr>
    </w:p>
    <w:p w14:paraId="443042B4" w14:textId="0A7BD4BA" w:rsidR="00720E48" w:rsidRDefault="00720E48" w:rsidP="008E447F">
      <w:pPr>
        <w:spacing w:line="240" w:lineRule="auto"/>
        <w:jc w:val="both"/>
        <w:rPr>
          <w:lang w:val="en-US"/>
        </w:rPr>
      </w:pPr>
    </w:p>
    <w:p w14:paraId="4B9C952C" w14:textId="51139C43" w:rsidR="00720E48" w:rsidRDefault="00720E48" w:rsidP="008E447F">
      <w:pPr>
        <w:spacing w:line="240" w:lineRule="auto"/>
        <w:jc w:val="both"/>
        <w:rPr>
          <w:lang w:val="en-US"/>
        </w:rPr>
      </w:pPr>
    </w:p>
    <w:p w14:paraId="785EAA07" w14:textId="62ADB9C3" w:rsidR="00720E48" w:rsidRDefault="00720E48" w:rsidP="008E447F">
      <w:pPr>
        <w:spacing w:line="240" w:lineRule="auto"/>
        <w:jc w:val="both"/>
        <w:rPr>
          <w:lang w:val="en-US"/>
        </w:rPr>
      </w:pPr>
    </w:p>
    <w:p w14:paraId="3DBC6B58" w14:textId="006EF254" w:rsidR="00720E48" w:rsidRDefault="00720E48" w:rsidP="008E447F">
      <w:pPr>
        <w:spacing w:line="240" w:lineRule="auto"/>
        <w:jc w:val="both"/>
        <w:rPr>
          <w:lang w:val="en-US"/>
        </w:rPr>
      </w:pPr>
    </w:p>
    <w:p w14:paraId="3B532E73" w14:textId="0129B285" w:rsidR="00720E48" w:rsidRDefault="00720E48" w:rsidP="008E447F">
      <w:pPr>
        <w:spacing w:line="240" w:lineRule="auto"/>
        <w:jc w:val="both"/>
        <w:rPr>
          <w:lang w:val="en-US"/>
        </w:rPr>
      </w:pPr>
    </w:p>
    <w:p w14:paraId="37B254DC" w14:textId="4F6E4CC5" w:rsidR="00720E48" w:rsidRDefault="00720E48" w:rsidP="008E447F">
      <w:pPr>
        <w:spacing w:line="240" w:lineRule="auto"/>
        <w:jc w:val="both"/>
        <w:rPr>
          <w:lang w:val="en-US"/>
        </w:rPr>
      </w:pPr>
    </w:p>
    <w:p w14:paraId="5584067E" w14:textId="44FA0350" w:rsidR="00720E48" w:rsidRDefault="00720E48" w:rsidP="008E447F">
      <w:pPr>
        <w:spacing w:line="240" w:lineRule="auto"/>
        <w:jc w:val="both"/>
        <w:rPr>
          <w:lang w:val="en-US"/>
        </w:rPr>
      </w:pPr>
    </w:p>
    <w:p w14:paraId="465DF159" w14:textId="77777777" w:rsidR="00720E48" w:rsidRDefault="00720E48" w:rsidP="008E447F">
      <w:pPr>
        <w:spacing w:line="240" w:lineRule="auto"/>
        <w:jc w:val="both"/>
        <w:rPr>
          <w:lang w:val="en-US"/>
        </w:rPr>
      </w:pPr>
    </w:p>
    <w:p w14:paraId="18051B84" w14:textId="77777777" w:rsidR="008E447F" w:rsidRDefault="008E447F" w:rsidP="008E447F">
      <w:pPr>
        <w:spacing w:line="240" w:lineRule="auto"/>
        <w:jc w:val="both"/>
        <w:rPr>
          <w:lang w:val="en-US"/>
        </w:rPr>
      </w:pPr>
    </w:p>
    <w:p w14:paraId="43321911" w14:textId="55571913" w:rsidR="008E447F" w:rsidRPr="007C775C" w:rsidRDefault="008825FD" w:rsidP="00102DC7">
      <w:pPr>
        <w:rPr>
          <w:b/>
          <w:color w:val="2F5496"/>
          <w:lang w:val="fr-CA"/>
        </w:rPr>
      </w:pPr>
      <w:r w:rsidRPr="007C775C">
        <w:rPr>
          <w:b/>
          <w:color w:val="2F5496"/>
          <w:lang w:val="fr-CA"/>
        </w:rPr>
        <w:t>References</w:t>
      </w:r>
    </w:p>
    <w:p w14:paraId="17290A5F" w14:textId="7FF165A9" w:rsidR="00092B7B" w:rsidRPr="00092B7B" w:rsidRDefault="00092B7B" w:rsidP="00092B7B">
      <w:pPr>
        <w:widowControl w:val="0"/>
        <w:autoSpaceDE w:val="0"/>
        <w:autoSpaceDN w:val="0"/>
        <w:adjustRightInd w:val="0"/>
        <w:spacing w:line="240" w:lineRule="auto"/>
        <w:ind w:left="640" w:hanging="640"/>
        <w:rPr>
          <w:noProof/>
          <w:szCs w:val="24"/>
        </w:rPr>
      </w:pPr>
      <w:r>
        <w:rPr>
          <w:b/>
          <w:color w:val="2F5496"/>
          <w:lang w:val="en-US"/>
        </w:rPr>
        <w:fldChar w:fldCharType="begin" w:fldLock="1"/>
      </w:r>
      <w:r w:rsidRPr="007C775C">
        <w:rPr>
          <w:b/>
          <w:color w:val="2F5496"/>
          <w:lang w:val="fr-CA"/>
        </w:rPr>
        <w:instrText xml:space="preserve">ADDIN Mendeley Bibliography CSL_BIBLIOGRAPHY </w:instrText>
      </w:r>
      <w:r>
        <w:rPr>
          <w:b/>
          <w:color w:val="2F5496"/>
          <w:lang w:val="en-US"/>
        </w:rPr>
        <w:fldChar w:fldCharType="separate"/>
      </w:r>
      <w:r w:rsidRPr="007C775C">
        <w:rPr>
          <w:noProof/>
          <w:szCs w:val="24"/>
          <w:lang w:val="fr-CA"/>
        </w:rPr>
        <w:t xml:space="preserve">1. </w:t>
      </w:r>
      <w:r w:rsidRPr="007C775C">
        <w:rPr>
          <w:noProof/>
          <w:szCs w:val="24"/>
          <w:lang w:val="fr-CA"/>
        </w:rPr>
        <w:tab/>
        <w:t xml:space="preserve">Morris JA, Kemp JP, Youlten SE, Laurent L, Logan JG, Chai RC, et al. </w:t>
      </w:r>
      <w:r w:rsidRPr="00092B7B">
        <w:rPr>
          <w:noProof/>
          <w:szCs w:val="24"/>
        </w:rPr>
        <w:t>An atlas of genetic influences on osteoporosis in humans and mice. Nat Genet. 2018; 338863. doi:10.1038/s41588-018-0302-x</w:t>
      </w:r>
    </w:p>
    <w:p w14:paraId="1C7F9177" w14:textId="77777777" w:rsidR="00092B7B" w:rsidRPr="00092B7B" w:rsidRDefault="00092B7B" w:rsidP="00092B7B">
      <w:pPr>
        <w:widowControl w:val="0"/>
        <w:autoSpaceDE w:val="0"/>
        <w:autoSpaceDN w:val="0"/>
        <w:adjustRightInd w:val="0"/>
        <w:spacing w:line="240" w:lineRule="auto"/>
        <w:ind w:left="640" w:hanging="640"/>
        <w:rPr>
          <w:noProof/>
        </w:rPr>
      </w:pPr>
      <w:r w:rsidRPr="00092B7B">
        <w:rPr>
          <w:noProof/>
          <w:szCs w:val="24"/>
        </w:rPr>
        <w:t xml:space="preserve">2. </w:t>
      </w:r>
      <w:r w:rsidRPr="00092B7B">
        <w:rPr>
          <w:noProof/>
          <w:szCs w:val="24"/>
        </w:rPr>
        <w:tab/>
        <w:t>Mahajan A, Taliun D, Thurner M, Robertson NR, Torres JM, Rayner NW, et al. Fine-mapping type 2 diabetes loci to single-variant resolution using high-density imputation and islet-specific epigenome maps. Nat Genet. 2018;50: 1505–1513. doi:10.1038/s41588-018-0241-6</w:t>
      </w:r>
    </w:p>
    <w:p w14:paraId="0969CA25" w14:textId="27298C20" w:rsidR="00D8477A" w:rsidRDefault="00092B7B" w:rsidP="00FE508A">
      <w:pPr>
        <w:spacing w:line="240" w:lineRule="auto"/>
        <w:jc w:val="both"/>
        <w:rPr>
          <w:b/>
          <w:color w:val="2F5496"/>
          <w:lang w:val="en-US"/>
        </w:rPr>
      </w:pPr>
      <w:r>
        <w:rPr>
          <w:b/>
          <w:color w:val="2F5496"/>
          <w:lang w:val="en-US"/>
        </w:rPr>
        <w:fldChar w:fldCharType="end"/>
      </w:r>
    </w:p>
    <w:sectPr w:rsidR="00D8477A" w:rsidSect="00102DC7">
      <w:footerReference w:type="default" r:id="rId17"/>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00F88A" w14:textId="77777777" w:rsidR="00720A26" w:rsidRDefault="00720A26">
      <w:pPr>
        <w:spacing w:line="240" w:lineRule="auto"/>
      </w:pPr>
      <w:r>
        <w:separator/>
      </w:r>
    </w:p>
  </w:endnote>
  <w:endnote w:type="continuationSeparator" w:id="0">
    <w:p w14:paraId="12B17241" w14:textId="77777777" w:rsidR="00720A26" w:rsidRDefault="00720A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5C" w14:textId="5D959639" w:rsidR="00D852E4" w:rsidRDefault="00D852E4">
    <w:pPr>
      <w:jc w:val="right"/>
    </w:pPr>
    <w:r>
      <w:fldChar w:fldCharType="begin"/>
    </w:r>
    <w:r>
      <w:instrText>PAGE</w:instrText>
    </w:r>
    <w:r>
      <w:fldChar w:fldCharType="separate"/>
    </w:r>
    <w:r w:rsidR="00176A3C">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2CAE8C" w14:textId="77777777" w:rsidR="00720A26" w:rsidRDefault="00720A26">
      <w:pPr>
        <w:spacing w:line="240" w:lineRule="auto"/>
      </w:pPr>
      <w:r>
        <w:separator/>
      </w:r>
    </w:p>
  </w:footnote>
  <w:footnote w:type="continuationSeparator" w:id="0">
    <w:p w14:paraId="4301F9EA" w14:textId="77777777" w:rsidR="00720A26" w:rsidRDefault="00720A2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72988C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4E64219"/>
    <w:multiLevelType w:val="hybridMultilevel"/>
    <w:tmpl w:val="E370E7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346AE6"/>
    <w:multiLevelType w:val="hybridMultilevel"/>
    <w:tmpl w:val="72106F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F5659B"/>
    <w:multiLevelType w:val="hybridMultilevel"/>
    <w:tmpl w:val="A522AF3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5CE03C59"/>
    <w:multiLevelType w:val="multilevel"/>
    <w:tmpl w:val="D97AB1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173372C"/>
    <w:multiLevelType w:val="multilevel"/>
    <w:tmpl w:val="A7D8BA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6F294A47"/>
    <w:multiLevelType w:val="hybridMultilevel"/>
    <w:tmpl w:val="927E9A7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1"/>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trackRevisions/>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744"/>
    <w:rsid w:val="00014BFC"/>
    <w:rsid w:val="000159D2"/>
    <w:rsid w:val="00020EC4"/>
    <w:rsid w:val="000216AE"/>
    <w:rsid w:val="00024ED6"/>
    <w:rsid w:val="00026B0A"/>
    <w:rsid w:val="000318CB"/>
    <w:rsid w:val="00031CD7"/>
    <w:rsid w:val="00036715"/>
    <w:rsid w:val="00036741"/>
    <w:rsid w:val="0005248C"/>
    <w:rsid w:val="000530D1"/>
    <w:rsid w:val="0006119F"/>
    <w:rsid w:val="00087AF3"/>
    <w:rsid w:val="00092B7B"/>
    <w:rsid w:val="00095723"/>
    <w:rsid w:val="000A2472"/>
    <w:rsid w:val="000B3712"/>
    <w:rsid w:val="000B5491"/>
    <w:rsid w:val="000B5746"/>
    <w:rsid w:val="000C5A71"/>
    <w:rsid w:val="000C5CEB"/>
    <w:rsid w:val="000C5DA5"/>
    <w:rsid w:val="000C6458"/>
    <w:rsid w:val="000D74D8"/>
    <w:rsid w:val="000E2374"/>
    <w:rsid w:val="000E4B72"/>
    <w:rsid w:val="000E74AD"/>
    <w:rsid w:val="0010023E"/>
    <w:rsid w:val="001016A4"/>
    <w:rsid w:val="00102DC7"/>
    <w:rsid w:val="00112883"/>
    <w:rsid w:val="001216B3"/>
    <w:rsid w:val="0012329F"/>
    <w:rsid w:val="00133D0F"/>
    <w:rsid w:val="00151D71"/>
    <w:rsid w:val="00156084"/>
    <w:rsid w:val="0015689A"/>
    <w:rsid w:val="00156DD4"/>
    <w:rsid w:val="00163B8A"/>
    <w:rsid w:val="00164739"/>
    <w:rsid w:val="00167EFC"/>
    <w:rsid w:val="001703E7"/>
    <w:rsid w:val="00176A3C"/>
    <w:rsid w:val="00180DD3"/>
    <w:rsid w:val="00185388"/>
    <w:rsid w:val="001876EF"/>
    <w:rsid w:val="00192980"/>
    <w:rsid w:val="001A11FA"/>
    <w:rsid w:val="001A1A21"/>
    <w:rsid w:val="001A43A2"/>
    <w:rsid w:val="001D7767"/>
    <w:rsid w:val="001E1AFB"/>
    <w:rsid w:val="001E3C07"/>
    <w:rsid w:val="00200125"/>
    <w:rsid w:val="002005A0"/>
    <w:rsid w:val="00210717"/>
    <w:rsid w:val="00212A56"/>
    <w:rsid w:val="00213DB4"/>
    <w:rsid w:val="00214278"/>
    <w:rsid w:val="0022221A"/>
    <w:rsid w:val="0022402D"/>
    <w:rsid w:val="00231993"/>
    <w:rsid w:val="00231DA6"/>
    <w:rsid w:val="00242162"/>
    <w:rsid w:val="0024447A"/>
    <w:rsid w:val="002501C3"/>
    <w:rsid w:val="002629D1"/>
    <w:rsid w:val="00264181"/>
    <w:rsid w:val="00265AA5"/>
    <w:rsid w:val="00265F59"/>
    <w:rsid w:val="0028027E"/>
    <w:rsid w:val="00285ED0"/>
    <w:rsid w:val="002863DB"/>
    <w:rsid w:val="002914B4"/>
    <w:rsid w:val="00293B71"/>
    <w:rsid w:val="00295765"/>
    <w:rsid w:val="002A09F6"/>
    <w:rsid w:val="002A0CA2"/>
    <w:rsid w:val="002A5D5D"/>
    <w:rsid w:val="002B1DA6"/>
    <w:rsid w:val="002C675F"/>
    <w:rsid w:val="002D22E7"/>
    <w:rsid w:val="002D2F08"/>
    <w:rsid w:val="002D4CA9"/>
    <w:rsid w:val="002D5045"/>
    <w:rsid w:val="002E70C1"/>
    <w:rsid w:val="002F2906"/>
    <w:rsid w:val="003041A3"/>
    <w:rsid w:val="003136F5"/>
    <w:rsid w:val="00315368"/>
    <w:rsid w:val="003176F6"/>
    <w:rsid w:val="00321C89"/>
    <w:rsid w:val="00322308"/>
    <w:rsid w:val="00322519"/>
    <w:rsid w:val="00330B27"/>
    <w:rsid w:val="003312D5"/>
    <w:rsid w:val="00334E41"/>
    <w:rsid w:val="003432CA"/>
    <w:rsid w:val="00360AB5"/>
    <w:rsid w:val="00362C8C"/>
    <w:rsid w:val="00364F7F"/>
    <w:rsid w:val="00365426"/>
    <w:rsid w:val="00366A3F"/>
    <w:rsid w:val="0037636B"/>
    <w:rsid w:val="00376C0C"/>
    <w:rsid w:val="00390BE5"/>
    <w:rsid w:val="00391314"/>
    <w:rsid w:val="003A13B3"/>
    <w:rsid w:val="003B2190"/>
    <w:rsid w:val="003B3AFA"/>
    <w:rsid w:val="003B6FF8"/>
    <w:rsid w:val="003C0BB5"/>
    <w:rsid w:val="003C0E34"/>
    <w:rsid w:val="003C40C0"/>
    <w:rsid w:val="003C4FE9"/>
    <w:rsid w:val="003C51E7"/>
    <w:rsid w:val="003C6AD0"/>
    <w:rsid w:val="003D268E"/>
    <w:rsid w:val="003D4D01"/>
    <w:rsid w:val="003E0A1D"/>
    <w:rsid w:val="003E2A89"/>
    <w:rsid w:val="003E6347"/>
    <w:rsid w:val="003F47E7"/>
    <w:rsid w:val="003F7642"/>
    <w:rsid w:val="0040115F"/>
    <w:rsid w:val="004059C7"/>
    <w:rsid w:val="00415071"/>
    <w:rsid w:val="00417ACA"/>
    <w:rsid w:val="00427399"/>
    <w:rsid w:val="0043063C"/>
    <w:rsid w:val="004318F9"/>
    <w:rsid w:val="00441AFE"/>
    <w:rsid w:val="00441EE2"/>
    <w:rsid w:val="004429AD"/>
    <w:rsid w:val="00447837"/>
    <w:rsid w:val="00450972"/>
    <w:rsid w:val="00457316"/>
    <w:rsid w:val="00457BE8"/>
    <w:rsid w:val="004604DE"/>
    <w:rsid w:val="0046279B"/>
    <w:rsid w:val="00464B88"/>
    <w:rsid w:val="00464D60"/>
    <w:rsid w:val="004650EE"/>
    <w:rsid w:val="00475033"/>
    <w:rsid w:val="00476B47"/>
    <w:rsid w:val="00480825"/>
    <w:rsid w:val="004933A4"/>
    <w:rsid w:val="004959FE"/>
    <w:rsid w:val="004A4605"/>
    <w:rsid w:val="004B431A"/>
    <w:rsid w:val="004B5D59"/>
    <w:rsid w:val="004C044F"/>
    <w:rsid w:val="004C19C7"/>
    <w:rsid w:val="004C3098"/>
    <w:rsid w:val="004D0AB6"/>
    <w:rsid w:val="004D4290"/>
    <w:rsid w:val="004D59CE"/>
    <w:rsid w:val="004E16AB"/>
    <w:rsid w:val="004E7C7C"/>
    <w:rsid w:val="004F0753"/>
    <w:rsid w:val="004F1268"/>
    <w:rsid w:val="004F73B1"/>
    <w:rsid w:val="00510341"/>
    <w:rsid w:val="00525523"/>
    <w:rsid w:val="00530B43"/>
    <w:rsid w:val="00535B87"/>
    <w:rsid w:val="005405FB"/>
    <w:rsid w:val="00541C96"/>
    <w:rsid w:val="00545D3B"/>
    <w:rsid w:val="005551B4"/>
    <w:rsid w:val="00555B85"/>
    <w:rsid w:val="00556810"/>
    <w:rsid w:val="0055742F"/>
    <w:rsid w:val="005617F2"/>
    <w:rsid w:val="00562369"/>
    <w:rsid w:val="00564F51"/>
    <w:rsid w:val="005659DD"/>
    <w:rsid w:val="00576602"/>
    <w:rsid w:val="00577BAB"/>
    <w:rsid w:val="00582197"/>
    <w:rsid w:val="00584847"/>
    <w:rsid w:val="00590C3F"/>
    <w:rsid w:val="005922B2"/>
    <w:rsid w:val="005927DD"/>
    <w:rsid w:val="0059341A"/>
    <w:rsid w:val="005A59AD"/>
    <w:rsid w:val="005A689C"/>
    <w:rsid w:val="005B5B18"/>
    <w:rsid w:val="005C7251"/>
    <w:rsid w:val="00604EBE"/>
    <w:rsid w:val="006062BF"/>
    <w:rsid w:val="00607AB7"/>
    <w:rsid w:val="00611890"/>
    <w:rsid w:val="00613276"/>
    <w:rsid w:val="00633F0C"/>
    <w:rsid w:val="006344C7"/>
    <w:rsid w:val="00643CD7"/>
    <w:rsid w:val="00644E0D"/>
    <w:rsid w:val="00647CF3"/>
    <w:rsid w:val="00655CF8"/>
    <w:rsid w:val="006624C7"/>
    <w:rsid w:val="00665720"/>
    <w:rsid w:val="0067502B"/>
    <w:rsid w:val="00681AB5"/>
    <w:rsid w:val="00685328"/>
    <w:rsid w:val="00693F27"/>
    <w:rsid w:val="006A2014"/>
    <w:rsid w:val="006A2699"/>
    <w:rsid w:val="006C5068"/>
    <w:rsid w:val="006C6E1D"/>
    <w:rsid w:val="006D0AE9"/>
    <w:rsid w:val="006E0AA6"/>
    <w:rsid w:val="006F07A0"/>
    <w:rsid w:val="006F0951"/>
    <w:rsid w:val="006F1E44"/>
    <w:rsid w:val="006F1EDD"/>
    <w:rsid w:val="006F2918"/>
    <w:rsid w:val="006F39C9"/>
    <w:rsid w:val="006F3A2F"/>
    <w:rsid w:val="006F4421"/>
    <w:rsid w:val="00700C19"/>
    <w:rsid w:val="00720A26"/>
    <w:rsid w:val="00720E48"/>
    <w:rsid w:val="00722E68"/>
    <w:rsid w:val="007275BA"/>
    <w:rsid w:val="00727B2B"/>
    <w:rsid w:val="0074226F"/>
    <w:rsid w:val="00750283"/>
    <w:rsid w:val="0075608F"/>
    <w:rsid w:val="00756C0F"/>
    <w:rsid w:val="007572F9"/>
    <w:rsid w:val="00760B80"/>
    <w:rsid w:val="00760DFB"/>
    <w:rsid w:val="00766426"/>
    <w:rsid w:val="00780560"/>
    <w:rsid w:val="00795275"/>
    <w:rsid w:val="00795754"/>
    <w:rsid w:val="007A2D6F"/>
    <w:rsid w:val="007C0321"/>
    <w:rsid w:val="007C775C"/>
    <w:rsid w:val="007C7AE1"/>
    <w:rsid w:val="007E74D4"/>
    <w:rsid w:val="007F2E54"/>
    <w:rsid w:val="008019FA"/>
    <w:rsid w:val="008047C6"/>
    <w:rsid w:val="00811900"/>
    <w:rsid w:val="0081597F"/>
    <w:rsid w:val="00826963"/>
    <w:rsid w:val="00826CF5"/>
    <w:rsid w:val="0082739C"/>
    <w:rsid w:val="00831F1D"/>
    <w:rsid w:val="00833679"/>
    <w:rsid w:val="00835CBE"/>
    <w:rsid w:val="00836C90"/>
    <w:rsid w:val="00842239"/>
    <w:rsid w:val="00853795"/>
    <w:rsid w:val="008553CE"/>
    <w:rsid w:val="008600D4"/>
    <w:rsid w:val="00861789"/>
    <w:rsid w:val="00865C01"/>
    <w:rsid w:val="0087169A"/>
    <w:rsid w:val="008733C3"/>
    <w:rsid w:val="008825FD"/>
    <w:rsid w:val="008924DE"/>
    <w:rsid w:val="008951EB"/>
    <w:rsid w:val="008A44EF"/>
    <w:rsid w:val="008A796A"/>
    <w:rsid w:val="008A7B43"/>
    <w:rsid w:val="008B0FF6"/>
    <w:rsid w:val="008B58F2"/>
    <w:rsid w:val="008C0B4F"/>
    <w:rsid w:val="008D39A9"/>
    <w:rsid w:val="008D6E2C"/>
    <w:rsid w:val="008E360D"/>
    <w:rsid w:val="008E447F"/>
    <w:rsid w:val="008E4AF1"/>
    <w:rsid w:val="008E5244"/>
    <w:rsid w:val="008E667D"/>
    <w:rsid w:val="008E66DD"/>
    <w:rsid w:val="008F16C1"/>
    <w:rsid w:val="008F4E5A"/>
    <w:rsid w:val="009006D6"/>
    <w:rsid w:val="00903BC7"/>
    <w:rsid w:val="0091527B"/>
    <w:rsid w:val="0091753B"/>
    <w:rsid w:val="009342E4"/>
    <w:rsid w:val="009435B4"/>
    <w:rsid w:val="00953BC1"/>
    <w:rsid w:val="00955ED9"/>
    <w:rsid w:val="00962AE7"/>
    <w:rsid w:val="0096723A"/>
    <w:rsid w:val="009679EC"/>
    <w:rsid w:val="00977A1A"/>
    <w:rsid w:val="009830C1"/>
    <w:rsid w:val="009925DB"/>
    <w:rsid w:val="009A1BD9"/>
    <w:rsid w:val="009A30F2"/>
    <w:rsid w:val="009A760E"/>
    <w:rsid w:val="009A789E"/>
    <w:rsid w:val="009B1989"/>
    <w:rsid w:val="009B1E00"/>
    <w:rsid w:val="009D2456"/>
    <w:rsid w:val="009D5665"/>
    <w:rsid w:val="009F30EB"/>
    <w:rsid w:val="00A044DB"/>
    <w:rsid w:val="00A04661"/>
    <w:rsid w:val="00A20AFE"/>
    <w:rsid w:val="00A24236"/>
    <w:rsid w:val="00A32C1E"/>
    <w:rsid w:val="00A35ACA"/>
    <w:rsid w:val="00A3769B"/>
    <w:rsid w:val="00A45CC6"/>
    <w:rsid w:val="00A509B4"/>
    <w:rsid w:val="00A50CA0"/>
    <w:rsid w:val="00A660AA"/>
    <w:rsid w:val="00A70241"/>
    <w:rsid w:val="00A70709"/>
    <w:rsid w:val="00A70B41"/>
    <w:rsid w:val="00A7371F"/>
    <w:rsid w:val="00A74585"/>
    <w:rsid w:val="00A929E2"/>
    <w:rsid w:val="00A93989"/>
    <w:rsid w:val="00A97BCA"/>
    <w:rsid w:val="00AA0611"/>
    <w:rsid w:val="00AA244D"/>
    <w:rsid w:val="00AA437E"/>
    <w:rsid w:val="00AA634F"/>
    <w:rsid w:val="00AB01F1"/>
    <w:rsid w:val="00AB33C9"/>
    <w:rsid w:val="00AC1FE2"/>
    <w:rsid w:val="00AC3CC3"/>
    <w:rsid w:val="00AD5AF6"/>
    <w:rsid w:val="00AE0361"/>
    <w:rsid w:val="00AE3021"/>
    <w:rsid w:val="00AE4C3C"/>
    <w:rsid w:val="00AE50D3"/>
    <w:rsid w:val="00AE7B8C"/>
    <w:rsid w:val="00B01D6D"/>
    <w:rsid w:val="00B0215D"/>
    <w:rsid w:val="00B03921"/>
    <w:rsid w:val="00B04EC6"/>
    <w:rsid w:val="00B14C90"/>
    <w:rsid w:val="00B17E97"/>
    <w:rsid w:val="00B24FE1"/>
    <w:rsid w:val="00B31B3F"/>
    <w:rsid w:val="00B33A3A"/>
    <w:rsid w:val="00B34199"/>
    <w:rsid w:val="00B40F22"/>
    <w:rsid w:val="00B41B58"/>
    <w:rsid w:val="00B504CF"/>
    <w:rsid w:val="00B536F3"/>
    <w:rsid w:val="00B60579"/>
    <w:rsid w:val="00B61774"/>
    <w:rsid w:val="00B65F20"/>
    <w:rsid w:val="00B80684"/>
    <w:rsid w:val="00B831DC"/>
    <w:rsid w:val="00B9397F"/>
    <w:rsid w:val="00BA06BE"/>
    <w:rsid w:val="00BC0B3C"/>
    <w:rsid w:val="00BC22B9"/>
    <w:rsid w:val="00BC2F33"/>
    <w:rsid w:val="00BC4551"/>
    <w:rsid w:val="00BC5856"/>
    <w:rsid w:val="00BD6B28"/>
    <w:rsid w:val="00BF442D"/>
    <w:rsid w:val="00C01199"/>
    <w:rsid w:val="00C014E5"/>
    <w:rsid w:val="00C06553"/>
    <w:rsid w:val="00C11411"/>
    <w:rsid w:val="00C1463B"/>
    <w:rsid w:val="00C156D1"/>
    <w:rsid w:val="00C25113"/>
    <w:rsid w:val="00C448BA"/>
    <w:rsid w:val="00C45E1E"/>
    <w:rsid w:val="00C4600F"/>
    <w:rsid w:val="00C62B9D"/>
    <w:rsid w:val="00C647BE"/>
    <w:rsid w:val="00C74C79"/>
    <w:rsid w:val="00C768C7"/>
    <w:rsid w:val="00C818B7"/>
    <w:rsid w:val="00C84B3E"/>
    <w:rsid w:val="00C907F1"/>
    <w:rsid w:val="00C96C10"/>
    <w:rsid w:val="00C96D47"/>
    <w:rsid w:val="00CA75A2"/>
    <w:rsid w:val="00CB18B8"/>
    <w:rsid w:val="00CB1DD2"/>
    <w:rsid w:val="00CB5E3B"/>
    <w:rsid w:val="00CB7ACC"/>
    <w:rsid w:val="00CC0C97"/>
    <w:rsid w:val="00CC1A80"/>
    <w:rsid w:val="00CC3E09"/>
    <w:rsid w:val="00CC539E"/>
    <w:rsid w:val="00CC6125"/>
    <w:rsid w:val="00CD0530"/>
    <w:rsid w:val="00CD5AC6"/>
    <w:rsid w:val="00CD6DF0"/>
    <w:rsid w:val="00CE1CBE"/>
    <w:rsid w:val="00CF217B"/>
    <w:rsid w:val="00D165F0"/>
    <w:rsid w:val="00D17907"/>
    <w:rsid w:val="00D261BF"/>
    <w:rsid w:val="00D2743D"/>
    <w:rsid w:val="00D33D66"/>
    <w:rsid w:val="00D375AD"/>
    <w:rsid w:val="00D40FE2"/>
    <w:rsid w:val="00D41359"/>
    <w:rsid w:val="00D46E2B"/>
    <w:rsid w:val="00D57C63"/>
    <w:rsid w:val="00D66CC0"/>
    <w:rsid w:val="00D732CA"/>
    <w:rsid w:val="00D74752"/>
    <w:rsid w:val="00D8206D"/>
    <w:rsid w:val="00D83C4B"/>
    <w:rsid w:val="00D8477A"/>
    <w:rsid w:val="00D852E4"/>
    <w:rsid w:val="00D90544"/>
    <w:rsid w:val="00DA13B0"/>
    <w:rsid w:val="00DB0B68"/>
    <w:rsid w:val="00DB1478"/>
    <w:rsid w:val="00DB36BD"/>
    <w:rsid w:val="00DB3A54"/>
    <w:rsid w:val="00DB784B"/>
    <w:rsid w:val="00DB7D77"/>
    <w:rsid w:val="00DC17C8"/>
    <w:rsid w:val="00DC2163"/>
    <w:rsid w:val="00DD26A5"/>
    <w:rsid w:val="00DD4A05"/>
    <w:rsid w:val="00DD5180"/>
    <w:rsid w:val="00DE0FD5"/>
    <w:rsid w:val="00DE370C"/>
    <w:rsid w:val="00DE5D6F"/>
    <w:rsid w:val="00DF0365"/>
    <w:rsid w:val="00DF1599"/>
    <w:rsid w:val="00DF70A2"/>
    <w:rsid w:val="00E113DA"/>
    <w:rsid w:val="00E1314B"/>
    <w:rsid w:val="00E228CA"/>
    <w:rsid w:val="00E243A0"/>
    <w:rsid w:val="00E24A05"/>
    <w:rsid w:val="00E25178"/>
    <w:rsid w:val="00E31C12"/>
    <w:rsid w:val="00E33783"/>
    <w:rsid w:val="00E379FA"/>
    <w:rsid w:val="00E44980"/>
    <w:rsid w:val="00E55730"/>
    <w:rsid w:val="00E56B2E"/>
    <w:rsid w:val="00E62010"/>
    <w:rsid w:val="00E62C98"/>
    <w:rsid w:val="00E712D4"/>
    <w:rsid w:val="00E73744"/>
    <w:rsid w:val="00E7658D"/>
    <w:rsid w:val="00E80518"/>
    <w:rsid w:val="00E808F6"/>
    <w:rsid w:val="00E830B5"/>
    <w:rsid w:val="00E85111"/>
    <w:rsid w:val="00E86C61"/>
    <w:rsid w:val="00E876D5"/>
    <w:rsid w:val="00E91985"/>
    <w:rsid w:val="00E92D40"/>
    <w:rsid w:val="00E93DD9"/>
    <w:rsid w:val="00E95063"/>
    <w:rsid w:val="00E9681E"/>
    <w:rsid w:val="00EA1029"/>
    <w:rsid w:val="00EA3229"/>
    <w:rsid w:val="00EB237A"/>
    <w:rsid w:val="00EC1E72"/>
    <w:rsid w:val="00EC3165"/>
    <w:rsid w:val="00ED01F8"/>
    <w:rsid w:val="00ED5A79"/>
    <w:rsid w:val="00ED6360"/>
    <w:rsid w:val="00ED7A1F"/>
    <w:rsid w:val="00EE249B"/>
    <w:rsid w:val="00EE6E08"/>
    <w:rsid w:val="00EE737C"/>
    <w:rsid w:val="00EF1011"/>
    <w:rsid w:val="00EF3082"/>
    <w:rsid w:val="00EF370A"/>
    <w:rsid w:val="00EF7007"/>
    <w:rsid w:val="00F02DD0"/>
    <w:rsid w:val="00F069C5"/>
    <w:rsid w:val="00F06AB9"/>
    <w:rsid w:val="00F06DDA"/>
    <w:rsid w:val="00F10E70"/>
    <w:rsid w:val="00F27E46"/>
    <w:rsid w:val="00F33B2E"/>
    <w:rsid w:val="00F45214"/>
    <w:rsid w:val="00F454DD"/>
    <w:rsid w:val="00F55ABB"/>
    <w:rsid w:val="00F568A7"/>
    <w:rsid w:val="00F56A43"/>
    <w:rsid w:val="00F60E00"/>
    <w:rsid w:val="00F6226F"/>
    <w:rsid w:val="00F63BE7"/>
    <w:rsid w:val="00F6515E"/>
    <w:rsid w:val="00F800EC"/>
    <w:rsid w:val="00F8539C"/>
    <w:rsid w:val="00F95677"/>
    <w:rsid w:val="00F97BB6"/>
    <w:rsid w:val="00FB2548"/>
    <w:rsid w:val="00FB4054"/>
    <w:rsid w:val="00FB4600"/>
    <w:rsid w:val="00FB67D1"/>
    <w:rsid w:val="00FC308F"/>
    <w:rsid w:val="00FC4B6D"/>
    <w:rsid w:val="00FE140D"/>
    <w:rsid w:val="00FE508A"/>
    <w:rsid w:val="00FE5BFC"/>
    <w:rsid w:val="00FF34FE"/>
    <w:rsid w:val="00FF453F"/>
    <w:rsid w:val="00FF7AE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90B809"/>
  <w15:docId w15:val="{7589302C-6995-4B1A-9882-C785429C1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33C9"/>
  </w:style>
  <w:style w:type="paragraph" w:styleId="Heading1">
    <w:name w:val="heading 1"/>
    <w:basedOn w:val="Normal"/>
    <w:next w:val="Normal"/>
    <w:link w:val="Heading1Char"/>
    <w:uiPriority w:val="9"/>
    <w:qFormat/>
    <w:rsid w:val="00C96C10"/>
    <w:pPr>
      <w:keepNext/>
      <w:keepLines/>
      <w:spacing w:before="400" w:after="120"/>
      <w:outlineLvl w:val="0"/>
    </w:pPr>
    <w:rPr>
      <w:b/>
      <w:color w:val="2F5496"/>
      <w:szCs w:val="40"/>
    </w:rPr>
  </w:style>
  <w:style w:type="paragraph" w:styleId="Heading2">
    <w:name w:val="heading 2"/>
    <w:basedOn w:val="Normal"/>
    <w:next w:val="Normal"/>
    <w:uiPriority w:val="9"/>
    <w:unhideWhenUsed/>
    <w:qFormat/>
    <w:rsid w:val="0006119F"/>
    <w:pPr>
      <w:keepNext/>
      <w:keepLines/>
      <w:spacing w:before="360" w:after="120"/>
      <w:outlineLvl w:val="1"/>
    </w:pPr>
    <w:rPr>
      <w:b/>
      <w:i/>
      <w:color w:val="2F5496"/>
      <w:szCs w:val="32"/>
    </w:rPr>
  </w:style>
  <w:style w:type="paragraph" w:styleId="Heading3">
    <w:name w:val="heading 3"/>
    <w:basedOn w:val="Normal"/>
    <w:next w:val="Normal"/>
    <w:link w:val="Heading3Char"/>
    <w:uiPriority w:val="9"/>
    <w:unhideWhenUsed/>
    <w:qFormat/>
    <w:rsid w:val="000C6458"/>
    <w:pPr>
      <w:keepNext/>
      <w:keepLines/>
      <w:spacing w:before="320" w:after="80"/>
      <w:outlineLvl w:val="2"/>
    </w:pPr>
    <w:rPr>
      <w:i/>
      <w:color w:val="2F5496"/>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Heading1"/>
    <w:next w:val="Normal"/>
    <w:uiPriority w:val="10"/>
    <w:qFormat/>
    <w:rsid w:val="00C156D1"/>
    <w:pPr>
      <w:spacing w:before="0" w:after="60"/>
    </w:pPr>
    <w:rPr>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14C9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C9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3C40C0"/>
    <w:rPr>
      <w:b/>
      <w:bCs/>
    </w:rPr>
  </w:style>
  <w:style w:type="character" w:customStyle="1" w:styleId="CommentSubjectChar">
    <w:name w:val="Comment Subject Char"/>
    <w:basedOn w:val="CommentTextChar"/>
    <w:link w:val="CommentSubject"/>
    <w:uiPriority w:val="99"/>
    <w:semiHidden/>
    <w:rsid w:val="003C40C0"/>
    <w:rPr>
      <w:b/>
      <w:bCs/>
      <w:sz w:val="20"/>
      <w:szCs w:val="20"/>
    </w:rPr>
  </w:style>
  <w:style w:type="character" w:customStyle="1" w:styleId="Heading3Char">
    <w:name w:val="Heading 3 Char"/>
    <w:basedOn w:val="DefaultParagraphFont"/>
    <w:link w:val="Heading3"/>
    <w:uiPriority w:val="9"/>
    <w:rsid w:val="0022402D"/>
    <w:rPr>
      <w:i/>
      <w:color w:val="2F5496"/>
      <w:szCs w:val="28"/>
    </w:rPr>
  </w:style>
  <w:style w:type="paragraph" w:styleId="Revision">
    <w:name w:val="Revision"/>
    <w:hidden/>
    <w:uiPriority w:val="99"/>
    <w:semiHidden/>
    <w:rsid w:val="009435B4"/>
    <w:pPr>
      <w:spacing w:line="240" w:lineRule="auto"/>
    </w:pPr>
  </w:style>
  <w:style w:type="character" w:styleId="Hyperlink">
    <w:name w:val="Hyperlink"/>
    <w:basedOn w:val="DefaultParagraphFont"/>
    <w:uiPriority w:val="99"/>
    <w:unhideWhenUsed/>
    <w:rsid w:val="004C044F"/>
    <w:rPr>
      <w:color w:val="0000FF" w:themeColor="hyperlink"/>
      <w:u w:val="single"/>
    </w:rPr>
  </w:style>
  <w:style w:type="character" w:customStyle="1" w:styleId="UnresolvedMention1">
    <w:name w:val="Unresolved Mention1"/>
    <w:basedOn w:val="DefaultParagraphFont"/>
    <w:uiPriority w:val="99"/>
    <w:semiHidden/>
    <w:unhideWhenUsed/>
    <w:rsid w:val="004C044F"/>
    <w:rPr>
      <w:color w:val="605E5C"/>
      <w:shd w:val="clear" w:color="auto" w:fill="E1DFDD"/>
    </w:rPr>
  </w:style>
  <w:style w:type="paragraph" w:styleId="ListParagraph">
    <w:name w:val="List Paragraph"/>
    <w:basedOn w:val="Normal"/>
    <w:uiPriority w:val="34"/>
    <w:qFormat/>
    <w:rsid w:val="000530D1"/>
    <w:pPr>
      <w:ind w:left="720"/>
      <w:contextualSpacing/>
    </w:pPr>
  </w:style>
  <w:style w:type="character" w:customStyle="1" w:styleId="Heading1Char">
    <w:name w:val="Heading 1 Char"/>
    <w:basedOn w:val="DefaultParagraphFont"/>
    <w:link w:val="Heading1"/>
    <w:uiPriority w:val="9"/>
    <w:rsid w:val="001A11FA"/>
    <w:rPr>
      <w:b/>
      <w:color w:val="2F5496"/>
      <w:szCs w:val="40"/>
    </w:rPr>
  </w:style>
  <w:style w:type="character" w:customStyle="1" w:styleId="UnresolvedMention2">
    <w:name w:val="Unresolved Mention2"/>
    <w:basedOn w:val="DefaultParagraphFont"/>
    <w:uiPriority w:val="99"/>
    <w:semiHidden/>
    <w:unhideWhenUsed/>
    <w:rsid w:val="005551B4"/>
    <w:rPr>
      <w:color w:val="605E5C"/>
      <w:shd w:val="clear" w:color="auto" w:fill="E1DFDD"/>
    </w:rPr>
  </w:style>
  <w:style w:type="paragraph" w:styleId="Header">
    <w:name w:val="header"/>
    <w:basedOn w:val="Normal"/>
    <w:link w:val="HeaderChar"/>
    <w:uiPriority w:val="99"/>
    <w:unhideWhenUsed/>
    <w:rsid w:val="003C4FE9"/>
    <w:pPr>
      <w:tabs>
        <w:tab w:val="center" w:pos="4680"/>
        <w:tab w:val="right" w:pos="9360"/>
      </w:tabs>
      <w:spacing w:line="240" w:lineRule="auto"/>
    </w:pPr>
  </w:style>
  <w:style w:type="character" w:customStyle="1" w:styleId="HeaderChar">
    <w:name w:val="Header Char"/>
    <w:basedOn w:val="DefaultParagraphFont"/>
    <w:link w:val="Header"/>
    <w:uiPriority w:val="99"/>
    <w:rsid w:val="003C4FE9"/>
  </w:style>
  <w:style w:type="paragraph" w:styleId="Footer">
    <w:name w:val="footer"/>
    <w:basedOn w:val="Normal"/>
    <w:link w:val="FooterChar"/>
    <w:uiPriority w:val="99"/>
    <w:unhideWhenUsed/>
    <w:rsid w:val="003C4FE9"/>
    <w:pPr>
      <w:tabs>
        <w:tab w:val="center" w:pos="4680"/>
        <w:tab w:val="right" w:pos="9360"/>
      </w:tabs>
      <w:spacing w:line="240" w:lineRule="auto"/>
    </w:pPr>
  </w:style>
  <w:style w:type="character" w:customStyle="1" w:styleId="FooterChar">
    <w:name w:val="Footer Char"/>
    <w:basedOn w:val="DefaultParagraphFont"/>
    <w:link w:val="Footer"/>
    <w:uiPriority w:val="99"/>
    <w:rsid w:val="003C4F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5933711">
      <w:bodyDiv w:val="1"/>
      <w:marLeft w:val="0"/>
      <w:marRight w:val="0"/>
      <w:marTop w:val="0"/>
      <w:marBottom w:val="0"/>
      <w:divBdr>
        <w:top w:val="none" w:sz="0" w:space="0" w:color="auto"/>
        <w:left w:val="none" w:sz="0" w:space="0" w:color="auto"/>
        <w:bottom w:val="none" w:sz="0" w:space="0" w:color="auto"/>
        <w:right w:val="none" w:sz="0" w:space="0" w:color="auto"/>
      </w:divBdr>
    </w:div>
    <w:div w:id="1364600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695639-342C-4951-B3C0-D1A65C89A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3980</TotalTime>
  <Pages>10</Pages>
  <Words>4541</Words>
  <Characters>25890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Vince Forgetta</cp:lastModifiedBy>
  <cp:revision>219</cp:revision>
  <cp:lastPrinted>2021-05-18T21:04:00Z</cp:lastPrinted>
  <dcterms:created xsi:type="dcterms:W3CDTF">2020-02-14T00:57:00Z</dcterms:created>
  <dcterms:modified xsi:type="dcterms:W3CDTF">2021-06-14T18:15:00Z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03fe1675-d1cf-3bde-9872-3ae436130f0b</vt:lpwstr>
  </property>
  <property fmtid="{D5CDD505-2E9C-101B-9397-08002B2CF9AE}" pid="4" name="Mendeley Citation Style_1">
    <vt:lpwstr>http://www.zotero.org/styles/plos-genetics</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http://www.zotero.org/styles/nature</vt:lpwstr>
  </property>
  <property fmtid="{D5CDD505-2E9C-101B-9397-08002B2CF9AE}" pid="16" name="Mendeley Recent Style Name 5_1">
    <vt:lpwstr>Nature</vt:lpwstr>
  </property>
  <property fmtid="{D5CDD505-2E9C-101B-9397-08002B2CF9AE}" pid="17" name="Mendeley Recent Style Id 6_1">
    <vt:lpwstr>http://www.zotero.org/styles/nature-genetics</vt:lpwstr>
  </property>
  <property fmtid="{D5CDD505-2E9C-101B-9397-08002B2CF9AE}" pid="18" name="Mendeley Recent Style Name 6_1">
    <vt:lpwstr>Nature Genetics</vt:lpwstr>
  </property>
  <property fmtid="{D5CDD505-2E9C-101B-9397-08002B2CF9AE}" pid="19" name="Mendeley Recent Style Id 7_1">
    <vt:lpwstr>http://www.zotero.org/styles/plos-genetics</vt:lpwstr>
  </property>
  <property fmtid="{D5CDD505-2E9C-101B-9397-08002B2CF9AE}" pid="20" name="Mendeley Recent Style Name 7_1">
    <vt:lpwstr>PLOS Genetics</vt:lpwstr>
  </property>
  <property fmtid="{D5CDD505-2E9C-101B-9397-08002B2CF9AE}" pid="21" name="Mendeley Recent Style Id 8_1">
    <vt:lpwstr>http://www.zotero.org/styles/plos-medicine</vt:lpwstr>
  </property>
  <property fmtid="{D5CDD505-2E9C-101B-9397-08002B2CF9AE}" pid="22" name="Mendeley Recent Style Name 8_1">
    <vt:lpwstr>PLOS Medicine</vt:lpwstr>
  </property>
  <property fmtid="{D5CDD505-2E9C-101B-9397-08002B2CF9AE}" pid="23" name="Mendeley Recent Style Id 9_1">
    <vt:lpwstr>http://www.zotero.org/styles/the-lancet</vt:lpwstr>
  </property>
  <property fmtid="{D5CDD505-2E9C-101B-9397-08002B2CF9AE}" pid="24" name="Mendeley Recent Style Name 9_1">
    <vt:lpwstr>The Lancet</vt:lpwstr>
  </property>
</Properties>
</file>