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30920" w:rsidRPr="00797C94" w:rsidRDefault="00B30920" w:rsidP="00B30920">
      <w:pPr>
        <w:spacing w:line="480" w:lineRule="auto"/>
        <w:rPr>
          <w:b/>
          <w:bCs/>
          <w:sz w:val="22"/>
          <w:szCs w:val="22"/>
        </w:rPr>
      </w:pPr>
      <w:r w:rsidRPr="00797C94">
        <w:rPr>
          <w:b/>
          <w:bCs/>
          <w:sz w:val="22"/>
          <w:szCs w:val="22"/>
        </w:rPr>
        <w:t>APPENDIX</w:t>
      </w:r>
    </w:p>
    <w:p w:rsidR="00B30920" w:rsidRPr="00797C94" w:rsidRDefault="00B30920" w:rsidP="00B30920">
      <w:pPr>
        <w:spacing w:line="480" w:lineRule="auto"/>
        <w:rPr>
          <w:b/>
          <w:sz w:val="22"/>
          <w:szCs w:val="22"/>
        </w:rPr>
      </w:pPr>
      <w:r w:rsidRPr="00797C94">
        <w:rPr>
          <w:b/>
          <w:bCs/>
          <w:sz w:val="22"/>
          <w:szCs w:val="22"/>
        </w:rPr>
        <w:t>T</w:t>
      </w:r>
      <w:r w:rsidRPr="00797C94">
        <w:rPr>
          <w:b/>
          <w:sz w:val="22"/>
          <w:szCs w:val="22"/>
        </w:rPr>
        <w:t>able. Views on components of medical education programs in the context of health literacy</w:t>
      </w:r>
    </w:p>
    <w:tbl>
      <w:tblPr>
        <w:tblStyle w:val="TableGrid"/>
        <w:tblpPr w:leftFromText="141" w:rightFromText="141" w:vertAnchor="text" w:horzAnchor="margin" w:tblpXSpec="center" w:tblpY="246"/>
        <w:tblW w:w="13444" w:type="dxa"/>
        <w:tblLayout w:type="fixed"/>
        <w:tblLook w:val="04A0" w:firstRow="1" w:lastRow="0" w:firstColumn="1" w:lastColumn="0" w:noHBand="0" w:noVBand="1"/>
      </w:tblPr>
      <w:tblGrid>
        <w:gridCol w:w="1129"/>
        <w:gridCol w:w="993"/>
        <w:gridCol w:w="2126"/>
        <w:gridCol w:w="9196"/>
      </w:tblGrid>
      <w:tr w:rsidR="00B30920" w:rsidRPr="00797C94" w:rsidTr="00B30920">
        <w:trPr>
          <w:trHeight w:val="546"/>
        </w:trPr>
        <w:tc>
          <w:tcPr>
            <w:tcW w:w="1129" w:type="dxa"/>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Theme</w:t>
            </w:r>
          </w:p>
        </w:tc>
        <w:tc>
          <w:tcPr>
            <w:tcW w:w="993" w:type="dxa"/>
            <w:tcBorders>
              <w:bottom w:val="single" w:sz="4" w:space="0" w:color="auto"/>
            </w:tcBorders>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Sub-Theme</w:t>
            </w:r>
          </w:p>
        </w:tc>
        <w:tc>
          <w:tcPr>
            <w:tcW w:w="2126" w:type="dxa"/>
            <w:tcBorders>
              <w:bottom w:val="single" w:sz="4" w:space="0" w:color="auto"/>
            </w:tcBorders>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Code</w:t>
            </w:r>
          </w:p>
        </w:tc>
        <w:tc>
          <w:tcPr>
            <w:tcW w:w="9196" w:type="dxa"/>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Quotation</w:t>
            </w:r>
          </w:p>
        </w:tc>
      </w:tr>
      <w:tr w:rsidR="00B30920" w:rsidRPr="00797C94" w:rsidTr="00B30920">
        <w:trPr>
          <w:cantSplit/>
          <w:trHeight w:val="882"/>
        </w:trPr>
        <w:tc>
          <w:tcPr>
            <w:tcW w:w="1129" w:type="dxa"/>
            <w:vMerge w:val="restart"/>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Health Literacy (HL) and Its Integration into Medical Education Programs</w:t>
            </w:r>
          </w:p>
        </w:tc>
        <w:tc>
          <w:tcPr>
            <w:tcW w:w="993" w:type="dxa"/>
            <w:vMerge w:val="restart"/>
            <w:tcBorders>
              <w:right w:val="single" w:sz="4" w:space="0" w:color="auto"/>
            </w:tcBorders>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Competencies</w:t>
            </w:r>
          </w:p>
        </w:tc>
        <w:tc>
          <w:tcPr>
            <w:tcW w:w="2126" w:type="dxa"/>
            <w:tcBorders>
              <w:left w:val="single" w:sz="4" w:space="0" w:color="auto"/>
              <w:bottom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Communication</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“People need to have the empathy to understand their pain, worries and expectations. I think every doctor should be equipped to deal with even the most difficult patients.” (Male, Lecturer, K1).</w:t>
            </w:r>
          </w:p>
          <w:p w:rsidR="00B30920" w:rsidRPr="00797C94" w:rsidRDefault="00B30920" w:rsidP="00B30920">
            <w:pPr>
              <w:pStyle w:val="Default"/>
              <w:spacing w:line="480" w:lineRule="auto"/>
              <w:jc w:val="both"/>
              <w:rPr>
                <w:rFonts w:ascii="Times New Roman" w:hAnsi="Times New Roman" w:cs="Times New Roman"/>
                <w:i/>
                <w:color w:val="000000" w:themeColor="text1"/>
                <w:sz w:val="22"/>
                <w:szCs w:val="22"/>
              </w:rPr>
            </w:pPr>
            <w:r w:rsidRPr="00797C94">
              <w:rPr>
                <w:rFonts w:ascii="Times New Roman" w:eastAsiaTheme="majorEastAsia" w:hAnsi="Times New Roman" w:cs="Times New Roman"/>
                <w:bCs/>
                <w:i/>
                <w:iCs/>
                <w:color w:val="000000" w:themeColor="text1"/>
                <w:sz w:val="22"/>
                <w:szCs w:val="22"/>
                <w:lang w:eastAsia="ar-SA"/>
              </w:rPr>
              <w:t>“S(He) needs to look at her face and observe her, not hesitate to talk, approach her without prejudice, approach her level of education without prejudice or make an assessment according to her socioeconomic level, but he needs to use this for correct communication, not for judgment.” (Female, Lecturer, K19)</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Expert/Scientifically Competent</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"So, from the very beginning, there should be physicians whose knowledge can be trusted so that they can distinguish right from wrong. Technically, s(he) must have achieved sufficient confidence in himself/herself, first of all." (Female, Lecturer, K17).</w:t>
            </w:r>
          </w:p>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“It is necessary to have access to up-to-date and accurate resources on the subject in order for the physician to convey accurate information to both himself/herself and his/her patients.” (Female, Assistant Professor, K14)</w:t>
            </w:r>
          </w:p>
        </w:tc>
      </w:tr>
      <w:tr w:rsidR="00B30920" w:rsidRPr="00797C94" w:rsidTr="00B30920">
        <w:trPr>
          <w:cantSplit/>
          <w:trHeight w:val="1085"/>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Educator/Knowledge Sharer</w:t>
            </w:r>
          </w:p>
        </w:tc>
        <w:tc>
          <w:tcPr>
            <w:tcW w:w="9196" w:type="dxa"/>
            <w:shd w:val="clear" w:color="auto" w:fill="auto"/>
          </w:tcPr>
          <w:p w:rsidR="00B30920" w:rsidRPr="00797C94" w:rsidRDefault="00B30920" w:rsidP="00B30920">
            <w:pPr>
              <w:spacing w:before="120" w:after="120" w:line="480" w:lineRule="auto"/>
              <w:ind w:right="72"/>
              <w:jc w:val="both"/>
              <w:rPr>
                <w:rFonts w:eastAsiaTheme="majorEastAsia"/>
                <w:bCs/>
                <w:i/>
                <w:iCs/>
                <w:color w:val="000000" w:themeColor="text1"/>
                <w:sz w:val="22"/>
                <w:szCs w:val="22"/>
                <w:lang w:eastAsia="ar-SA"/>
              </w:rPr>
            </w:pPr>
            <w:r w:rsidRPr="00797C94">
              <w:rPr>
                <w:rFonts w:eastAsiaTheme="majorEastAsia"/>
                <w:bCs/>
                <w:i/>
                <w:iCs/>
                <w:color w:val="000000" w:themeColor="text1"/>
                <w:sz w:val="22"/>
                <w:szCs w:val="22"/>
                <w:lang w:eastAsia="ar-SA"/>
              </w:rPr>
              <w:t>“I believe that a medical school graduate should be a communicator, a health advocate, and also an educator. Because no matter what the area of ​​expertise is, s(he) can actually structure education.” (Male, Professor, K10)</w:t>
            </w:r>
          </w:p>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"Look, how will s(he) explain it to a ten-year-old patient, how will s(he) explain it to a ten-year-old child, how will s(he) explain it to a fifty-year-old, simulation can do this,  how will s(he) explain it to an eighty-year-old person who has no knowledge of technology? It is a creation based on the health literacy level of different age groups and different education levels."(Female, Lecturer, K19).</w:t>
            </w:r>
          </w:p>
        </w:tc>
      </w:tr>
      <w:tr w:rsidR="00B30920" w:rsidRPr="00797C94" w:rsidTr="00B30920">
        <w:trPr>
          <w:cantSplit/>
          <w:trHeight w:val="230"/>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Ethical Practitioner</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“I think s(he) should adopt an approach that is openmind, honest, transparent and of course in accordance with ethical values.” (Male, Professor, K12)</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Team Member</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“I may be older in terms of age and status, but we are equal. I must be able to coordinate with nurses, operating room technicians, etc. (Female, Associate Professor, K4)</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Self-Reflective and Open to Development</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“First of all, a person needs to go back and evaluate themselves, at the end of that day, at the end of that session, at the end of that meeting, you need to think about what you might have done wrong or missing. When we are people who can accept our mistakes, we can easily make up for them, our irreversible mistakes are few, much less than we think. Mistakes related to communication can be made up for right away when we communicate again, first of all, we need to learn to look at ourselves with a more critical perspective.” (Female, Assistant Professor, K18)</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Culturally Competent and Community-Oriented</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Students may come from different family backgrounds, and understanding society can be very challenging for them." (Female, Associate Professor, K2)</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Health Advocator</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"It’s not about doctors who follow the 'this is how it’s always been' mindset, but about students striving to make a difference. I believe those involved in such efforts won’t stand alone. Whether politicians or healthcare organizers, we are dealing with an unsustainable healthcare system." (Male, Professor, K10)</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Professional</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"I believe one must first love people. Physicians need to love people; once they do, everything they do becomes exceptional. From what I’ve observed in good doctors, they are excellent at questioning, enjoy, so plan the next steps meticulously, and explain the situation to patients in detail and in a language they can understand. This is what I see in good doctors." (Female, Professor, K11)</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Efficient Time Manager</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“We are unable to teach medical students the time management skills needed to handle 150 patients a day. We also fail to instill in the physician candidatesthe ability to manage time effectively for building trust, communicating with patients, listening to their concerns, and addressing their issues." (Male, Lecturer, K20)</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Health Literacy Assessor</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"I believe a physician should possess the ability to assess a patient’s health literacy; this should be an acquired skill. Moreover, it is essential to ensure that the answers they provide are perceived and understood by the patient." (Male, Associate Professor, K8)</w:t>
            </w:r>
          </w:p>
        </w:tc>
      </w:tr>
      <w:tr w:rsidR="00B30920" w:rsidRPr="00797C94" w:rsidTr="00B30920">
        <w:trPr>
          <w:cantSplit/>
          <w:trHeight w:val="558"/>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Leader</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"When we talk about the essential qualities a doctor should have, leadership stands out. There’s also collaboration, the ability to work in harmony and support one another effectively." (Male, Lecturer, K20)</w:t>
            </w:r>
          </w:p>
        </w:tc>
      </w:tr>
      <w:tr w:rsidR="00B30920" w:rsidRPr="00797C94" w:rsidTr="00B30920">
        <w:trPr>
          <w:cantSplit/>
          <w:trHeight w:val="561"/>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val="restart"/>
            <w:tcBorders>
              <w:right w:val="single" w:sz="4" w:space="0" w:color="auto"/>
            </w:tcBorders>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Content</w:t>
            </w: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Communication in Difficult Situations</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"Our patient group (neurology) is a very challenging one; they will spend their lives on those medications or in a wheelchair. Being able to explain this and manage the process is crucial. For example, how to communicate a treatment plan to the patient is very important." (Female, Associate Professor, K9)</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Effective Communication Skills</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 xml:space="preserve">"Feedback and reflection are crucial. Communication skills should include the ability to reflect what we receive from the patient back to them, as well as ensuring the patient understands what we convey to them." (Female, Assistant Professor, K18) </w:t>
            </w:r>
          </w:p>
          <w:p w:rsidR="00B30920" w:rsidRPr="00797C94" w:rsidRDefault="00B30920" w:rsidP="00B30920">
            <w:pPr>
              <w:pStyle w:val="Default"/>
              <w:spacing w:line="480" w:lineRule="auto"/>
              <w:jc w:val="both"/>
              <w:rPr>
                <w:rFonts w:ascii="Times New Roman" w:eastAsiaTheme="majorEastAsia" w:hAnsi="Times New Roman" w:cs="Times New Roman"/>
                <w:bCs/>
                <w:color w:val="000000" w:themeColor="text1"/>
                <w:sz w:val="22"/>
                <w:szCs w:val="22"/>
                <w:highlight w:val="yellow"/>
                <w:lang w:eastAsia="ar-SA"/>
              </w:rPr>
            </w:pPr>
            <w:r w:rsidRPr="00797C94">
              <w:rPr>
                <w:rFonts w:ascii="Times New Roman" w:eastAsiaTheme="majorEastAsia" w:hAnsi="Times New Roman" w:cs="Times New Roman"/>
                <w:bCs/>
                <w:i/>
                <w:iCs/>
                <w:color w:val="000000" w:themeColor="text1"/>
                <w:sz w:val="22"/>
                <w:szCs w:val="22"/>
                <w:lang w:eastAsia="ar-SA"/>
              </w:rPr>
              <w:t>"The first thing they need to learn as doctors is not to keep talking and explaining but to focus on understanding what the person in front of them is saying. You know, when you talk for an hour, the patient might leave the room with a blank stare." (Female, Associate Professor, K2)</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Medical Sociology</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color w:val="000000" w:themeColor="text1"/>
                <w:sz w:val="22"/>
                <w:szCs w:val="22"/>
                <w:highlight w:val="yellow"/>
                <w:lang w:eastAsia="ar-SA"/>
              </w:rPr>
            </w:pPr>
            <w:r w:rsidRPr="00797C94">
              <w:rPr>
                <w:rFonts w:ascii="Times New Roman" w:eastAsiaTheme="majorEastAsia" w:hAnsi="Times New Roman" w:cs="Times New Roman"/>
                <w:bCs/>
                <w:i/>
                <w:iCs/>
                <w:color w:val="000000" w:themeColor="text1"/>
                <w:sz w:val="22"/>
                <w:szCs w:val="22"/>
                <w:lang w:eastAsia="ar-SA"/>
              </w:rPr>
              <w:t>"One of my biggest challenges was when I moved from Ankara to another city and heard organ names being used differently. I hadn’t heard these terms in my family or in school but encountered them in the field, and I didn’t understand. I even asked, 'Where is that?' Could there be a course on this?" (Male, Assistant Professor, K15)</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Importance of Health Literacy</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color w:val="000000" w:themeColor="text1"/>
                <w:sz w:val="22"/>
                <w:szCs w:val="22"/>
                <w:highlight w:val="yellow"/>
                <w:lang w:eastAsia="ar-SA"/>
              </w:rPr>
            </w:pPr>
            <w:r w:rsidRPr="00797C94">
              <w:rPr>
                <w:rFonts w:ascii="Times New Roman" w:eastAsiaTheme="majorEastAsia" w:hAnsi="Times New Roman" w:cs="Times New Roman"/>
                <w:bCs/>
                <w:i/>
                <w:iCs/>
                <w:color w:val="000000" w:themeColor="text1"/>
                <w:sz w:val="22"/>
                <w:szCs w:val="22"/>
                <w:lang w:eastAsia="ar-SA"/>
              </w:rPr>
              <w:t>"I think we need to start by explaining the importance of health literacy—why it matters." (Female, Professor, K3)</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Health Literacy Assessment Methods</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color w:val="000000" w:themeColor="text1"/>
                <w:sz w:val="22"/>
                <w:szCs w:val="22"/>
                <w:highlight w:val="yellow"/>
                <w:lang w:eastAsia="ar-SA"/>
              </w:rPr>
            </w:pPr>
            <w:r w:rsidRPr="00797C94">
              <w:rPr>
                <w:rFonts w:ascii="Times New Roman" w:eastAsiaTheme="majorEastAsia" w:hAnsi="Times New Roman" w:cs="Times New Roman"/>
                <w:bCs/>
                <w:i/>
                <w:iCs/>
                <w:color w:val="000000" w:themeColor="text1"/>
                <w:sz w:val="22"/>
                <w:szCs w:val="22"/>
                <w:lang w:eastAsia="ar-SA"/>
              </w:rPr>
              <w:t>"First of all, it’s important to improve our skills in determining patients’ health literacy levels. What are the methods to assess this? What do we understand by health literacy? A foundational course on this is necessary." (Female, Assistant Professor, K18)</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Psychology</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color w:val="000000" w:themeColor="text1"/>
                <w:sz w:val="22"/>
                <w:szCs w:val="22"/>
                <w:highlight w:val="yellow"/>
                <w:lang w:eastAsia="ar-SA"/>
              </w:rPr>
            </w:pPr>
            <w:r w:rsidRPr="00797C94">
              <w:rPr>
                <w:rFonts w:ascii="Times New Roman" w:eastAsiaTheme="majorEastAsia" w:hAnsi="Times New Roman" w:cs="Times New Roman"/>
                <w:bCs/>
                <w:i/>
                <w:iCs/>
                <w:color w:val="000000" w:themeColor="text1"/>
                <w:sz w:val="22"/>
                <w:szCs w:val="22"/>
                <w:lang w:eastAsia="ar-SA"/>
              </w:rPr>
              <w:t>"Life itself is about understanding human psychology. Medical school already involves intense learning about diseases and treatments, but even medications change over time. What truly needs to be taught is the essence of understanding humanity." (Female, Associate Professor, K2)</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Crisis Management</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color w:val="000000" w:themeColor="text1"/>
                <w:sz w:val="22"/>
                <w:szCs w:val="22"/>
                <w:highlight w:val="yellow"/>
                <w:lang w:eastAsia="ar-SA"/>
              </w:rPr>
            </w:pPr>
            <w:r w:rsidRPr="00797C94">
              <w:rPr>
                <w:rFonts w:ascii="Times New Roman" w:eastAsiaTheme="majorEastAsia" w:hAnsi="Times New Roman" w:cs="Times New Roman"/>
                <w:bCs/>
                <w:i/>
                <w:iCs/>
                <w:color w:val="000000" w:themeColor="text1"/>
                <w:sz w:val="22"/>
                <w:szCs w:val="22"/>
                <w:lang w:eastAsia="ar-SA"/>
              </w:rPr>
              <w:t>"When faced with violence or before it happens, how to de-escalate a situation, manage the process, and handle patients and their relatives in emergency departments—these are critical. These students might work in emergency services or during compulsory service, yet they are unprepared. They rely solely on their personal skills and traits to cope." (Female, Associate Professor, K2)</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auto"/>
                <w:sz w:val="22"/>
                <w:szCs w:val="22"/>
                <w:lang w:eastAsia="ar-SA"/>
              </w:rPr>
            </w:pPr>
            <w:r w:rsidRPr="00797C94">
              <w:rPr>
                <w:rFonts w:ascii="Times New Roman" w:eastAsiaTheme="majorEastAsia" w:hAnsi="Times New Roman" w:cs="Times New Roman"/>
                <w:bCs/>
                <w:color w:val="auto"/>
                <w:sz w:val="22"/>
                <w:szCs w:val="22"/>
                <w:lang w:eastAsia="ar-SA"/>
              </w:rPr>
              <w:t>Time management</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auto"/>
                <w:sz w:val="22"/>
                <w:szCs w:val="22"/>
                <w:lang w:eastAsia="ar-SA"/>
              </w:rPr>
            </w:pPr>
            <w:r w:rsidRPr="00797C94">
              <w:rPr>
                <w:rFonts w:ascii="Times New Roman" w:eastAsiaTheme="majorEastAsia" w:hAnsi="Times New Roman" w:cs="Times New Roman"/>
                <w:bCs/>
                <w:i/>
                <w:iCs/>
                <w:color w:val="auto"/>
                <w:sz w:val="22"/>
                <w:szCs w:val="22"/>
                <w:lang w:eastAsia="ar-SA"/>
              </w:rPr>
              <w:t>“Let me list them in order of importance: communication, methods of accessing the right information source, time management and collaboration management.” (Male, Lecturer, K20)</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Common Health Problems</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"What are the priorities in healthcare? Which diseases affect society the most? What are the most common illnesses?" (Female, Professor, K11)</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Stress Management</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"We know that in practical applications, especially in surgery, most errors are related to non-technical skills such as stress management, time management, teamwork adaptability, and emotional state." (Male, Professor, K12)</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Health Literacy Assessor</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"Sometimes I receive messages like, 'This product is said to be effective against cancer. Can we use this pill?' These things happen frequently. In the age of social media and the internet, how should a physician deal with such situations? Strategies need to be developed for managing these issues both at an individual patient level and at a societal level." (Male, Lecturer, K1)</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Informed Consent</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"The importance of patient education can be emphasized. Informed consent is another critical topic, and it should be highlighted as an essential goal in improving health literacy." (Female, Professor, K3)</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Facilitating Patient Engagement</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"Patient-centered care, which involves engaging patients in the process, is very important. It’s often mentioned briefly, but it needs to be communicated effectively. The main factor here is communication, but the second is involving patients in the process, which is a skill that requires specific training." (Female, Assistant Professor, K14)</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Health Prevention</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"We are primarily trained to avoid harm, but we lack education focused on preserving and maintaining what is already good." (Female, Assistant Professor, K18)</w:t>
            </w:r>
          </w:p>
        </w:tc>
      </w:tr>
      <w:tr w:rsidR="00B30920" w:rsidRPr="00797C94" w:rsidTr="00B30920">
        <w:trPr>
          <w:cantSplit/>
          <w:trHeight w:val="114"/>
        </w:trPr>
        <w:tc>
          <w:tcPr>
            <w:tcW w:w="1129" w:type="dxa"/>
            <w:vMerge/>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Social Accountability/Responsibility</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"Health advocacy is closely tied to the concept of accountability. This has been a significant topic in recent years, one to which we have tried to contribute. While this concept is institutionally defined for medical schools, I believe accountability is incredibly important. A transparent medical school program, with clear outcomes and involvement in social responsibility projects that prioritize public benefit, is crucial for medical education." (Male, Professor, K10)</w:t>
            </w:r>
          </w:p>
        </w:tc>
      </w:tr>
      <w:tr w:rsidR="00B30920" w:rsidRPr="00797C94" w:rsidTr="00B30920">
        <w:trPr>
          <w:trHeight w:val="978"/>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val="restart"/>
            <w:tcBorders>
              <w:right w:val="single" w:sz="4" w:space="0" w:color="auto"/>
            </w:tcBorders>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Teaching Methods and Techniques</w:t>
            </w: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Small Group Activities</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 xml:space="preserve">"I think we need to include more real-life experiences because they are highly motivating. Difficult patient scenarios can be diversified, perhaps through role-playing, theatrical enactments, or simulations." (Male, Lecturer, K1) </w:t>
            </w:r>
          </w:p>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"Case-based learning, but with high-quality feedback that doesn’t hinder creativity, offers flexible options, and avoids standardizing everyone. It should also provide opportunities for diversity and richness." (Male, Professor, K10)</w:t>
            </w:r>
          </w:p>
        </w:tc>
      </w:tr>
      <w:tr w:rsidR="00B30920" w:rsidRPr="00797C94" w:rsidTr="00B30920">
        <w:trPr>
          <w:trHeight w:val="82"/>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Clinical Practices</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"The most effective experience comes from being directly in the field. I believe the most valuable learning happens this way… increasing patient interaction and contact." (Female, Assistant Professor, K17)</w:t>
            </w:r>
          </w:p>
        </w:tc>
      </w:tr>
      <w:tr w:rsidR="00B30920" w:rsidRPr="00797C94" w:rsidTr="00B30920">
        <w:trPr>
          <w:trHeight w:val="82"/>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Community Education</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"Students can contribute to their communities in this regard (health literacy), right? They can provide information about how often one should visit a doctor, starting with family physicians, and the importance of regular health check-ups." (Female, Professor, K11)</w:t>
            </w:r>
          </w:p>
        </w:tc>
      </w:tr>
      <w:tr w:rsidR="00B30920" w:rsidRPr="00797C94" w:rsidTr="00B30920">
        <w:trPr>
          <w:trHeight w:val="82"/>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Extracurricular Activities</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"There are interest groups… If there are students interested in health communication, it would be beneficial to establish an interest group and continue working on it." (Male, Associate Professor, K7)</w:t>
            </w:r>
          </w:p>
        </w:tc>
      </w:tr>
      <w:tr w:rsidR="00B30920" w:rsidRPr="00797C94" w:rsidTr="00B30920">
        <w:trPr>
          <w:trHeight w:val="82"/>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Large Group Activities</w:t>
            </w:r>
          </w:p>
        </w:tc>
        <w:tc>
          <w:tcPr>
            <w:tcW w:w="9196" w:type="dxa"/>
            <w:shd w:val="clear" w:color="auto" w:fill="auto"/>
          </w:tcPr>
          <w:p w:rsidR="00B30920" w:rsidRPr="00797C94" w:rsidRDefault="00B30920" w:rsidP="00B30920">
            <w:pPr>
              <w:pStyle w:val="Default"/>
              <w:spacing w:line="480" w:lineRule="auto"/>
              <w:jc w:val="both"/>
              <w:rPr>
                <w:rFonts w:ascii="Times New Roman" w:eastAsiaTheme="majorEastAsia" w:hAnsi="Times New Roman" w:cs="Times New Roman"/>
                <w:bCs/>
                <w:i/>
                <w:iCs/>
                <w:color w:val="000000" w:themeColor="text1"/>
                <w:sz w:val="22"/>
                <w:szCs w:val="22"/>
                <w:lang w:eastAsia="ar-SA"/>
              </w:rPr>
            </w:pPr>
            <w:r w:rsidRPr="00797C94">
              <w:rPr>
                <w:rFonts w:ascii="Times New Roman" w:eastAsiaTheme="majorEastAsia" w:hAnsi="Times New Roman" w:cs="Times New Roman"/>
                <w:bCs/>
                <w:i/>
                <w:iCs/>
                <w:color w:val="000000" w:themeColor="text1"/>
                <w:sz w:val="22"/>
                <w:szCs w:val="22"/>
                <w:lang w:eastAsia="ar-SA"/>
              </w:rPr>
              <w:t>"Theoretical knowledge is essential, and the definition and required actions should be presented theoretically, but there must also be patient practice." (Female, Assistant Professor, K14)</w:t>
            </w:r>
          </w:p>
        </w:tc>
      </w:tr>
      <w:tr w:rsidR="00B30920" w:rsidRPr="00797C94" w:rsidTr="00B30920">
        <w:trPr>
          <w:trHeight w:val="797"/>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val="restart"/>
            <w:tcBorders>
              <w:right w:val="single" w:sz="4" w:space="0" w:color="auto"/>
            </w:tcBorders>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Assessment and Evaluation</w:t>
            </w:r>
          </w:p>
        </w:tc>
        <w:tc>
          <w:tcPr>
            <w:tcW w:w="2126" w:type="dxa"/>
            <w:tcBorders>
              <w:left w:val="single" w:sz="4" w:space="0" w:color="auto"/>
            </w:tcBorders>
            <w:shd w:val="clear" w:color="auto" w:fill="auto"/>
            <w:vAlign w:val="center"/>
          </w:tcPr>
          <w:p w:rsidR="00B30920" w:rsidRPr="00797C94" w:rsidRDefault="00B30920" w:rsidP="00B30920">
            <w:pPr>
              <w:spacing w:before="120" w:after="120" w:line="480" w:lineRule="auto"/>
              <w:ind w:right="72"/>
              <w:rPr>
                <w:rFonts w:eastAsiaTheme="majorEastAsia"/>
                <w:bCs/>
                <w:color w:val="000000" w:themeColor="text1"/>
                <w:sz w:val="22"/>
                <w:szCs w:val="22"/>
                <w:lang w:eastAsia="ar-SA"/>
              </w:rPr>
            </w:pPr>
            <w:r w:rsidRPr="00797C94">
              <w:rPr>
                <w:rFonts w:eastAsiaTheme="majorEastAsia"/>
                <w:bCs/>
                <w:color w:val="000000" w:themeColor="text1"/>
                <w:sz w:val="22"/>
                <w:szCs w:val="22"/>
                <w:lang w:eastAsia="ar-SA"/>
              </w:rPr>
              <w:t>Performance Assessment/Direct Observation</w:t>
            </w:r>
          </w:p>
        </w:tc>
        <w:tc>
          <w:tcPr>
            <w:tcW w:w="9196" w:type="dxa"/>
            <w:shd w:val="clear" w:color="auto" w:fill="auto"/>
          </w:tcPr>
          <w:p w:rsidR="00B30920" w:rsidRPr="00797C94" w:rsidRDefault="00B30920" w:rsidP="00B30920">
            <w:pPr>
              <w:spacing w:before="120" w:after="120" w:line="480" w:lineRule="auto"/>
              <w:ind w:right="72"/>
              <w:jc w:val="both"/>
              <w:rPr>
                <w:rFonts w:eastAsiaTheme="majorEastAsia"/>
                <w:bCs/>
                <w:i/>
                <w:iCs/>
                <w:color w:val="000000" w:themeColor="text1"/>
                <w:sz w:val="22"/>
                <w:szCs w:val="22"/>
                <w:lang w:eastAsia="ar-SA"/>
              </w:rPr>
            </w:pPr>
            <w:r w:rsidRPr="00797C94">
              <w:rPr>
                <w:rFonts w:eastAsiaTheme="majorEastAsia"/>
                <w:bCs/>
                <w:i/>
                <w:iCs/>
                <w:color w:val="000000" w:themeColor="text1"/>
                <w:sz w:val="22"/>
                <w:szCs w:val="22"/>
                <w:lang w:eastAsia="ar-SA"/>
              </w:rPr>
              <w:t>"Perhaps this is the hardest question—what can truly be done? Observing in practical processes, especially bedside evaluations, is undoubtedly important." (Male, Associate Professor, K8)</w:t>
            </w:r>
          </w:p>
        </w:tc>
      </w:tr>
      <w:tr w:rsidR="00B30920" w:rsidRPr="00797C94" w:rsidTr="00B30920">
        <w:trPr>
          <w:trHeight w:val="983"/>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­Process/Formative Assessment</w:t>
            </w:r>
          </w:p>
        </w:tc>
        <w:tc>
          <w:tcPr>
            <w:tcW w:w="9196" w:type="dxa"/>
            <w:shd w:val="clear" w:color="auto" w:fill="auto"/>
          </w:tcPr>
          <w:p w:rsidR="00B30920" w:rsidRPr="00797C94" w:rsidRDefault="00B30920" w:rsidP="00B30920">
            <w:pPr>
              <w:spacing w:before="120" w:after="120" w:line="480" w:lineRule="auto"/>
              <w:ind w:right="72"/>
              <w:jc w:val="both"/>
              <w:rPr>
                <w:rFonts w:eastAsiaTheme="majorEastAsia"/>
                <w:bCs/>
                <w:i/>
                <w:iCs/>
                <w:color w:val="000000" w:themeColor="text1"/>
                <w:sz w:val="22"/>
                <w:szCs w:val="22"/>
                <w:lang w:eastAsia="ar-SA"/>
              </w:rPr>
            </w:pPr>
            <w:r w:rsidRPr="00797C94">
              <w:rPr>
                <w:rFonts w:eastAsiaTheme="majorEastAsia"/>
                <w:bCs/>
                <w:i/>
                <w:iCs/>
                <w:color w:val="000000" w:themeColor="text1"/>
                <w:sz w:val="22"/>
                <w:szCs w:val="22"/>
                <w:lang w:eastAsia="ar-SA"/>
              </w:rPr>
              <w:t xml:space="preserve">"High-quality feedback… Peer evaluations of situations are much more valuable." (Male, Professor, K10) </w:t>
            </w:r>
          </w:p>
          <w:p w:rsidR="00B30920" w:rsidRPr="00797C94" w:rsidRDefault="00B30920" w:rsidP="00B30920">
            <w:pPr>
              <w:spacing w:before="120" w:after="120" w:line="480" w:lineRule="auto"/>
              <w:ind w:right="72"/>
              <w:jc w:val="both"/>
              <w:rPr>
                <w:rFonts w:eastAsiaTheme="majorEastAsia"/>
                <w:bCs/>
                <w:i/>
                <w:iCs/>
                <w:color w:val="000000" w:themeColor="text1"/>
                <w:sz w:val="22"/>
                <w:szCs w:val="22"/>
                <w:lang w:eastAsia="ar-SA"/>
              </w:rPr>
            </w:pPr>
            <w:r w:rsidRPr="00797C94">
              <w:rPr>
                <w:rFonts w:eastAsiaTheme="majorEastAsia"/>
                <w:bCs/>
                <w:i/>
                <w:iCs/>
                <w:color w:val="000000" w:themeColor="text1"/>
                <w:sz w:val="22"/>
                <w:szCs w:val="22"/>
                <w:lang w:eastAsia="ar-SA"/>
              </w:rPr>
              <w:t>"Patients and their relatives, as well as those they will interact with, can be determined in advance. Questions can be asked to assess health literacy, and others can write their thoughts, such as ‘If I were in this situation, I would say this or that.’ This could be an assignment." (Female, Lecturer, K16)</w:t>
            </w:r>
          </w:p>
        </w:tc>
      </w:tr>
      <w:tr w:rsidR="00B30920" w:rsidRPr="00797C94" w:rsidTr="00B30920">
        <w:trPr>
          <w:trHeight w:val="64"/>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hAnsi="Times New Roman" w:cs="Times New Roman"/>
                <w:i/>
                <w:color w:val="000000" w:themeColor="text1"/>
                <w:sz w:val="22"/>
                <w:szCs w:val="22"/>
                <w:highlight w:val="yellow"/>
              </w:rPr>
            </w:pPr>
            <w:r w:rsidRPr="00797C94">
              <w:rPr>
                <w:rFonts w:ascii="Times New Roman" w:eastAsiaTheme="majorEastAsia" w:hAnsi="Times New Roman" w:cs="Times New Roman"/>
                <w:bCs/>
                <w:color w:val="000000" w:themeColor="text1"/>
                <w:sz w:val="22"/>
                <w:szCs w:val="22"/>
                <w:lang w:eastAsia="ar-SA"/>
              </w:rPr>
              <w:t>Simulation</w:t>
            </w:r>
          </w:p>
        </w:tc>
        <w:tc>
          <w:tcPr>
            <w:tcW w:w="9196" w:type="dxa"/>
            <w:shd w:val="clear" w:color="auto" w:fill="auto"/>
          </w:tcPr>
          <w:p w:rsidR="00B30920" w:rsidRPr="00797C94" w:rsidRDefault="00B30920" w:rsidP="00B30920">
            <w:pPr>
              <w:spacing w:before="120" w:after="120" w:line="480" w:lineRule="auto"/>
              <w:ind w:right="72"/>
              <w:jc w:val="both"/>
              <w:rPr>
                <w:i/>
                <w:color w:val="000000" w:themeColor="text1"/>
                <w:sz w:val="22"/>
                <w:szCs w:val="22"/>
                <w:highlight w:val="yellow"/>
              </w:rPr>
            </w:pPr>
            <w:r w:rsidRPr="00797C94">
              <w:rPr>
                <w:i/>
                <w:color w:val="000000" w:themeColor="text1"/>
                <w:sz w:val="22"/>
                <w:szCs w:val="22"/>
              </w:rPr>
              <w:t>"I think the best approach is training through simulation and conducting exams via simulation as well." (Female, Associate Professor, K4)</w:t>
            </w:r>
          </w:p>
        </w:tc>
      </w:tr>
      <w:tr w:rsidR="00B30920" w:rsidRPr="00797C94" w:rsidTr="00B30920">
        <w:trPr>
          <w:trHeight w:val="64"/>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Peer Assessment</w:t>
            </w:r>
          </w:p>
        </w:tc>
        <w:tc>
          <w:tcPr>
            <w:tcW w:w="9196" w:type="dxa"/>
            <w:shd w:val="clear" w:color="auto" w:fill="auto"/>
          </w:tcPr>
          <w:p w:rsidR="00B30920" w:rsidRPr="00797C94" w:rsidRDefault="00B30920" w:rsidP="00B30920">
            <w:pPr>
              <w:spacing w:before="120" w:after="120" w:line="480" w:lineRule="auto"/>
              <w:ind w:right="72"/>
              <w:jc w:val="both"/>
              <w:rPr>
                <w:i/>
                <w:color w:val="000000" w:themeColor="text1"/>
                <w:sz w:val="22"/>
                <w:szCs w:val="22"/>
              </w:rPr>
            </w:pPr>
            <w:r w:rsidRPr="00797C94">
              <w:rPr>
                <w:i/>
                <w:color w:val="000000" w:themeColor="text1"/>
                <w:sz w:val="22"/>
                <w:szCs w:val="22"/>
              </w:rPr>
              <w:t>"Peers should also be included in this process. By peers, I don’t just mean fourth-year interns with other fourth-year interns, but also interns working with senior students, like final-year clerks." (Male, Professor, K10)</w:t>
            </w:r>
          </w:p>
        </w:tc>
      </w:tr>
      <w:tr w:rsidR="00B30920" w:rsidRPr="00797C94" w:rsidTr="00B30920">
        <w:trPr>
          <w:trHeight w:val="64"/>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Practical Skill Examinations</w:t>
            </w:r>
          </w:p>
        </w:tc>
        <w:tc>
          <w:tcPr>
            <w:tcW w:w="9196" w:type="dxa"/>
            <w:shd w:val="clear" w:color="auto" w:fill="auto"/>
          </w:tcPr>
          <w:p w:rsidR="00B30920" w:rsidRPr="00797C94" w:rsidRDefault="00B30920" w:rsidP="00B30920">
            <w:pPr>
              <w:spacing w:before="120" w:after="120" w:line="480" w:lineRule="auto"/>
              <w:ind w:right="72"/>
              <w:jc w:val="both"/>
              <w:rPr>
                <w:i/>
                <w:color w:val="000000" w:themeColor="text1"/>
                <w:sz w:val="22"/>
                <w:szCs w:val="22"/>
              </w:rPr>
            </w:pPr>
            <w:r w:rsidRPr="00797C94">
              <w:rPr>
                <w:i/>
                <w:color w:val="000000" w:themeColor="text1"/>
                <w:sz w:val="22"/>
                <w:szCs w:val="22"/>
              </w:rPr>
              <w:t>"One idea that comes to mind is confronting students with challenging real-life scenarios or examples of situations that are difficult in daily life and observing how they manage or resolve them. This could be similar to what we do in OSCE exams, but how to standardize or score their responses? It’s challenging because there’s no single correct answer." (Female, Assistant Professor, K17)</w:t>
            </w:r>
          </w:p>
        </w:tc>
      </w:tr>
      <w:tr w:rsidR="00B30920" w:rsidRPr="00797C94" w:rsidTr="00B30920">
        <w:trPr>
          <w:trHeight w:val="64"/>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Self-Assessment</w:t>
            </w:r>
          </w:p>
        </w:tc>
        <w:tc>
          <w:tcPr>
            <w:tcW w:w="9196" w:type="dxa"/>
            <w:shd w:val="clear" w:color="auto" w:fill="auto"/>
          </w:tcPr>
          <w:p w:rsidR="00B30920" w:rsidRPr="00797C94" w:rsidRDefault="00B30920" w:rsidP="00B30920">
            <w:pPr>
              <w:spacing w:before="120" w:after="120" w:line="480" w:lineRule="auto"/>
              <w:ind w:right="72"/>
              <w:jc w:val="both"/>
              <w:rPr>
                <w:i/>
                <w:color w:val="000000" w:themeColor="text1"/>
                <w:sz w:val="22"/>
                <w:szCs w:val="22"/>
              </w:rPr>
            </w:pPr>
            <w:r w:rsidRPr="00797C94">
              <w:rPr>
                <w:i/>
                <w:color w:val="000000" w:themeColor="text1"/>
                <w:sz w:val="22"/>
                <w:szCs w:val="22"/>
              </w:rPr>
              <w:t>"We could ask for self-assessment. If we want to teach a skill, that skill must truly be internalized and adopted. For this kind of assessment, either they need to have self-critique skills, or they need to be open to receiving feedback from others. This isn’t about competition or outperforming others; it’s about elevating oneself." (Male, Professor, K7)</w:t>
            </w:r>
          </w:p>
        </w:tc>
      </w:tr>
      <w:tr w:rsidR="00B30920" w:rsidRPr="00797C94" w:rsidTr="00B30920">
        <w:trPr>
          <w:trHeight w:val="51"/>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Cs/>
                <w:color w:val="000000" w:themeColor="text1"/>
                <w:sz w:val="22"/>
                <w:szCs w:val="22"/>
                <w:lang w:eastAsia="ar-SA"/>
              </w:rPr>
              <w:t>Theoretical Examination</w:t>
            </w:r>
          </w:p>
        </w:tc>
        <w:tc>
          <w:tcPr>
            <w:tcW w:w="9196" w:type="dxa"/>
            <w:shd w:val="clear" w:color="auto" w:fill="auto"/>
          </w:tcPr>
          <w:p w:rsidR="00B30920" w:rsidRPr="00797C94" w:rsidRDefault="00B30920" w:rsidP="00B30920">
            <w:pPr>
              <w:spacing w:before="120" w:after="120" w:line="480" w:lineRule="auto"/>
              <w:ind w:right="72"/>
              <w:jc w:val="both"/>
              <w:rPr>
                <w:i/>
                <w:color w:val="000000" w:themeColor="text1"/>
                <w:sz w:val="22"/>
                <w:szCs w:val="22"/>
                <w:highlight w:val="yellow"/>
              </w:rPr>
            </w:pPr>
            <w:r w:rsidRPr="00797C94">
              <w:rPr>
                <w:i/>
                <w:color w:val="000000" w:themeColor="text1"/>
                <w:sz w:val="22"/>
                <w:szCs w:val="22"/>
              </w:rPr>
              <w:t>"Theoretical knowledge is essential, but there should also be a practical exam after theory." (Female, Associate Professor, K4)</w:t>
            </w:r>
          </w:p>
        </w:tc>
      </w:tr>
      <w:tr w:rsidR="00B30920" w:rsidRPr="00797C94" w:rsidTr="00B30920">
        <w:trPr>
          <w:trHeight w:val="882"/>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val="restart"/>
            <w:tcBorders>
              <w:right w:val="single" w:sz="4" w:space="0" w:color="auto"/>
            </w:tcBorders>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The Role and Timing of Health Literacy (HL) in Medical Education Programs</w:t>
            </w:r>
          </w:p>
        </w:tc>
        <w:tc>
          <w:tcPr>
            <w:tcW w:w="2126" w:type="dxa"/>
            <w:tcBorders>
              <w:left w:val="single" w:sz="4" w:space="0" w:color="auto"/>
            </w:tcBorders>
            <w:shd w:val="clear" w:color="auto" w:fill="auto"/>
          </w:tcPr>
          <w:p w:rsidR="00B30920" w:rsidRPr="00797C94" w:rsidRDefault="00B30920" w:rsidP="00B30920">
            <w:pPr>
              <w:spacing w:line="480" w:lineRule="auto"/>
              <w:ind w:right="72"/>
              <w:rPr>
                <w:rFonts w:eastAsiaTheme="majorEastAsia"/>
                <w:bCs/>
                <w:color w:val="000000" w:themeColor="text1"/>
                <w:sz w:val="22"/>
                <w:szCs w:val="22"/>
                <w:lang w:eastAsia="ar-SA"/>
              </w:rPr>
            </w:pPr>
            <w:r w:rsidRPr="00797C94">
              <w:rPr>
                <w:rFonts w:eastAsiaTheme="majorEastAsia"/>
                <w:bCs/>
                <w:color w:val="000000" w:themeColor="text1"/>
                <w:sz w:val="22"/>
                <w:szCs w:val="22"/>
                <w:lang w:eastAsia="ar-SA"/>
              </w:rPr>
              <w:t>Structured Curriculum</w:t>
            </w:r>
          </w:p>
        </w:tc>
        <w:tc>
          <w:tcPr>
            <w:tcW w:w="9196" w:type="dxa"/>
            <w:shd w:val="clear" w:color="auto" w:fill="auto"/>
          </w:tcPr>
          <w:p w:rsidR="00B30920" w:rsidRPr="00797C94" w:rsidRDefault="00B30920" w:rsidP="00B30920">
            <w:pPr>
              <w:spacing w:line="480" w:lineRule="auto"/>
              <w:ind w:right="72"/>
              <w:jc w:val="both"/>
              <w:rPr>
                <w:rFonts w:eastAsiaTheme="majorEastAsia"/>
                <w:bCs/>
                <w:color w:val="000000" w:themeColor="text1"/>
                <w:sz w:val="22"/>
                <w:szCs w:val="22"/>
                <w:lang w:eastAsia="ar-SA"/>
              </w:rPr>
            </w:pPr>
            <w:r w:rsidRPr="00797C94">
              <w:rPr>
                <w:rFonts w:eastAsiaTheme="majorEastAsia"/>
                <w:bCs/>
                <w:i/>
                <w:iCs/>
                <w:color w:val="000000" w:themeColor="text1"/>
                <w:sz w:val="22"/>
                <w:szCs w:val="22"/>
                <w:lang w:eastAsia="ar-SA"/>
              </w:rPr>
              <w:t xml:space="preserve">"In my student years, learning was based on the master-apprentice relationship. You would take a role model as your guide since there wasn’t a standardized system. For example, how to obtain patient </w:t>
            </w:r>
            <w:r w:rsidRPr="00797C94">
              <w:rPr>
                <w:rFonts w:eastAsiaTheme="majorEastAsia"/>
                <w:bCs/>
                <w:i/>
                <w:iCs/>
                <w:color w:val="000000" w:themeColor="text1"/>
                <w:sz w:val="22"/>
                <w:szCs w:val="22"/>
                <w:lang w:eastAsia="ar-SA"/>
              </w:rPr>
              <w:lastRenderedPageBreak/>
              <w:t>consent, greet a patient, bid farewell, conduct an examination, suture, or wash hands. Showing standardized and correct examples in this regard is essential." (Female, Lecturer, K19)</w:t>
            </w:r>
          </w:p>
        </w:tc>
      </w:tr>
      <w:tr w:rsidR="00B30920" w:rsidRPr="00797C94" w:rsidTr="00B30920">
        <w:trPr>
          <w:trHeight w:val="276"/>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
                <w:color w:val="000000" w:themeColor="text1"/>
                <w:sz w:val="22"/>
                <w:szCs w:val="22"/>
                <w:lang w:eastAsia="ar-SA"/>
              </w:rPr>
            </w:pPr>
          </w:p>
        </w:tc>
        <w:tc>
          <w:tcPr>
            <w:tcW w:w="2126" w:type="dxa"/>
            <w:tcBorders>
              <w:left w:val="single" w:sz="4" w:space="0" w:color="auto"/>
            </w:tcBorders>
            <w:shd w:val="clear" w:color="auto" w:fill="auto"/>
            <w:vAlign w:val="center"/>
          </w:tcPr>
          <w:p w:rsidR="00B30920" w:rsidRPr="00797C94" w:rsidRDefault="00B30920" w:rsidP="00B30920">
            <w:pPr>
              <w:spacing w:line="480" w:lineRule="auto"/>
              <w:ind w:right="72"/>
              <w:rPr>
                <w:rFonts w:eastAsiaTheme="majorEastAsia"/>
                <w:bCs/>
                <w:color w:val="000000" w:themeColor="text1"/>
                <w:sz w:val="22"/>
                <w:szCs w:val="22"/>
                <w:lang w:eastAsia="ar-SA"/>
              </w:rPr>
            </w:pPr>
            <w:r w:rsidRPr="00797C94">
              <w:rPr>
                <w:rFonts w:eastAsiaTheme="majorEastAsia"/>
                <w:bCs/>
                <w:color w:val="000000" w:themeColor="text1"/>
                <w:sz w:val="22"/>
                <w:szCs w:val="22"/>
                <w:lang w:eastAsia="ar-SA"/>
              </w:rPr>
              <w:t>Vertically Integrated Curriculum</w:t>
            </w:r>
          </w:p>
        </w:tc>
        <w:tc>
          <w:tcPr>
            <w:tcW w:w="9196" w:type="dxa"/>
            <w:shd w:val="clear" w:color="auto" w:fill="auto"/>
          </w:tcPr>
          <w:p w:rsidR="00B30920" w:rsidRPr="00797C94" w:rsidRDefault="00B30920" w:rsidP="00B30920">
            <w:pPr>
              <w:spacing w:line="480" w:lineRule="auto"/>
              <w:ind w:right="72"/>
              <w:jc w:val="both"/>
              <w:rPr>
                <w:i/>
                <w:color w:val="000000" w:themeColor="text1"/>
                <w:sz w:val="22"/>
                <w:szCs w:val="22"/>
              </w:rPr>
            </w:pPr>
            <w:r w:rsidRPr="00797C94">
              <w:rPr>
                <w:i/>
                <w:color w:val="000000" w:themeColor="text1"/>
                <w:sz w:val="22"/>
                <w:szCs w:val="22"/>
              </w:rPr>
              <w:t xml:space="preserve">"Perhaps introducing students to hospital life at an early stage… There are students who do this with intrinsic interest, participating in summer internships. Their presence shouldn’t be seen as a burden for education, and they shouldn’t be made to feel like an unnecessary addition." (Female, Associate Professor, K2) </w:t>
            </w:r>
          </w:p>
          <w:p w:rsidR="00B30920" w:rsidRPr="00797C94" w:rsidRDefault="00B30920" w:rsidP="00B30920">
            <w:pPr>
              <w:spacing w:line="480" w:lineRule="auto"/>
              <w:ind w:right="72"/>
              <w:jc w:val="both"/>
              <w:rPr>
                <w:rFonts w:eastAsiaTheme="majorEastAsia"/>
                <w:bCs/>
                <w:color w:val="000000" w:themeColor="text1"/>
                <w:sz w:val="22"/>
                <w:szCs w:val="22"/>
                <w:lang w:eastAsia="ar-SA"/>
              </w:rPr>
            </w:pPr>
            <w:r w:rsidRPr="00797C94">
              <w:rPr>
                <w:i/>
                <w:color w:val="000000" w:themeColor="text1"/>
                <w:sz w:val="22"/>
                <w:szCs w:val="22"/>
              </w:rPr>
              <w:t>"This could be achieved with a role model or at least experienced in the field. In our education, under the internship program, we ensure that all fourth-year students experience an internship process alongside us." (Male, Associate Professor, K8)</w:t>
            </w:r>
          </w:p>
        </w:tc>
      </w:tr>
      <w:tr w:rsidR="00B30920" w:rsidRPr="00797C94" w:rsidTr="00B30920">
        <w:trPr>
          <w:trHeight w:val="534"/>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
                <w:color w:val="000000" w:themeColor="text1"/>
                <w:sz w:val="22"/>
                <w:szCs w:val="22"/>
                <w:lang w:eastAsia="ar-SA"/>
              </w:rPr>
            </w:pPr>
          </w:p>
        </w:tc>
        <w:tc>
          <w:tcPr>
            <w:tcW w:w="2126" w:type="dxa"/>
            <w:tcBorders>
              <w:left w:val="single" w:sz="4" w:space="0" w:color="auto"/>
            </w:tcBorders>
            <w:shd w:val="clear" w:color="auto" w:fill="auto"/>
          </w:tcPr>
          <w:p w:rsidR="00B30920" w:rsidRPr="00797C94" w:rsidRDefault="00B30920" w:rsidP="00B30920">
            <w:pPr>
              <w:spacing w:line="480" w:lineRule="auto"/>
              <w:ind w:right="72"/>
              <w:rPr>
                <w:rFonts w:eastAsiaTheme="majorEastAsia"/>
                <w:bCs/>
                <w:color w:val="000000" w:themeColor="text1"/>
                <w:sz w:val="22"/>
                <w:szCs w:val="22"/>
                <w:lang w:eastAsia="ar-SA"/>
              </w:rPr>
            </w:pPr>
            <w:r w:rsidRPr="00797C94">
              <w:rPr>
                <w:rFonts w:eastAsiaTheme="majorEastAsia"/>
                <w:bCs/>
                <w:color w:val="000000" w:themeColor="text1"/>
                <w:sz w:val="22"/>
                <w:szCs w:val="22"/>
                <w:lang w:eastAsia="ar-SA"/>
              </w:rPr>
              <w:t>Postgraduate Education</w:t>
            </w:r>
          </w:p>
        </w:tc>
        <w:tc>
          <w:tcPr>
            <w:tcW w:w="9196" w:type="dxa"/>
            <w:shd w:val="clear" w:color="auto" w:fill="auto"/>
          </w:tcPr>
          <w:p w:rsidR="00B30920" w:rsidRPr="00797C94" w:rsidRDefault="00B30920" w:rsidP="00B30920">
            <w:pPr>
              <w:spacing w:line="480" w:lineRule="auto"/>
              <w:ind w:right="72"/>
              <w:jc w:val="both"/>
              <w:rPr>
                <w:rFonts w:eastAsiaTheme="majorEastAsia"/>
                <w:bCs/>
                <w:i/>
                <w:iCs/>
                <w:color w:val="000000" w:themeColor="text1"/>
                <w:sz w:val="22"/>
                <w:szCs w:val="22"/>
                <w:lang w:eastAsia="ar-SA"/>
              </w:rPr>
            </w:pPr>
            <w:r w:rsidRPr="00797C94">
              <w:rPr>
                <w:rFonts w:eastAsiaTheme="majorEastAsia"/>
                <w:bCs/>
                <w:i/>
                <w:iCs/>
                <w:color w:val="000000" w:themeColor="text1"/>
                <w:sz w:val="22"/>
                <w:szCs w:val="22"/>
                <w:lang w:eastAsia="ar-SA"/>
              </w:rPr>
              <w:t>"I think we could also provide this to residents, too.Because this is a gap that needs addressing." (Female, Associate Professor, K9)</w:t>
            </w:r>
          </w:p>
        </w:tc>
      </w:tr>
      <w:tr w:rsidR="00B30920" w:rsidRPr="00797C94" w:rsidTr="00B30920">
        <w:trPr>
          <w:trHeight w:val="208"/>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val="restart"/>
            <w:tcBorders>
              <w:right w:val="single" w:sz="4" w:space="0" w:color="auto"/>
            </w:tcBorders>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Preparation of Faculty Members</w:t>
            </w:r>
          </w:p>
        </w:tc>
        <w:tc>
          <w:tcPr>
            <w:tcW w:w="2126" w:type="dxa"/>
            <w:tcBorders>
              <w:left w:val="single" w:sz="4" w:space="0" w:color="auto"/>
            </w:tcBorders>
            <w:shd w:val="clear" w:color="auto" w:fill="auto"/>
            <w:vAlign w:val="center"/>
          </w:tcPr>
          <w:p w:rsidR="00B30920" w:rsidRPr="00797C94" w:rsidRDefault="00B30920" w:rsidP="00B30920">
            <w:pPr>
              <w:spacing w:line="480" w:lineRule="auto"/>
              <w:ind w:right="72"/>
              <w:rPr>
                <w:rFonts w:eastAsiaTheme="majorEastAsia"/>
                <w:bCs/>
                <w:color w:val="000000" w:themeColor="text1"/>
                <w:sz w:val="22"/>
                <w:szCs w:val="22"/>
                <w:lang w:eastAsia="ar-SA"/>
              </w:rPr>
            </w:pPr>
            <w:r w:rsidRPr="00797C94">
              <w:rPr>
                <w:rFonts w:eastAsiaTheme="majorEastAsia"/>
                <w:bCs/>
                <w:color w:val="000000" w:themeColor="text1"/>
                <w:sz w:val="22"/>
                <w:szCs w:val="22"/>
                <w:lang w:eastAsia="ar-SA"/>
              </w:rPr>
              <w:t>Experience</w:t>
            </w:r>
          </w:p>
        </w:tc>
        <w:tc>
          <w:tcPr>
            <w:tcW w:w="9196" w:type="dxa"/>
            <w:shd w:val="clear" w:color="auto" w:fill="auto"/>
          </w:tcPr>
          <w:p w:rsidR="00B30920" w:rsidRPr="00797C94" w:rsidRDefault="00B30920" w:rsidP="00B30920">
            <w:pPr>
              <w:spacing w:line="480" w:lineRule="auto"/>
              <w:ind w:right="72"/>
              <w:jc w:val="both"/>
              <w:rPr>
                <w:rFonts w:eastAsiaTheme="majorEastAsia"/>
                <w:bCs/>
                <w:i/>
                <w:iCs/>
                <w:color w:val="000000" w:themeColor="text1"/>
                <w:sz w:val="22"/>
                <w:szCs w:val="22"/>
                <w:lang w:eastAsia="ar-SA"/>
              </w:rPr>
            </w:pPr>
            <w:r w:rsidRPr="00797C94">
              <w:rPr>
                <w:rFonts w:eastAsiaTheme="majorEastAsia"/>
                <w:bCs/>
                <w:i/>
                <w:iCs/>
                <w:color w:val="000000" w:themeColor="text1"/>
                <w:sz w:val="22"/>
                <w:szCs w:val="22"/>
                <w:lang w:eastAsia="ar-SA"/>
              </w:rPr>
              <w:t>"Let me give an example about communication: if you don’t have a qualified instructor in communication or the necessary infrastructure—since these aspects have an economic dimension too, such as rooms, recordings, cameras, and instructors who can analyze these properly—sometimes bad examples can discourage and alienate people." (Male, Professor, K10)</w:t>
            </w:r>
          </w:p>
        </w:tc>
      </w:tr>
      <w:tr w:rsidR="00B30920" w:rsidRPr="00797C94" w:rsidTr="00B30920">
        <w:trPr>
          <w:trHeight w:val="206"/>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tcPr>
          <w:p w:rsidR="00B30920" w:rsidRPr="00797C94" w:rsidRDefault="00B30920" w:rsidP="00B30920">
            <w:pPr>
              <w:spacing w:line="480" w:lineRule="auto"/>
              <w:ind w:right="72"/>
              <w:rPr>
                <w:rFonts w:eastAsiaTheme="majorEastAsia"/>
                <w:bCs/>
                <w:color w:val="000000" w:themeColor="text1"/>
                <w:sz w:val="22"/>
                <w:szCs w:val="22"/>
                <w:lang w:eastAsia="ar-SA"/>
              </w:rPr>
            </w:pPr>
            <w:r w:rsidRPr="00797C94">
              <w:rPr>
                <w:rFonts w:eastAsiaTheme="majorEastAsia"/>
                <w:bCs/>
                <w:color w:val="000000" w:themeColor="text1"/>
                <w:sz w:val="22"/>
                <w:szCs w:val="22"/>
                <w:lang w:eastAsia="ar-SA"/>
              </w:rPr>
              <w:t>Role Modeling/ Mentoring</w:t>
            </w:r>
          </w:p>
        </w:tc>
        <w:tc>
          <w:tcPr>
            <w:tcW w:w="9196" w:type="dxa"/>
            <w:shd w:val="clear" w:color="auto" w:fill="auto"/>
          </w:tcPr>
          <w:p w:rsidR="00B30920" w:rsidRPr="00797C94" w:rsidRDefault="00B30920" w:rsidP="00B30920">
            <w:pPr>
              <w:spacing w:line="480" w:lineRule="auto"/>
              <w:ind w:right="72"/>
              <w:jc w:val="both"/>
              <w:rPr>
                <w:rFonts w:eastAsiaTheme="majorEastAsia"/>
                <w:bCs/>
                <w:i/>
                <w:iCs/>
                <w:color w:val="000000" w:themeColor="text1"/>
                <w:sz w:val="22"/>
                <w:szCs w:val="22"/>
                <w:lang w:eastAsia="ar-SA"/>
              </w:rPr>
            </w:pPr>
            <w:r w:rsidRPr="00797C94">
              <w:rPr>
                <w:rFonts w:eastAsiaTheme="majorEastAsia"/>
                <w:bCs/>
                <w:i/>
                <w:iCs/>
                <w:color w:val="000000" w:themeColor="text1"/>
                <w:sz w:val="22"/>
                <w:szCs w:val="22"/>
                <w:lang w:eastAsia="ar-SA"/>
              </w:rPr>
              <w:t>"Some things your professors or mentors say leave lasting impressions. Certain sentences get etched into your mind, and what a professor you respect says can even become your life motto." (Female, Associate Professor, K2)</w:t>
            </w:r>
          </w:p>
        </w:tc>
      </w:tr>
      <w:tr w:rsidR="00B30920" w:rsidRPr="00797C94" w:rsidTr="00B30920">
        <w:trPr>
          <w:trHeight w:val="206"/>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vMerge/>
            <w:tcBorders>
              <w:right w:val="single" w:sz="4" w:space="0" w:color="auto"/>
            </w:tcBorders>
            <w:shd w:val="clear" w:color="auto" w:fill="auto"/>
            <w:vAlign w:val="center"/>
          </w:tcPr>
          <w:p w:rsidR="00B30920" w:rsidRPr="00797C94" w:rsidRDefault="00B30920" w:rsidP="00B30920">
            <w:pPr>
              <w:pStyle w:val="Default"/>
              <w:spacing w:line="480" w:lineRule="auto"/>
              <w:rPr>
                <w:rFonts w:ascii="Times New Roman" w:eastAsiaTheme="majorEastAsia" w:hAnsi="Times New Roman" w:cs="Times New Roman"/>
                <w:bCs/>
                <w:color w:val="000000" w:themeColor="text1"/>
                <w:sz w:val="22"/>
                <w:szCs w:val="22"/>
                <w:lang w:eastAsia="ar-SA"/>
              </w:rPr>
            </w:pPr>
          </w:p>
        </w:tc>
        <w:tc>
          <w:tcPr>
            <w:tcW w:w="2126" w:type="dxa"/>
            <w:tcBorders>
              <w:left w:val="single" w:sz="4" w:space="0" w:color="auto"/>
            </w:tcBorders>
            <w:shd w:val="clear" w:color="auto" w:fill="auto"/>
          </w:tcPr>
          <w:p w:rsidR="00B30920" w:rsidRPr="00797C94" w:rsidRDefault="00B30920" w:rsidP="00B30920">
            <w:pPr>
              <w:spacing w:line="480" w:lineRule="auto"/>
              <w:ind w:right="72"/>
              <w:rPr>
                <w:rFonts w:eastAsiaTheme="majorEastAsia"/>
                <w:bCs/>
                <w:color w:val="000000" w:themeColor="text1"/>
                <w:sz w:val="22"/>
                <w:szCs w:val="22"/>
                <w:lang w:eastAsia="ar-SA"/>
              </w:rPr>
            </w:pPr>
            <w:r w:rsidRPr="00797C94">
              <w:rPr>
                <w:rFonts w:eastAsiaTheme="majorEastAsia"/>
                <w:bCs/>
                <w:color w:val="000000" w:themeColor="text1"/>
                <w:sz w:val="22"/>
                <w:szCs w:val="22"/>
                <w:lang w:eastAsia="ar-SA"/>
              </w:rPr>
              <w:t>Adaptation to the Program</w:t>
            </w:r>
          </w:p>
        </w:tc>
        <w:tc>
          <w:tcPr>
            <w:tcW w:w="9196" w:type="dxa"/>
            <w:shd w:val="clear" w:color="auto" w:fill="auto"/>
          </w:tcPr>
          <w:p w:rsidR="00B30920" w:rsidRPr="00797C94" w:rsidRDefault="00B30920" w:rsidP="00B30920">
            <w:pPr>
              <w:spacing w:line="480" w:lineRule="auto"/>
              <w:ind w:right="72"/>
              <w:jc w:val="both"/>
              <w:rPr>
                <w:rFonts w:eastAsiaTheme="majorEastAsia"/>
                <w:bCs/>
                <w:color w:val="000000" w:themeColor="text1"/>
                <w:sz w:val="22"/>
                <w:szCs w:val="22"/>
                <w:lang w:eastAsia="ar-SA"/>
              </w:rPr>
            </w:pPr>
            <w:r w:rsidRPr="00797C94">
              <w:rPr>
                <w:rFonts w:eastAsiaTheme="majorEastAsia"/>
                <w:bCs/>
                <w:i/>
                <w:iCs/>
                <w:color w:val="000000" w:themeColor="text1"/>
                <w:sz w:val="22"/>
                <w:szCs w:val="22"/>
                <w:lang w:eastAsia="ar-SA"/>
              </w:rPr>
              <w:t>"I think we could start with concepts, beginning with health literacy. While not everyone has to fully agree, we need a common understanding of the concept—one that nearly everyone interprets in the same way. Starting with deans in all pre-graduate medical education programs could be a good approach." (Male, Professor, K10)</w:t>
            </w:r>
          </w:p>
        </w:tc>
      </w:tr>
      <w:tr w:rsidR="00B30920" w:rsidRPr="00797C94" w:rsidTr="00B30920">
        <w:trPr>
          <w:cantSplit/>
          <w:trHeight w:val="1552"/>
        </w:trPr>
        <w:tc>
          <w:tcPr>
            <w:tcW w:w="1129" w:type="dxa"/>
            <w:vMerge/>
            <w:shd w:val="clear" w:color="auto" w:fill="auto"/>
          </w:tcPr>
          <w:p w:rsidR="00B30920" w:rsidRPr="00797C94" w:rsidRDefault="00B30920" w:rsidP="00B30920">
            <w:pPr>
              <w:pStyle w:val="Default"/>
              <w:spacing w:line="480" w:lineRule="auto"/>
              <w:jc w:val="center"/>
              <w:rPr>
                <w:rFonts w:ascii="Times New Roman" w:eastAsiaTheme="majorEastAsia" w:hAnsi="Times New Roman" w:cs="Times New Roman"/>
                <w:bCs/>
                <w:color w:val="000000" w:themeColor="text1"/>
                <w:sz w:val="22"/>
                <w:szCs w:val="22"/>
                <w:lang w:eastAsia="ar-SA"/>
              </w:rPr>
            </w:pPr>
          </w:p>
        </w:tc>
        <w:tc>
          <w:tcPr>
            <w:tcW w:w="993" w:type="dxa"/>
            <w:tcBorders>
              <w:right w:val="single" w:sz="4" w:space="0" w:color="auto"/>
            </w:tcBorders>
            <w:shd w:val="clear" w:color="auto" w:fill="auto"/>
            <w:textDirection w:val="btLr"/>
            <w:vAlign w:val="center"/>
          </w:tcPr>
          <w:p w:rsidR="00B30920" w:rsidRPr="00797C94" w:rsidRDefault="00B30920" w:rsidP="00B30920">
            <w:pPr>
              <w:pStyle w:val="Default"/>
              <w:spacing w:line="480" w:lineRule="auto"/>
              <w:ind w:left="113" w:right="113"/>
              <w:jc w:val="center"/>
              <w:rPr>
                <w:rFonts w:ascii="Times New Roman" w:eastAsiaTheme="majorEastAsia" w:hAnsi="Times New Roman" w:cs="Times New Roman"/>
                <w:bCs/>
                <w:color w:val="000000" w:themeColor="text1"/>
                <w:sz w:val="22"/>
                <w:szCs w:val="22"/>
                <w:lang w:eastAsia="ar-SA"/>
              </w:rPr>
            </w:pPr>
            <w:r w:rsidRPr="00797C94">
              <w:rPr>
                <w:rFonts w:ascii="Times New Roman" w:eastAsiaTheme="majorEastAsia" w:hAnsi="Times New Roman" w:cs="Times New Roman"/>
                <w:b/>
                <w:color w:val="000000" w:themeColor="text1"/>
                <w:sz w:val="22"/>
                <w:szCs w:val="22"/>
                <w:lang w:eastAsia="ar-SA"/>
              </w:rPr>
              <w:t>Dissemination of Educational Programs</w:t>
            </w:r>
          </w:p>
        </w:tc>
        <w:tc>
          <w:tcPr>
            <w:tcW w:w="2126" w:type="dxa"/>
            <w:tcBorders>
              <w:left w:val="single" w:sz="4" w:space="0" w:color="auto"/>
            </w:tcBorders>
            <w:shd w:val="clear" w:color="auto" w:fill="auto"/>
            <w:vAlign w:val="center"/>
          </w:tcPr>
          <w:p w:rsidR="00B30920" w:rsidRPr="00797C94" w:rsidRDefault="00B30920" w:rsidP="00B30920">
            <w:pPr>
              <w:spacing w:line="480" w:lineRule="auto"/>
              <w:ind w:right="72"/>
              <w:rPr>
                <w:rFonts w:eastAsiaTheme="majorEastAsia"/>
                <w:bCs/>
                <w:color w:val="000000" w:themeColor="text1"/>
                <w:sz w:val="22"/>
                <w:szCs w:val="22"/>
                <w:lang w:eastAsia="ar-SA"/>
              </w:rPr>
            </w:pPr>
            <w:r w:rsidRPr="00797C94">
              <w:rPr>
                <w:rFonts w:eastAsiaTheme="majorEastAsia"/>
                <w:bCs/>
                <w:color w:val="000000" w:themeColor="text1"/>
                <w:sz w:val="22"/>
                <w:szCs w:val="22"/>
                <w:lang w:eastAsia="ar-SA"/>
              </w:rPr>
              <w:t xml:space="preserve">Accreditation </w:t>
            </w:r>
          </w:p>
        </w:tc>
        <w:tc>
          <w:tcPr>
            <w:tcW w:w="9196" w:type="dxa"/>
            <w:shd w:val="clear" w:color="auto" w:fill="auto"/>
          </w:tcPr>
          <w:p w:rsidR="00B30920" w:rsidRPr="00797C94" w:rsidRDefault="00B30920" w:rsidP="00B30920">
            <w:pPr>
              <w:spacing w:line="480" w:lineRule="auto"/>
              <w:ind w:right="72"/>
              <w:jc w:val="both"/>
              <w:rPr>
                <w:rFonts w:eastAsiaTheme="majorEastAsia"/>
                <w:bCs/>
                <w:i/>
                <w:iCs/>
                <w:color w:val="000000" w:themeColor="text1"/>
                <w:sz w:val="22"/>
                <w:szCs w:val="22"/>
                <w:lang w:eastAsia="ar-SA"/>
              </w:rPr>
            </w:pPr>
            <w:r w:rsidRPr="00797C94">
              <w:rPr>
                <w:rFonts w:eastAsiaTheme="majorEastAsia"/>
                <w:bCs/>
                <w:i/>
                <w:iCs/>
                <w:color w:val="000000" w:themeColor="text1"/>
                <w:sz w:val="22"/>
                <w:szCs w:val="22"/>
                <w:lang w:eastAsia="ar-SA"/>
              </w:rPr>
              <w:t>"In educational programs, as you know, the core curriculum is currently a benchmark for faculties seeking accreditation. I believe TEPDAD (Medical Education Programs Evaluation and Accreditation Association), the accreditation institution, can play a significant role here. When a topic such as health literacy is included under accreditation standards—emphasizing its importance and raising awareness among graduates, schools, and students under TEPDAD’s framework (provided it is practical and not just for the sake of inclusion)—I know that many medical faculties would align themselves accordingly. So, starting from there could also be effective." (Male, Professor, K10)</w:t>
            </w:r>
          </w:p>
        </w:tc>
      </w:tr>
    </w:tbl>
    <w:p w:rsidR="00B30920" w:rsidRPr="00797C94" w:rsidRDefault="00B30920" w:rsidP="00B30920">
      <w:pPr>
        <w:spacing w:line="480" w:lineRule="auto"/>
        <w:rPr>
          <w:b/>
          <w:bCs/>
          <w:color w:val="000000" w:themeColor="text1"/>
        </w:rPr>
      </w:pPr>
    </w:p>
    <w:p w:rsidR="005B766C" w:rsidRPr="00B30920" w:rsidRDefault="005B766C" w:rsidP="00B30920">
      <w:pPr>
        <w:spacing w:line="480" w:lineRule="auto"/>
      </w:pPr>
    </w:p>
    <w:sectPr w:rsidR="005B766C" w:rsidRPr="00B30920" w:rsidSect="00B30920">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1171D5"/>
    <w:multiLevelType w:val="multilevel"/>
    <w:tmpl w:val="8F1478F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864975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mirrorMargins/>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920"/>
    <w:rsid w:val="00000BC4"/>
    <w:rsid w:val="00001DEC"/>
    <w:rsid w:val="00004A05"/>
    <w:rsid w:val="0000606D"/>
    <w:rsid w:val="00007481"/>
    <w:rsid w:val="00010140"/>
    <w:rsid w:val="00010387"/>
    <w:rsid w:val="00010509"/>
    <w:rsid w:val="00011D49"/>
    <w:rsid w:val="00012635"/>
    <w:rsid w:val="00014221"/>
    <w:rsid w:val="00015473"/>
    <w:rsid w:val="00016EF8"/>
    <w:rsid w:val="000204A3"/>
    <w:rsid w:val="00021348"/>
    <w:rsid w:val="00021417"/>
    <w:rsid w:val="00022232"/>
    <w:rsid w:val="00023043"/>
    <w:rsid w:val="000268B4"/>
    <w:rsid w:val="0003050E"/>
    <w:rsid w:val="0003073C"/>
    <w:rsid w:val="00030ABE"/>
    <w:rsid w:val="00030E75"/>
    <w:rsid w:val="00031002"/>
    <w:rsid w:val="0003198B"/>
    <w:rsid w:val="00034352"/>
    <w:rsid w:val="00036809"/>
    <w:rsid w:val="00041EDE"/>
    <w:rsid w:val="000437FD"/>
    <w:rsid w:val="00043F27"/>
    <w:rsid w:val="000452FD"/>
    <w:rsid w:val="00046F06"/>
    <w:rsid w:val="00046F79"/>
    <w:rsid w:val="00051C84"/>
    <w:rsid w:val="00056302"/>
    <w:rsid w:val="000570F3"/>
    <w:rsid w:val="00057167"/>
    <w:rsid w:val="00061AD4"/>
    <w:rsid w:val="0006277C"/>
    <w:rsid w:val="00064D94"/>
    <w:rsid w:val="000661CA"/>
    <w:rsid w:val="00074516"/>
    <w:rsid w:val="00077847"/>
    <w:rsid w:val="00083430"/>
    <w:rsid w:val="00083A3E"/>
    <w:rsid w:val="00086075"/>
    <w:rsid w:val="000861A4"/>
    <w:rsid w:val="00087607"/>
    <w:rsid w:val="00087F32"/>
    <w:rsid w:val="00091F0A"/>
    <w:rsid w:val="000A1490"/>
    <w:rsid w:val="000A1B8A"/>
    <w:rsid w:val="000A2451"/>
    <w:rsid w:val="000A2AD4"/>
    <w:rsid w:val="000A4245"/>
    <w:rsid w:val="000A4527"/>
    <w:rsid w:val="000A50F6"/>
    <w:rsid w:val="000B2E93"/>
    <w:rsid w:val="000B3EA6"/>
    <w:rsid w:val="000B406C"/>
    <w:rsid w:val="000B5139"/>
    <w:rsid w:val="000B7D9C"/>
    <w:rsid w:val="000C00B3"/>
    <w:rsid w:val="000C11CF"/>
    <w:rsid w:val="000C3897"/>
    <w:rsid w:val="000C5252"/>
    <w:rsid w:val="000C5304"/>
    <w:rsid w:val="000C649A"/>
    <w:rsid w:val="000C70C7"/>
    <w:rsid w:val="000C71F0"/>
    <w:rsid w:val="000D02B9"/>
    <w:rsid w:val="000D4A1C"/>
    <w:rsid w:val="000E12AB"/>
    <w:rsid w:val="000E162D"/>
    <w:rsid w:val="000E1E46"/>
    <w:rsid w:val="000E1E78"/>
    <w:rsid w:val="000E24F1"/>
    <w:rsid w:val="000E2870"/>
    <w:rsid w:val="000E3B84"/>
    <w:rsid w:val="000E5374"/>
    <w:rsid w:val="000F25E7"/>
    <w:rsid w:val="000F2FC7"/>
    <w:rsid w:val="000F4FC5"/>
    <w:rsid w:val="000F50EF"/>
    <w:rsid w:val="000F556A"/>
    <w:rsid w:val="000F67C1"/>
    <w:rsid w:val="000F7351"/>
    <w:rsid w:val="000F7710"/>
    <w:rsid w:val="00102013"/>
    <w:rsid w:val="0010426F"/>
    <w:rsid w:val="001043A6"/>
    <w:rsid w:val="001074B0"/>
    <w:rsid w:val="0011025E"/>
    <w:rsid w:val="00115EC5"/>
    <w:rsid w:val="00116A41"/>
    <w:rsid w:val="00120C92"/>
    <w:rsid w:val="00122370"/>
    <w:rsid w:val="00124B16"/>
    <w:rsid w:val="00125A21"/>
    <w:rsid w:val="001264BC"/>
    <w:rsid w:val="0013040B"/>
    <w:rsid w:val="00130B2F"/>
    <w:rsid w:val="00133FC9"/>
    <w:rsid w:val="00135998"/>
    <w:rsid w:val="00140D02"/>
    <w:rsid w:val="00140F92"/>
    <w:rsid w:val="00145335"/>
    <w:rsid w:val="001456CA"/>
    <w:rsid w:val="00145A07"/>
    <w:rsid w:val="001539E4"/>
    <w:rsid w:val="00153B51"/>
    <w:rsid w:val="00154F1A"/>
    <w:rsid w:val="00156211"/>
    <w:rsid w:val="00156610"/>
    <w:rsid w:val="00156790"/>
    <w:rsid w:val="001573FC"/>
    <w:rsid w:val="00161401"/>
    <w:rsid w:val="00162441"/>
    <w:rsid w:val="001627E2"/>
    <w:rsid w:val="00162C88"/>
    <w:rsid w:val="001630E5"/>
    <w:rsid w:val="00163A5A"/>
    <w:rsid w:val="0016463F"/>
    <w:rsid w:val="0016485A"/>
    <w:rsid w:val="00165622"/>
    <w:rsid w:val="001661C1"/>
    <w:rsid w:val="001670E1"/>
    <w:rsid w:val="001671C4"/>
    <w:rsid w:val="0016737F"/>
    <w:rsid w:val="001702AD"/>
    <w:rsid w:val="00172DB8"/>
    <w:rsid w:val="00180A7B"/>
    <w:rsid w:val="001833D0"/>
    <w:rsid w:val="0018352F"/>
    <w:rsid w:val="00185123"/>
    <w:rsid w:val="001864E7"/>
    <w:rsid w:val="0019092A"/>
    <w:rsid w:val="001909BD"/>
    <w:rsid w:val="00191B4C"/>
    <w:rsid w:val="001949EA"/>
    <w:rsid w:val="00194EE1"/>
    <w:rsid w:val="00196BBD"/>
    <w:rsid w:val="00196FCD"/>
    <w:rsid w:val="001A5D92"/>
    <w:rsid w:val="001B1814"/>
    <w:rsid w:val="001B1912"/>
    <w:rsid w:val="001B3A0C"/>
    <w:rsid w:val="001B3B20"/>
    <w:rsid w:val="001B528E"/>
    <w:rsid w:val="001B7A6E"/>
    <w:rsid w:val="001C1EF5"/>
    <w:rsid w:val="001C3E80"/>
    <w:rsid w:val="001C4FD9"/>
    <w:rsid w:val="001C676F"/>
    <w:rsid w:val="001C6C75"/>
    <w:rsid w:val="001D05A7"/>
    <w:rsid w:val="001D06E5"/>
    <w:rsid w:val="001D1B6D"/>
    <w:rsid w:val="001D2DBB"/>
    <w:rsid w:val="001D33E0"/>
    <w:rsid w:val="001D3EAB"/>
    <w:rsid w:val="001D4C31"/>
    <w:rsid w:val="001E096D"/>
    <w:rsid w:val="001E1795"/>
    <w:rsid w:val="001E2ABC"/>
    <w:rsid w:val="001E6206"/>
    <w:rsid w:val="001E7E10"/>
    <w:rsid w:val="001F16F8"/>
    <w:rsid w:val="001F1994"/>
    <w:rsid w:val="001F19C0"/>
    <w:rsid w:val="001F2D44"/>
    <w:rsid w:val="001F3B68"/>
    <w:rsid w:val="001F3D81"/>
    <w:rsid w:val="001F6D78"/>
    <w:rsid w:val="00201E5A"/>
    <w:rsid w:val="002026D0"/>
    <w:rsid w:val="002026D4"/>
    <w:rsid w:val="00213547"/>
    <w:rsid w:val="002152A5"/>
    <w:rsid w:val="0021540F"/>
    <w:rsid w:val="0021579C"/>
    <w:rsid w:val="00215B78"/>
    <w:rsid w:val="00216EFB"/>
    <w:rsid w:val="002203ED"/>
    <w:rsid w:val="002218FE"/>
    <w:rsid w:val="00223F07"/>
    <w:rsid w:val="00224EE8"/>
    <w:rsid w:val="00226FB4"/>
    <w:rsid w:val="0022768A"/>
    <w:rsid w:val="002320C5"/>
    <w:rsid w:val="00234AA6"/>
    <w:rsid w:val="0023645D"/>
    <w:rsid w:val="00236712"/>
    <w:rsid w:val="00240AB7"/>
    <w:rsid w:val="002411F2"/>
    <w:rsid w:val="00243392"/>
    <w:rsid w:val="00245405"/>
    <w:rsid w:val="0024789A"/>
    <w:rsid w:val="00250266"/>
    <w:rsid w:val="002509D1"/>
    <w:rsid w:val="00251578"/>
    <w:rsid w:val="00251D60"/>
    <w:rsid w:val="00255ADC"/>
    <w:rsid w:val="00256169"/>
    <w:rsid w:val="00260889"/>
    <w:rsid w:val="002611C4"/>
    <w:rsid w:val="00266298"/>
    <w:rsid w:val="00266470"/>
    <w:rsid w:val="00267030"/>
    <w:rsid w:val="00267787"/>
    <w:rsid w:val="00267E7A"/>
    <w:rsid w:val="00272CFC"/>
    <w:rsid w:val="00273021"/>
    <w:rsid w:val="00276C9D"/>
    <w:rsid w:val="00276EE1"/>
    <w:rsid w:val="00282AC7"/>
    <w:rsid w:val="00282B4B"/>
    <w:rsid w:val="00285B4B"/>
    <w:rsid w:val="002862B3"/>
    <w:rsid w:val="00292058"/>
    <w:rsid w:val="00293955"/>
    <w:rsid w:val="00293B0D"/>
    <w:rsid w:val="002946A6"/>
    <w:rsid w:val="002958E5"/>
    <w:rsid w:val="00295A1F"/>
    <w:rsid w:val="00297E1E"/>
    <w:rsid w:val="002A14AF"/>
    <w:rsid w:val="002A45AE"/>
    <w:rsid w:val="002A5386"/>
    <w:rsid w:val="002A75A8"/>
    <w:rsid w:val="002B34D5"/>
    <w:rsid w:val="002B633E"/>
    <w:rsid w:val="002C0624"/>
    <w:rsid w:val="002C343D"/>
    <w:rsid w:val="002C7635"/>
    <w:rsid w:val="002D4C13"/>
    <w:rsid w:val="002E3ACA"/>
    <w:rsid w:val="002E4349"/>
    <w:rsid w:val="002E7E28"/>
    <w:rsid w:val="002F15CB"/>
    <w:rsid w:val="002F1BEE"/>
    <w:rsid w:val="002F4AA9"/>
    <w:rsid w:val="002F6F61"/>
    <w:rsid w:val="00300551"/>
    <w:rsid w:val="003018EA"/>
    <w:rsid w:val="00302774"/>
    <w:rsid w:val="00302FD1"/>
    <w:rsid w:val="003034EE"/>
    <w:rsid w:val="00304BCF"/>
    <w:rsid w:val="00305623"/>
    <w:rsid w:val="00307238"/>
    <w:rsid w:val="003076F1"/>
    <w:rsid w:val="00307E74"/>
    <w:rsid w:val="003106F2"/>
    <w:rsid w:val="00310F81"/>
    <w:rsid w:val="00312912"/>
    <w:rsid w:val="00315981"/>
    <w:rsid w:val="00315E7D"/>
    <w:rsid w:val="00316F27"/>
    <w:rsid w:val="0031707F"/>
    <w:rsid w:val="00320A3B"/>
    <w:rsid w:val="00322E57"/>
    <w:rsid w:val="003230A7"/>
    <w:rsid w:val="0032489D"/>
    <w:rsid w:val="003249BC"/>
    <w:rsid w:val="00324C98"/>
    <w:rsid w:val="0032550F"/>
    <w:rsid w:val="0032583A"/>
    <w:rsid w:val="0033209A"/>
    <w:rsid w:val="00332961"/>
    <w:rsid w:val="00336387"/>
    <w:rsid w:val="00341693"/>
    <w:rsid w:val="0034226C"/>
    <w:rsid w:val="00344484"/>
    <w:rsid w:val="00344870"/>
    <w:rsid w:val="0034508E"/>
    <w:rsid w:val="0034555B"/>
    <w:rsid w:val="00346524"/>
    <w:rsid w:val="0034677F"/>
    <w:rsid w:val="00350433"/>
    <w:rsid w:val="0035108A"/>
    <w:rsid w:val="00351E15"/>
    <w:rsid w:val="0035202C"/>
    <w:rsid w:val="00352269"/>
    <w:rsid w:val="00353079"/>
    <w:rsid w:val="003536C0"/>
    <w:rsid w:val="0035687A"/>
    <w:rsid w:val="00356997"/>
    <w:rsid w:val="003607C1"/>
    <w:rsid w:val="00361BB7"/>
    <w:rsid w:val="00362E61"/>
    <w:rsid w:val="003636AC"/>
    <w:rsid w:val="00364DF7"/>
    <w:rsid w:val="0036746B"/>
    <w:rsid w:val="003678D0"/>
    <w:rsid w:val="00371B97"/>
    <w:rsid w:val="00371FD8"/>
    <w:rsid w:val="003721A5"/>
    <w:rsid w:val="00372A82"/>
    <w:rsid w:val="00374A34"/>
    <w:rsid w:val="00376F54"/>
    <w:rsid w:val="00382AF0"/>
    <w:rsid w:val="003843E3"/>
    <w:rsid w:val="003850EB"/>
    <w:rsid w:val="00386928"/>
    <w:rsid w:val="00387F3A"/>
    <w:rsid w:val="003907CC"/>
    <w:rsid w:val="0039253C"/>
    <w:rsid w:val="003955FD"/>
    <w:rsid w:val="00396483"/>
    <w:rsid w:val="003A0891"/>
    <w:rsid w:val="003A419E"/>
    <w:rsid w:val="003A4662"/>
    <w:rsid w:val="003B29DC"/>
    <w:rsid w:val="003B38E4"/>
    <w:rsid w:val="003C3162"/>
    <w:rsid w:val="003C4013"/>
    <w:rsid w:val="003C4C8A"/>
    <w:rsid w:val="003D0526"/>
    <w:rsid w:val="003D0F6B"/>
    <w:rsid w:val="003D1101"/>
    <w:rsid w:val="003D1364"/>
    <w:rsid w:val="003D175E"/>
    <w:rsid w:val="003D2F3D"/>
    <w:rsid w:val="003D44D5"/>
    <w:rsid w:val="003D585D"/>
    <w:rsid w:val="003D5B44"/>
    <w:rsid w:val="003D62BB"/>
    <w:rsid w:val="003D62ED"/>
    <w:rsid w:val="003D6AA0"/>
    <w:rsid w:val="003E11FF"/>
    <w:rsid w:val="003E4981"/>
    <w:rsid w:val="003E4996"/>
    <w:rsid w:val="003E6E39"/>
    <w:rsid w:val="003E6FD6"/>
    <w:rsid w:val="003E701F"/>
    <w:rsid w:val="003F14DC"/>
    <w:rsid w:val="003F2716"/>
    <w:rsid w:val="003F4C95"/>
    <w:rsid w:val="003F587A"/>
    <w:rsid w:val="003F6FC9"/>
    <w:rsid w:val="003F7411"/>
    <w:rsid w:val="00403611"/>
    <w:rsid w:val="00403732"/>
    <w:rsid w:val="00403F43"/>
    <w:rsid w:val="004053FC"/>
    <w:rsid w:val="004060DA"/>
    <w:rsid w:val="00406C70"/>
    <w:rsid w:val="0041094E"/>
    <w:rsid w:val="00414148"/>
    <w:rsid w:val="0041631F"/>
    <w:rsid w:val="00423F49"/>
    <w:rsid w:val="004254F8"/>
    <w:rsid w:val="0042588B"/>
    <w:rsid w:val="004258EF"/>
    <w:rsid w:val="00425BCB"/>
    <w:rsid w:val="00426AFA"/>
    <w:rsid w:val="00427A55"/>
    <w:rsid w:val="00427F05"/>
    <w:rsid w:val="004313E8"/>
    <w:rsid w:val="00434115"/>
    <w:rsid w:val="004345C7"/>
    <w:rsid w:val="00437AA7"/>
    <w:rsid w:val="00440AE1"/>
    <w:rsid w:val="004416D9"/>
    <w:rsid w:val="00442491"/>
    <w:rsid w:val="00442F9B"/>
    <w:rsid w:val="0044709E"/>
    <w:rsid w:val="004538F2"/>
    <w:rsid w:val="00453E07"/>
    <w:rsid w:val="00455121"/>
    <w:rsid w:val="00455DA3"/>
    <w:rsid w:val="00455F05"/>
    <w:rsid w:val="004571C9"/>
    <w:rsid w:val="0045727A"/>
    <w:rsid w:val="00457D38"/>
    <w:rsid w:val="004606DF"/>
    <w:rsid w:val="004642F2"/>
    <w:rsid w:val="00466E9C"/>
    <w:rsid w:val="00467A5C"/>
    <w:rsid w:val="0047344A"/>
    <w:rsid w:val="0047532D"/>
    <w:rsid w:val="004774EF"/>
    <w:rsid w:val="00477C42"/>
    <w:rsid w:val="0048266A"/>
    <w:rsid w:val="00485F21"/>
    <w:rsid w:val="004908A6"/>
    <w:rsid w:val="004A1AB7"/>
    <w:rsid w:val="004B179A"/>
    <w:rsid w:val="004B1EDC"/>
    <w:rsid w:val="004B32FE"/>
    <w:rsid w:val="004B3F96"/>
    <w:rsid w:val="004B6625"/>
    <w:rsid w:val="004C1CAA"/>
    <w:rsid w:val="004C4969"/>
    <w:rsid w:val="004C5396"/>
    <w:rsid w:val="004D0A57"/>
    <w:rsid w:val="004D3540"/>
    <w:rsid w:val="004D4CF2"/>
    <w:rsid w:val="004D4D33"/>
    <w:rsid w:val="004E0052"/>
    <w:rsid w:val="004E0347"/>
    <w:rsid w:val="004E256C"/>
    <w:rsid w:val="004E2E81"/>
    <w:rsid w:val="004E37B7"/>
    <w:rsid w:val="004E3D53"/>
    <w:rsid w:val="004E5708"/>
    <w:rsid w:val="004E7385"/>
    <w:rsid w:val="004F1F16"/>
    <w:rsid w:val="004F403D"/>
    <w:rsid w:val="004F7151"/>
    <w:rsid w:val="005005D9"/>
    <w:rsid w:val="005012DF"/>
    <w:rsid w:val="00503164"/>
    <w:rsid w:val="00504E27"/>
    <w:rsid w:val="00505E7C"/>
    <w:rsid w:val="00506598"/>
    <w:rsid w:val="005102AB"/>
    <w:rsid w:val="0051052F"/>
    <w:rsid w:val="00510C60"/>
    <w:rsid w:val="00513828"/>
    <w:rsid w:val="00515EFA"/>
    <w:rsid w:val="0051700B"/>
    <w:rsid w:val="0051792D"/>
    <w:rsid w:val="005256BA"/>
    <w:rsid w:val="0052671B"/>
    <w:rsid w:val="00530190"/>
    <w:rsid w:val="005339B5"/>
    <w:rsid w:val="005374F5"/>
    <w:rsid w:val="005404C3"/>
    <w:rsid w:val="00541535"/>
    <w:rsid w:val="005426A3"/>
    <w:rsid w:val="005441C8"/>
    <w:rsid w:val="005467F7"/>
    <w:rsid w:val="00547716"/>
    <w:rsid w:val="0055056E"/>
    <w:rsid w:val="00550D51"/>
    <w:rsid w:val="00551448"/>
    <w:rsid w:val="005544D5"/>
    <w:rsid w:val="00556965"/>
    <w:rsid w:val="005611B8"/>
    <w:rsid w:val="0056124D"/>
    <w:rsid w:val="005623DC"/>
    <w:rsid w:val="00562425"/>
    <w:rsid w:val="00564E96"/>
    <w:rsid w:val="005722B3"/>
    <w:rsid w:val="0057335D"/>
    <w:rsid w:val="00577818"/>
    <w:rsid w:val="00581E99"/>
    <w:rsid w:val="0058497A"/>
    <w:rsid w:val="00586443"/>
    <w:rsid w:val="00586ABE"/>
    <w:rsid w:val="0059080C"/>
    <w:rsid w:val="005909B1"/>
    <w:rsid w:val="00593297"/>
    <w:rsid w:val="0059513D"/>
    <w:rsid w:val="00595625"/>
    <w:rsid w:val="005957D0"/>
    <w:rsid w:val="00595CDD"/>
    <w:rsid w:val="005965AA"/>
    <w:rsid w:val="00596A24"/>
    <w:rsid w:val="00596C57"/>
    <w:rsid w:val="00597705"/>
    <w:rsid w:val="005A2B1D"/>
    <w:rsid w:val="005A2DC1"/>
    <w:rsid w:val="005A4743"/>
    <w:rsid w:val="005A5492"/>
    <w:rsid w:val="005A5B41"/>
    <w:rsid w:val="005A699F"/>
    <w:rsid w:val="005B353C"/>
    <w:rsid w:val="005B4674"/>
    <w:rsid w:val="005B66CC"/>
    <w:rsid w:val="005B766C"/>
    <w:rsid w:val="005B7974"/>
    <w:rsid w:val="005B7D44"/>
    <w:rsid w:val="005C06F9"/>
    <w:rsid w:val="005C1E3F"/>
    <w:rsid w:val="005C2945"/>
    <w:rsid w:val="005C38F5"/>
    <w:rsid w:val="005C3E98"/>
    <w:rsid w:val="005C4A92"/>
    <w:rsid w:val="005D00E4"/>
    <w:rsid w:val="005D3EAA"/>
    <w:rsid w:val="005D4FC3"/>
    <w:rsid w:val="005D7C3E"/>
    <w:rsid w:val="005D7EE0"/>
    <w:rsid w:val="005E03F0"/>
    <w:rsid w:val="005E5023"/>
    <w:rsid w:val="005E514F"/>
    <w:rsid w:val="005E5849"/>
    <w:rsid w:val="005E64AC"/>
    <w:rsid w:val="005E7EAA"/>
    <w:rsid w:val="005F734B"/>
    <w:rsid w:val="00601257"/>
    <w:rsid w:val="00605558"/>
    <w:rsid w:val="0060726F"/>
    <w:rsid w:val="006103DA"/>
    <w:rsid w:val="006143E8"/>
    <w:rsid w:val="00614680"/>
    <w:rsid w:val="00614748"/>
    <w:rsid w:val="00615550"/>
    <w:rsid w:val="00617821"/>
    <w:rsid w:val="00617925"/>
    <w:rsid w:val="0062408E"/>
    <w:rsid w:val="00624BBE"/>
    <w:rsid w:val="00625708"/>
    <w:rsid w:val="00625999"/>
    <w:rsid w:val="00626D38"/>
    <w:rsid w:val="00627A90"/>
    <w:rsid w:val="00627E4D"/>
    <w:rsid w:val="00630211"/>
    <w:rsid w:val="00630418"/>
    <w:rsid w:val="006335C4"/>
    <w:rsid w:val="00634332"/>
    <w:rsid w:val="00637F06"/>
    <w:rsid w:val="0064610E"/>
    <w:rsid w:val="00647258"/>
    <w:rsid w:val="00650451"/>
    <w:rsid w:val="0065294E"/>
    <w:rsid w:val="00654DED"/>
    <w:rsid w:val="00655B65"/>
    <w:rsid w:val="006565E8"/>
    <w:rsid w:val="00660471"/>
    <w:rsid w:val="006656F1"/>
    <w:rsid w:val="00666AF1"/>
    <w:rsid w:val="006674C9"/>
    <w:rsid w:val="00667713"/>
    <w:rsid w:val="00670B3E"/>
    <w:rsid w:val="0067328A"/>
    <w:rsid w:val="00674537"/>
    <w:rsid w:val="00683FBD"/>
    <w:rsid w:val="00684339"/>
    <w:rsid w:val="006843D7"/>
    <w:rsid w:val="00687B5F"/>
    <w:rsid w:val="00690A7A"/>
    <w:rsid w:val="006938B3"/>
    <w:rsid w:val="006946DE"/>
    <w:rsid w:val="0069667F"/>
    <w:rsid w:val="006A1FAE"/>
    <w:rsid w:val="006A5F6A"/>
    <w:rsid w:val="006B0558"/>
    <w:rsid w:val="006B306A"/>
    <w:rsid w:val="006B307C"/>
    <w:rsid w:val="006B6DCB"/>
    <w:rsid w:val="006B787B"/>
    <w:rsid w:val="006C0276"/>
    <w:rsid w:val="006C2E0D"/>
    <w:rsid w:val="006C4A25"/>
    <w:rsid w:val="006C7BD5"/>
    <w:rsid w:val="006C7D07"/>
    <w:rsid w:val="006D1DE5"/>
    <w:rsid w:val="006D2701"/>
    <w:rsid w:val="006D2E03"/>
    <w:rsid w:val="006D32A4"/>
    <w:rsid w:val="006D3ABE"/>
    <w:rsid w:val="006D4802"/>
    <w:rsid w:val="006D55FF"/>
    <w:rsid w:val="006D5FD0"/>
    <w:rsid w:val="006D616E"/>
    <w:rsid w:val="006D6E9E"/>
    <w:rsid w:val="006D78A1"/>
    <w:rsid w:val="006D7D8E"/>
    <w:rsid w:val="006E1523"/>
    <w:rsid w:val="006E18E8"/>
    <w:rsid w:val="006E671F"/>
    <w:rsid w:val="006E7D48"/>
    <w:rsid w:val="006F0B27"/>
    <w:rsid w:val="006F1613"/>
    <w:rsid w:val="00700CB2"/>
    <w:rsid w:val="00703C30"/>
    <w:rsid w:val="007060DF"/>
    <w:rsid w:val="00707480"/>
    <w:rsid w:val="00715CD7"/>
    <w:rsid w:val="007171A1"/>
    <w:rsid w:val="00717FF2"/>
    <w:rsid w:val="00721FDF"/>
    <w:rsid w:val="00723D6D"/>
    <w:rsid w:val="007249AD"/>
    <w:rsid w:val="00724B28"/>
    <w:rsid w:val="0072644A"/>
    <w:rsid w:val="00731117"/>
    <w:rsid w:val="00732D91"/>
    <w:rsid w:val="007333A0"/>
    <w:rsid w:val="00735992"/>
    <w:rsid w:val="0073690D"/>
    <w:rsid w:val="00736AA0"/>
    <w:rsid w:val="00736BDD"/>
    <w:rsid w:val="007403F9"/>
    <w:rsid w:val="00740469"/>
    <w:rsid w:val="00742B57"/>
    <w:rsid w:val="00742DB1"/>
    <w:rsid w:val="007431B9"/>
    <w:rsid w:val="00744C6B"/>
    <w:rsid w:val="00745CF4"/>
    <w:rsid w:val="00750C9C"/>
    <w:rsid w:val="00753EE4"/>
    <w:rsid w:val="00754DFC"/>
    <w:rsid w:val="00755C51"/>
    <w:rsid w:val="00755CDC"/>
    <w:rsid w:val="00756570"/>
    <w:rsid w:val="00757F39"/>
    <w:rsid w:val="00760653"/>
    <w:rsid w:val="00762BEF"/>
    <w:rsid w:val="00764A12"/>
    <w:rsid w:val="00766E7C"/>
    <w:rsid w:val="00767277"/>
    <w:rsid w:val="00774798"/>
    <w:rsid w:val="00774B58"/>
    <w:rsid w:val="00777D90"/>
    <w:rsid w:val="00777DB1"/>
    <w:rsid w:val="00780550"/>
    <w:rsid w:val="007817C8"/>
    <w:rsid w:val="007818BA"/>
    <w:rsid w:val="007829A1"/>
    <w:rsid w:val="007851E9"/>
    <w:rsid w:val="007875FA"/>
    <w:rsid w:val="0079076A"/>
    <w:rsid w:val="007937AA"/>
    <w:rsid w:val="00796E32"/>
    <w:rsid w:val="007A04B7"/>
    <w:rsid w:val="007A2F6D"/>
    <w:rsid w:val="007A38BF"/>
    <w:rsid w:val="007A45A9"/>
    <w:rsid w:val="007A4F4A"/>
    <w:rsid w:val="007A5F5C"/>
    <w:rsid w:val="007B08D1"/>
    <w:rsid w:val="007B1CAC"/>
    <w:rsid w:val="007B2EBE"/>
    <w:rsid w:val="007B5DCC"/>
    <w:rsid w:val="007B6CEF"/>
    <w:rsid w:val="007B7BB7"/>
    <w:rsid w:val="007C0451"/>
    <w:rsid w:val="007C058F"/>
    <w:rsid w:val="007C5D2F"/>
    <w:rsid w:val="007C71BB"/>
    <w:rsid w:val="007D0E6F"/>
    <w:rsid w:val="007D6575"/>
    <w:rsid w:val="007D706A"/>
    <w:rsid w:val="007E0013"/>
    <w:rsid w:val="007E0665"/>
    <w:rsid w:val="007E1C49"/>
    <w:rsid w:val="007E226C"/>
    <w:rsid w:val="007E3CB4"/>
    <w:rsid w:val="007E484E"/>
    <w:rsid w:val="007E4B51"/>
    <w:rsid w:val="007E4D72"/>
    <w:rsid w:val="007E5A7E"/>
    <w:rsid w:val="007E5AE5"/>
    <w:rsid w:val="007E6C1C"/>
    <w:rsid w:val="007F0AF2"/>
    <w:rsid w:val="007F1165"/>
    <w:rsid w:val="007F185E"/>
    <w:rsid w:val="007F55B8"/>
    <w:rsid w:val="007F5A75"/>
    <w:rsid w:val="007F6C2F"/>
    <w:rsid w:val="007F7542"/>
    <w:rsid w:val="00802112"/>
    <w:rsid w:val="00803D9E"/>
    <w:rsid w:val="00805798"/>
    <w:rsid w:val="00810ADA"/>
    <w:rsid w:val="00812038"/>
    <w:rsid w:val="0081212F"/>
    <w:rsid w:val="008129DC"/>
    <w:rsid w:val="00812D7D"/>
    <w:rsid w:val="008131CB"/>
    <w:rsid w:val="008136D3"/>
    <w:rsid w:val="008211DD"/>
    <w:rsid w:val="00822580"/>
    <w:rsid w:val="00825679"/>
    <w:rsid w:val="00825CD0"/>
    <w:rsid w:val="00826818"/>
    <w:rsid w:val="00827F5F"/>
    <w:rsid w:val="00831118"/>
    <w:rsid w:val="008313F7"/>
    <w:rsid w:val="00832535"/>
    <w:rsid w:val="008407B8"/>
    <w:rsid w:val="0084404B"/>
    <w:rsid w:val="00844EF2"/>
    <w:rsid w:val="00845E42"/>
    <w:rsid w:val="0085002A"/>
    <w:rsid w:val="008535CC"/>
    <w:rsid w:val="00853D58"/>
    <w:rsid w:val="008556C6"/>
    <w:rsid w:val="00855C4D"/>
    <w:rsid w:val="008576B8"/>
    <w:rsid w:val="008626D1"/>
    <w:rsid w:val="00863F6B"/>
    <w:rsid w:val="008645C2"/>
    <w:rsid w:val="0087009E"/>
    <w:rsid w:val="0087092E"/>
    <w:rsid w:val="00871330"/>
    <w:rsid w:val="00876200"/>
    <w:rsid w:val="00881FB3"/>
    <w:rsid w:val="0088228D"/>
    <w:rsid w:val="00882636"/>
    <w:rsid w:val="00883D29"/>
    <w:rsid w:val="00885056"/>
    <w:rsid w:val="00886D11"/>
    <w:rsid w:val="00891360"/>
    <w:rsid w:val="00891D8E"/>
    <w:rsid w:val="0089207F"/>
    <w:rsid w:val="00894A6B"/>
    <w:rsid w:val="00895EE4"/>
    <w:rsid w:val="008975A4"/>
    <w:rsid w:val="008A2B70"/>
    <w:rsid w:val="008A38FF"/>
    <w:rsid w:val="008A3FEB"/>
    <w:rsid w:val="008A4B69"/>
    <w:rsid w:val="008A5041"/>
    <w:rsid w:val="008A57CA"/>
    <w:rsid w:val="008A5FFD"/>
    <w:rsid w:val="008A6D27"/>
    <w:rsid w:val="008A7B7E"/>
    <w:rsid w:val="008A7F88"/>
    <w:rsid w:val="008B06C0"/>
    <w:rsid w:val="008B40DC"/>
    <w:rsid w:val="008B4B1C"/>
    <w:rsid w:val="008B696C"/>
    <w:rsid w:val="008B75FA"/>
    <w:rsid w:val="008B773E"/>
    <w:rsid w:val="008B7ED1"/>
    <w:rsid w:val="008C2EE9"/>
    <w:rsid w:val="008C4FE4"/>
    <w:rsid w:val="008C65B2"/>
    <w:rsid w:val="008C66D7"/>
    <w:rsid w:val="008D02C9"/>
    <w:rsid w:val="008D14DF"/>
    <w:rsid w:val="008D46EB"/>
    <w:rsid w:val="008D5F93"/>
    <w:rsid w:val="008D70C2"/>
    <w:rsid w:val="008D716F"/>
    <w:rsid w:val="008E0293"/>
    <w:rsid w:val="008E0701"/>
    <w:rsid w:val="008E47F4"/>
    <w:rsid w:val="008E7D06"/>
    <w:rsid w:val="008F1B07"/>
    <w:rsid w:val="008F2717"/>
    <w:rsid w:val="008F2730"/>
    <w:rsid w:val="008F2E45"/>
    <w:rsid w:val="008F42B4"/>
    <w:rsid w:val="008F56CE"/>
    <w:rsid w:val="008F57EC"/>
    <w:rsid w:val="008F63F9"/>
    <w:rsid w:val="008F7483"/>
    <w:rsid w:val="00901968"/>
    <w:rsid w:val="00901DA1"/>
    <w:rsid w:val="00904EFB"/>
    <w:rsid w:val="0090534C"/>
    <w:rsid w:val="00906EB9"/>
    <w:rsid w:val="009122D5"/>
    <w:rsid w:val="0091289A"/>
    <w:rsid w:val="00914991"/>
    <w:rsid w:val="00916A36"/>
    <w:rsid w:val="0092035E"/>
    <w:rsid w:val="00923AE0"/>
    <w:rsid w:val="0092638F"/>
    <w:rsid w:val="009263F6"/>
    <w:rsid w:val="00926AB4"/>
    <w:rsid w:val="00926B7F"/>
    <w:rsid w:val="00926FE7"/>
    <w:rsid w:val="00927514"/>
    <w:rsid w:val="00930282"/>
    <w:rsid w:val="0093232D"/>
    <w:rsid w:val="009330FF"/>
    <w:rsid w:val="00937841"/>
    <w:rsid w:val="00944047"/>
    <w:rsid w:val="00944DF7"/>
    <w:rsid w:val="0094704A"/>
    <w:rsid w:val="00947E8A"/>
    <w:rsid w:val="00950C19"/>
    <w:rsid w:val="00952245"/>
    <w:rsid w:val="00953509"/>
    <w:rsid w:val="00953C2B"/>
    <w:rsid w:val="009557D7"/>
    <w:rsid w:val="00955A5E"/>
    <w:rsid w:val="0096030C"/>
    <w:rsid w:val="00960322"/>
    <w:rsid w:val="00960F80"/>
    <w:rsid w:val="009613FF"/>
    <w:rsid w:val="00962862"/>
    <w:rsid w:val="00963721"/>
    <w:rsid w:val="00966710"/>
    <w:rsid w:val="0096692D"/>
    <w:rsid w:val="00967E28"/>
    <w:rsid w:val="00967FE8"/>
    <w:rsid w:val="009746AF"/>
    <w:rsid w:val="00976D5E"/>
    <w:rsid w:val="0097740A"/>
    <w:rsid w:val="0098468D"/>
    <w:rsid w:val="0098668E"/>
    <w:rsid w:val="00987526"/>
    <w:rsid w:val="00990311"/>
    <w:rsid w:val="0099125F"/>
    <w:rsid w:val="00993A44"/>
    <w:rsid w:val="009941DA"/>
    <w:rsid w:val="00995692"/>
    <w:rsid w:val="0099585C"/>
    <w:rsid w:val="00996358"/>
    <w:rsid w:val="009972ED"/>
    <w:rsid w:val="009A0083"/>
    <w:rsid w:val="009A0A3C"/>
    <w:rsid w:val="009A27E6"/>
    <w:rsid w:val="009A3EBC"/>
    <w:rsid w:val="009B01A7"/>
    <w:rsid w:val="009B7138"/>
    <w:rsid w:val="009B7500"/>
    <w:rsid w:val="009B75C5"/>
    <w:rsid w:val="009C19A4"/>
    <w:rsid w:val="009C27D0"/>
    <w:rsid w:val="009C3673"/>
    <w:rsid w:val="009D2F06"/>
    <w:rsid w:val="009D40F9"/>
    <w:rsid w:val="009D591B"/>
    <w:rsid w:val="009D6467"/>
    <w:rsid w:val="009D6F33"/>
    <w:rsid w:val="009E3875"/>
    <w:rsid w:val="009E38E1"/>
    <w:rsid w:val="009E3F95"/>
    <w:rsid w:val="009E603A"/>
    <w:rsid w:val="009E6FF0"/>
    <w:rsid w:val="009F1C3E"/>
    <w:rsid w:val="009F2EF4"/>
    <w:rsid w:val="009F4C33"/>
    <w:rsid w:val="009F503B"/>
    <w:rsid w:val="009F657A"/>
    <w:rsid w:val="009F6EE4"/>
    <w:rsid w:val="00A001F9"/>
    <w:rsid w:val="00A03802"/>
    <w:rsid w:val="00A059FA"/>
    <w:rsid w:val="00A06CA5"/>
    <w:rsid w:val="00A07895"/>
    <w:rsid w:val="00A138E9"/>
    <w:rsid w:val="00A203FF"/>
    <w:rsid w:val="00A249B2"/>
    <w:rsid w:val="00A24C74"/>
    <w:rsid w:val="00A27DC4"/>
    <w:rsid w:val="00A27E52"/>
    <w:rsid w:val="00A302D3"/>
    <w:rsid w:val="00A31128"/>
    <w:rsid w:val="00A320FA"/>
    <w:rsid w:val="00A32C10"/>
    <w:rsid w:val="00A3360F"/>
    <w:rsid w:val="00A33915"/>
    <w:rsid w:val="00A34FF1"/>
    <w:rsid w:val="00A3795C"/>
    <w:rsid w:val="00A40AE6"/>
    <w:rsid w:val="00A41865"/>
    <w:rsid w:val="00A42B34"/>
    <w:rsid w:val="00A43356"/>
    <w:rsid w:val="00A43CDA"/>
    <w:rsid w:val="00A44D3E"/>
    <w:rsid w:val="00A44E3B"/>
    <w:rsid w:val="00A459BE"/>
    <w:rsid w:val="00A45FAA"/>
    <w:rsid w:val="00A46101"/>
    <w:rsid w:val="00A4668C"/>
    <w:rsid w:val="00A46EBA"/>
    <w:rsid w:val="00A4702F"/>
    <w:rsid w:val="00A477F7"/>
    <w:rsid w:val="00A53C98"/>
    <w:rsid w:val="00A6063B"/>
    <w:rsid w:val="00A61961"/>
    <w:rsid w:val="00A64E58"/>
    <w:rsid w:val="00A653AD"/>
    <w:rsid w:val="00A704BE"/>
    <w:rsid w:val="00A71802"/>
    <w:rsid w:val="00A71E13"/>
    <w:rsid w:val="00A7234E"/>
    <w:rsid w:val="00A74992"/>
    <w:rsid w:val="00A756B0"/>
    <w:rsid w:val="00A7777B"/>
    <w:rsid w:val="00A82789"/>
    <w:rsid w:val="00A844A4"/>
    <w:rsid w:val="00A8594B"/>
    <w:rsid w:val="00A90A7C"/>
    <w:rsid w:val="00A940C7"/>
    <w:rsid w:val="00A959AA"/>
    <w:rsid w:val="00AA018A"/>
    <w:rsid w:val="00AA04EE"/>
    <w:rsid w:val="00AA2272"/>
    <w:rsid w:val="00AA28E1"/>
    <w:rsid w:val="00AA34E9"/>
    <w:rsid w:val="00AA6477"/>
    <w:rsid w:val="00AA7982"/>
    <w:rsid w:val="00AA79E4"/>
    <w:rsid w:val="00AB0EA5"/>
    <w:rsid w:val="00AB1417"/>
    <w:rsid w:val="00AB195A"/>
    <w:rsid w:val="00AB2FF8"/>
    <w:rsid w:val="00AB5140"/>
    <w:rsid w:val="00AB7FB1"/>
    <w:rsid w:val="00AC4461"/>
    <w:rsid w:val="00AC4EDB"/>
    <w:rsid w:val="00AC5D4C"/>
    <w:rsid w:val="00AC68CB"/>
    <w:rsid w:val="00AD0212"/>
    <w:rsid w:val="00AD0A59"/>
    <w:rsid w:val="00AD455A"/>
    <w:rsid w:val="00AD5036"/>
    <w:rsid w:val="00AD642A"/>
    <w:rsid w:val="00AD6775"/>
    <w:rsid w:val="00AE4E74"/>
    <w:rsid w:val="00AF2AE4"/>
    <w:rsid w:val="00B006A0"/>
    <w:rsid w:val="00B0360B"/>
    <w:rsid w:val="00B045DB"/>
    <w:rsid w:val="00B04FF4"/>
    <w:rsid w:val="00B05FC1"/>
    <w:rsid w:val="00B06226"/>
    <w:rsid w:val="00B079DD"/>
    <w:rsid w:val="00B107C4"/>
    <w:rsid w:val="00B11EEB"/>
    <w:rsid w:val="00B158E7"/>
    <w:rsid w:val="00B15B9E"/>
    <w:rsid w:val="00B21819"/>
    <w:rsid w:val="00B22002"/>
    <w:rsid w:val="00B242DF"/>
    <w:rsid w:val="00B24847"/>
    <w:rsid w:val="00B2596F"/>
    <w:rsid w:val="00B25BC9"/>
    <w:rsid w:val="00B26CF2"/>
    <w:rsid w:val="00B30920"/>
    <w:rsid w:val="00B30AE7"/>
    <w:rsid w:val="00B340D4"/>
    <w:rsid w:val="00B34C07"/>
    <w:rsid w:val="00B350D4"/>
    <w:rsid w:val="00B352F9"/>
    <w:rsid w:val="00B35834"/>
    <w:rsid w:val="00B37F74"/>
    <w:rsid w:val="00B410DD"/>
    <w:rsid w:val="00B4313A"/>
    <w:rsid w:val="00B44176"/>
    <w:rsid w:val="00B44F20"/>
    <w:rsid w:val="00B45066"/>
    <w:rsid w:val="00B457C6"/>
    <w:rsid w:val="00B458AB"/>
    <w:rsid w:val="00B52803"/>
    <w:rsid w:val="00B52A92"/>
    <w:rsid w:val="00B52DD4"/>
    <w:rsid w:val="00B53525"/>
    <w:rsid w:val="00B53AE8"/>
    <w:rsid w:val="00B554DB"/>
    <w:rsid w:val="00B5619A"/>
    <w:rsid w:val="00B57183"/>
    <w:rsid w:val="00B604F8"/>
    <w:rsid w:val="00B61999"/>
    <w:rsid w:val="00B62F41"/>
    <w:rsid w:val="00B640C1"/>
    <w:rsid w:val="00B70C8A"/>
    <w:rsid w:val="00B758FD"/>
    <w:rsid w:val="00B75F9B"/>
    <w:rsid w:val="00B76351"/>
    <w:rsid w:val="00B76E6A"/>
    <w:rsid w:val="00B80A45"/>
    <w:rsid w:val="00B815F6"/>
    <w:rsid w:val="00B82B10"/>
    <w:rsid w:val="00B838FE"/>
    <w:rsid w:val="00B83981"/>
    <w:rsid w:val="00B83B2D"/>
    <w:rsid w:val="00B84C8F"/>
    <w:rsid w:val="00B86336"/>
    <w:rsid w:val="00B869C1"/>
    <w:rsid w:val="00B91EE4"/>
    <w:rsid w:val="00B9204E"/>
    <w:rsid w:val="00B934E0"/>
    <w:rsid w:val="00BA1A6D"/>
    <w:rsid w:val="00BA3DCC"/>
    <w:rsid w:val="00BA5E0D"/>
    <w:rsid w:val="00BB0AE4"/>
    <w:rsid w:val="00BB1F1F"/>
    <w:rsid w:val="00BB291A"/>
    <w:rsid w:val="00BB5964"/>
    <w:rsid w:val="00BC2351"/>
    <w:rsid w:val="00BC2753"/>
    <w:rsid w:val="00BC69D0"/>
    <w:rsid w:val="00BD1F5A"/>
    <w:rsid w:val="00BD56C2"/>
    <w:rsid w:val="00BD693C"/>
    <w:rsid w:val="00BD72E3"/>
    <w:rsid w:val="00BD753E"/>
    <w:rsid w:val="00BE0F68"/>
    <w:rsid w:val="00BE1DB9"/>
    <w:rsid w:val="00BE32C6"/>
    <w:rsid w:val="00BE3C01"/>
    <w:rsid w:val="00BE6287"/>
    <w:rsid w:val="00BE7C01"/>
    <w:rsid w:val="00BF0E37"/>
    <w:rsid w:val="00BF2D62"/>
    <w:rsid w:val="00BF4F12"/>
    <w:rsid w:val="00BF52C9"/>
    <w:rsid w:val="00BF676E"/>
    <w:rsid w:val="00C003D7"/>
    <w:rsid w:val="00C00B23"/>
    <w:rsid w:val="00C017F2"/>
    <w:rsid w:val="00C04D7B"/>
    <w:rsid w:val="00C106D1"/>
    <w:rsid w:val="00C11D44"/>
    <w:rsid w:val="00C1568E"/>
    <w:rsid w:val="00C15D2A"/>
    <w:rsid w:val="00C164ED"/>
    <w:rsid w:val="00C16B2D"/>
    <w:rsid w:val="00C2132D"/>
    <w:rsid w:val="00C219A2"/>
    <w:rsid w:val="00C23C00"/>
    <w:rsid w:val="00C24077"/>
    <w:rsid w:val="00C245BA"/>
    <w:rsid w:val="00C2529C"/>
    <w:rsid w:val="00C26C17"/>
    <w:rsid w:val="00C27855"/>
    <w:rsid w:val="00C301E6"/>
    <w:rsid w:val="00C31AE6"/>
    <w:rsid w:val="00C32FC4"/>
    <w:rsid w:val="00C342C8"/>
    <w:rsid w:val="00C363DA"/>
    <w:rsid w:val="00C368D8"/>
    <w:rsid w:val="00C37BEF"/>
    <w:rsid w:val="00C407B7"/>
    <w:rsid w:val="00C42638"/>
    <w:rsid w:val="00C45F74"/>
    <w:rsid w:val="00C460FF"/>
    <w:rsid w:val="00C4732A"/>
    <w:rsid w:val="00C50E30"/>
    <w:rsid w:val="00C51E60"/>
    <w:rsid w:val="00C52443"/>
    <w:rsid w:val="00C52CD2"/>
    <w:rsid w:val="00C5620A"/>
    <w:rsid w:val="00C57AFF"/>
    <w:rsid w:val="00C60053"/>
    <w:rsid w:val="00C6094E"/>
    <w:rsid w:val="00C60C05"/>
    <w:rsid w:val="00C65134"/>
    <w:rsid w:val="00C65BB3"/>
    <w:rsid w:val="00C702F3"/>
    <w:rsid w:val="00C7165E"/>
    <w:rsid w:val="00C717A2"/>
    <w:rsid w:val="00C72188"/>
    <w:rsid w:val="00C723DA"/>
    <w:rsid w:val="00C727C9"/>
    <w:rsid w:val="00C74C6F"/>
    <w:rsid w:val="00C770F1"/>
    <w:rsid w:val="00C80D36"/>
    <w:rsid w:val="00C84050"/>
    <w:rsid w:val="00C850FF"/>
    <w:rsid w:val="00C87CB4"/>
    <w:rsid w:val="00C92D31"/>
    <w:rsid w:val="00C92DE1"/>
    <w:rsid w:val="00C9301B"/>
    <w:rsid w:val="00C94866"/>
    <w:rsid w:val="00C96325"/>
    <w:rsid w:val="00C9696E"/>
    <w:rsid w:val="00C978E2"/>
    <w:rsid w:val="00C97EBD"/>
    <w:rsid w:val="00CA0898"/>
    <w:rsid w:val="00CA28C1"/>
    <w:rsid w:val="00CA295A"/>
    <w:rsid w:val="00CA58C8"/>
    <w:rsid w:val="00CA5DC6"/>
    <w:rsid w:val="00CA729A"/>
    <w:rsid w:val="00CB082C"/>
    <w:rsid w:val="00CB0A19"/>
    <w:rsid w:val="00CB13D7"/>
    <w:rsid w:val="00CB1801"/>
    <w:rsid w:val="00CB307B"/>
    <w:rsid w:val="00CB345F"/>
    <w:rsid w:val="00CB4FBD"/>
    <w:rsid w:val="00CB5BC9"/>
    <w:rsid w:val="00CB5DD1"/>
    <w:rsid w:val="00CB6671"/>
    <w:rsid w:val="00CC1BB8"/>
    <w:rsid w:val="00CC30B3"/>
    <w:rsid w:val="00CC5A06"/>
    <w:rsid w:val="00CC5B01"/>
    <w:rsid w:val="00CD0648"/>
    <w:rsid w:val="00CD0773"/>
    <w:rsid w:val="00CD0B6E"/>
    <w:rsid w:val="00CD0BE4"/>
    <w:rsid w:val="00CD265A"/>
    <w:rsid w:val="00CD6B27"/>
    <w:rsid w:val="00CD719D"/>
    <w:rsid w:val="00CE09E0"/>
    <w:rsid w:val="00CE31E4"/>
    <w:rsid w:val="00CE6394"/>
    <w:rsid w:val="00CE774C"/>
    <w:rsid w:val="00CF1F5E"/>
    <w:rsid w:val="00CF603F"/>
    <w:rsid w:val="00CF650F"/>
    <w:rsid w:val="00CF68BE"/>
    <w:rsid w:val="00CF795E"/>
    <w:rsid w:val="00CF7A71"/>
    <w:rsid w:val="00D0185F"/>
    <w:rsid w:val="00D01CFF"/>
    <w:rsid w:val="00D022DF"/>
    <w:rsid w:val="00D02307"/>
    <w:rsid w:val="00D03687"/>
    <w:rsid w:val="00D05FB0"/>
    <w:rsid w:val="00D107D3"/>
    <w:rsid w:val="00D11738"/>
    <w:rsid w:val="00D14D45"/>
    <w:rsid w:val="00D150AC"/>
    <w:rsid w:val="00D163B5"/>
    <w:rsid w:val="00D1769B"/>
    <w:rsid w:val="00D20554"/>
    <w:rsid w:val="00D21E0F"/>
    <w:rsid w:val="00D25647"/>
    <w:rsid w:val="00D30FC8"/>
    <w:rsid w:val="00D32EEC"/>
    <w:rsid w:val="00D35F4F"/>
    <w:rsid w:val="00D407AF"/>
    <w:rsid w:val="00D40847"/>
    <w:rsid w:val="00D4165C"/>
    <w:rsid w:val="00D42DA1"/>
    <w:rsid w:val="00D439E6"/>
    <w:rsid w:val="00D44CDC"/>
    <w:rsid w:val="00D45147"/>
    <w:rsid w:val="00D459FE"/>
    <w:rsid w:val="00D4692B"/>
    <w:rsid w:val="00D50391"/>
    <w:rsid w:val="00D508C7"/>
    <w:rsid w:val="00D53D3D"/>
    <w:rsid w:val="00D605DA"/>
    <w:rsid w:val="00D61D38"/>
    <w:rsid w:val="00D61DBF"/>
    <w:rsid w:val="00D64AC5"/>
    <w:rsid w:val="00D6698B"/>
    <w:rsid w:val="00D67758"/>
    <w:rsid w:val="00D701C2"/>
    <w:rsid w:val="00D71E11"/>
    <w:rsid w:val="00D744A2"/>
    <w:rsid w:val="00D77374"/>
    <w:rsid w:val="00D826A9"/>
    <w:rsid w:val="00D82C99"/>
    <w:rsid w:val="00D82ED1"/>
    <w:rsid w:val="00D87383"/>
    <w:rsid w:val="00D87A8F"/>
    <w:rsid w:val="00D87BE9"/>
    <w:rsid w:val="00D92080"/>
    <w:rsid w:val="00D920F5"/>
    <w:rsid w:val="00D92485"/>
    <w:rsid w:val="00D938BB"/>
    <w:rsid w:val="00D95649"/>
    <w:rsid w:val="00D95666"/>
    <w:rsid w:val="00D95A2F"/>
    <w:rsid w:val="00D96F05"/>
    <w:rsid w:val="00D97048"/>
    <w:rsid w:val="00DA00DD"/>
    <w:rsid w:val="00DA0274"/>
    <w:rsid w:val="00DA1869"/>
    <w:rsid w:val="00DA44D2"/>
    <w:rsid w:val="00DB0C7E"/>
    <w:rsid w:val="00DB22FF"/>
    <w:rsid w:val="00DB3DB8"/>
    <w:rsid w:val="00DB6070"/>
    <w:rsid w:val="00DB758E"/>
    <w:rsid w:val="00DC02BC"/>
    <w:rsid w:val="00DC1285"/>
    <w:rsid w:val="00DC2A09"/>
    <w:rsid w:val="00DC44A2"/>
    <w:rsid w:val="00DC44AF"/>
    <w:rsid w:val="00DC6673"/>
    <w:rsid w:val="00DE0070"/>
    <w:rsid w:val="00DE16F3"/>
    <w:rsid w:val="00DE5F49"/>
    <w:rsid w:val="00DE65C7"/>
    <w:rsid w:val="00DE7606"/>
    <w:rsid w:val="00DE7941"/>
    <w:rsid w:val="00DF1431"/>
    <w:rsid w:val="00DF1FBF"/>
    <w:rsid w:val="00DF2559"/>
    <w:rsid w:val="00DF436D"/>
    <w:rsid w:val="00DF4B24"/>
    <w:rsid w:val="00DF5641"/>
    <w:rsid w:val="00DF6209"/>
    <w:rsid w:val="00E0054D"/>
    <w:rsid w:val="00E00C01"/>
    <w:rsid w:val="00E02057"/>
    <w:rsid w:val="00E02288"/>
    <w:rsid w:val="00E0231C"/>
    <w:rsid w:val="00E03910"/>
    <w:rsid w:val="00E05409"/>
    <w:rsid w:val="00E124B2"/>
    <w:rsid w:val="00E14D6F"/>
    <w:rsid w:val="00E15F7B"/>
    <w:rsid w:val="00E16175"/>
    <w:rsid w:val="00E1738E"/>
    <w:rsid w:val="00E2325B"/>
    <w:rsid w:val="00E2554B"/>
    <w:rsid w:val="00E3193F"/>
    <w:rsid w:val="00E33C09"/>
    <w:rsid w:val="00E3686A"/>
    <w:rsid w:val="00E36DB8"/>
    <w:rsid w:val="00E37406"/>
    <w:rsid w:val="00E42DCB"/>
    <w:rsid w:val="00E43FC0"/>
    <w:rsid w:val="00E46208"/>
    <w:rsid w:val="00E47FD0"/>
    <w:rsid w:val="00E50489"/>
    <w:rsid w:val="00E53E34"/>
    <w:rsid w:val="00E54066"/>
    <w:rsid w:val="00E549D8"/>
    <w:rsid w:val="00E610F9"/>
    <w:rsid w:val="00E611F6"/>
    <w:rsid w:val="00E62C18"/>
    <w:rsid w:val="00E65C8F"/>
    <w:rsid w:val="00E720AC"/>
    <w:rsid w:val="00E72983"/>
    <w:rsid w:val="00E73664"/>
    <w:rsid w:val="00E74E01"/>
    <w:rsid w:val="00E758DD"/>
    <w:rsid w:val="00E77879"/>
    <w:rsid w:val="00E801F6"/>
    <w:rsid w:val="00E85BAF"/>
    <w:rsid w:val="00E8763F"/>
    <w:rsid w:val="00E94B8E"/>
    <w:rsid w:val="00EA0AB0"/>
    <w:rsid w:val="00EA18A1"/>
    <w:rsid w:val="00EA1B3A"/>
    <w:rsid w:val="00EA417F"/>
    <w:rsid w:val="00EA41D4"/>
    <w:rsid w:val="00EA601A"/>
    <w:rsid w:val="00EA6D82"/>
    <w:rsid w:val="00EB3FE1"/>
    <w:rsid w:val="00EB4E06"/>
    <w:rsid w:val="00EB7A06"/>
    <w:rsid w:val="00EC546B"/>
    <w:rsid w:val="00EC674C"/>
    <w:rsid w:val="00EC7183"/>
    <w:rsid w:val="00ED04F6"/>
    <w:rsid w:val="00ED14CE"/>
    <w:rsid w:val="00ED23AA"/>
    <w:rsid w:val="00ED2CD7"/>
    <w:rsid w:val="00ED2EBB"/>
    <w:rsid w:val="00ED51FD"/>
    <w:rsid w:val="00ED55A7"/>
    <w:rsid w:val="00ED7BED"/>
    <w:rsid w:val="00ED7DC6"/>
    <w:rsid w:val="00EE1748"/>
    <w:rsid w:val="00EE3B91"/>
    <w:rsid w:val="00EE4933"/>
    <w:rsid w:val="00EE4E9D"/>
    <w:rsid w:val="00EE5164"/>
    <w:rsid w:val="00EE6E1D"/>
    <w:rsid w:val="00EE7744"/>
    <w:rsid w:val="00EF0749"/>
    <w:rsid w:val="00EF1E09"/>
    <w:rsid w:val="00EF2225"/>
    <w:rsid w:val="00EF22E7"/>
    <w:rsid w:val="00EF3A6C"/>
    <w:rsid w:val="00EF3F0A"/>
    <w:rsid w:val="00EF7727"/>
    <w:rsid w:val="00F03885"/>
    <w:rsid w:val="00F04528"/>
    <w:rsid w:val="00F04BA6"/>
    <w:rsid w:val="00F05738"/>
    <w:rsid w:val="00F06C2F"/>
    <w:rsid w:val="00F07D28"/>
    <w:rsid w:val="00F10938"/>
    <w:rsid w:val="00F13343"/>
    <w:rsid w:val="00F22810"/>
    <w:rsid w:val="00F23B04"/>
    <w:rsid w:val="00F27887"/>
    <w:rsid w:val="00F3165E"/>
    <w:rsid w:val="00F32EAA"/>
    <w:rsid w:val="00F369BF"/>
    <w:rsid w:val="00F41E19"/>
    <w:rsid w:val="00F42048"/>
    <w:rsid w:val="00F42D06"/>
    <w:rsid w:val="00F44661"/>
    <w:rsid w:val="00F44824"/>
    <w:rsid w:val="00F4605E"/>
    <w:rsid w:val="00F46515"/>
    <w:rsid w:val="00F52FF4"/>
    <w:rsid w:val="00F53461"/>
    <w:rsid w:val="00F6781F"/>
    <w:rsid w:val="00F67D8C"/>
    <w:rsid w:val="00F67E4F"/>
    <w:rsid w:val="00F70BA2"/>
    <w:rsid w:val="00F71A86"/>
    <w:rsid w:val="00F74BE9"/>
    <w:rsid w:val="00F7561D"/>
    <w:rsid w:val="00F7622C"/>
    <w:rsid w:val="00F77B85"/>
    <w:rsid w:val="00F81E4C"/>
    <w:rsid w:val="00F8215C"/>
    <w:rsid w:val="00F82A4C"/>
    <w:rsid w:val="00F82DF3"/>
    <w:rsid w:val="00F8375C"/>
    <w:rsid w:val="00F842C2"/>
    <w:rsid w:val="00F846F1"/>
    <w:rsid w:val="00F8584B"/>
    <w:rsid w:val="00F90277"/>
    <w:rsid w:val="00F90EE0"/>
    <w:rsid w:val="00F94649"/>
    <w:rsid w:val="00F959EC"/>
    <w:rsid w:val="00F95AEF"/>
    <w:rsid w:val="00F96540"/>
    <w:rsid w:val="00F9736A"/>
    <w:rsid w:val="00FA2651"/>
    <w:rsid w:val="00FA2807"/>
    <w:rsid w:val="00FA6A4E"/>
    <w:rsid w:val="00FB00CE"/>
    <w:rsid w:val="00FB3C03"/>
    <w:rsid w:val="00FB517E"/>
    <w:rsid w:val="00FB7290"/>
    <w:rsid w:val="00FC0735"/>
    <w:rsid w:val="00FC2474"/>
    <w:rsid w:val="00FC6189"/>
    <w:rsid w:val="00FD06DE"/>
    <w:rsid w:val="00FD351A"/>
    <w:rsid w:val="00FD36DC"/>
    <w:rsid w:val="00FD3EB6"/>
    <w:rsid w:val="00FD67F3"/>
    <w:rsid w:val="00FD6C95"/>
    <w:rsid w:val="00FE1093"/>
    <w:rsid w:val="00FE2171"/>
    <w:rsid w:val="00FE3656"/>
    <w:rsid w:val="00FF2BEB"/>
    <w:rsid w:val="00FF3EDF"/>
    <w:rsid w:val="00FF5296"/>
    <w:rsid w:val="00FF68E8"/>
    <w:rsid w:val="00FF73AE"/>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4B33EAA"/>
  <w15:chartTrackingRefBased/>
  <w15:docId w15:val="{90CCB5DD-F652-6144-B24E-FD2556935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920"/>
    <w:rPr>
      <w:rFonts w:ascii="Times New Roman" w:eastAsia="Times New Roman" w:hAnsi="Times New Roman" w:cs="Times New Roman"/>
      <w:kern w:val="0"/>
      <w:lang w:val="tr-T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k1Char">
    <w:name w:val="Başlık 1 Char"/>
    <w:basedOn w:val="DefaultParagraphFont"/>
    <w:uiPriority w:val="99"/>
    <w:qFormat/>
    <w:rsid w:val="009B7138"/>
    <w:rPr>
      <w:rFonts w:asciiTheme="minorHAnsi" w:eastAsiaTheme="majorEastAsia" w:hAnsiTheme="minorHAnsi" w:cstheme="majorBidi"/>
      <w:b/>
      <w:color w:val="2F5496" w:themeColor="accent1" w:themeShade="BF"/>
      <w:kern w:val="3"/>
      <w:sz w:val="24"/>
      <w:szCs w:val="32"/>
    </w:rPr>
  </w:style>
  <w:style w:type="paragraph" w:styleId="TableofFigures">
    <w:name w:val="table of figures"/>
    <w:basedOn w:val="Normal"/>
    <w:next w:val="Normal"/>
    <w:autoRedefine/>
    <w:uiPriority w:val="99"/>
    <w:semiHidden/>
    <w:unhideWhenUsed/>
    <w:rsid w:val="005339B5"/>
    <w:rPr>
      <w:rFonts w:asciiTheme="minorHAnsi" w:hAnsiTheme="minorHAnsi"/>
      <w:kern w:val="2"/>
      <w:lang w:val="en-TR"/>
      <w14:ligatures w14:val="standardContextual"/>
    </w:rPr>
  </w:style>
  <w:style w:type="paragraph" w:customStyle="1" w:styleId="msonormal0">
    <w:name w:val="msonormal"/>
    <w:basedOn w:val="Normal"/>
    <w:rsid w:val="00AA04EE"/>
    <w:pPr>
      <w:spacing w:before="100" w:beforeAutospacing="1" w:after="100" w:afterAutospacing="1"/>
    </w:pPr>
    <w:rPr>
      <w:kern w:val="2"/>
      <w:lang w:val="en-TR"/>
      <w14:ligatures w14:val="standardContextual"/>
    </w:rPr>
  </w:style>
  <w:style w:type="paragraph" w:styleId="NormalWeb">
    <w:name w:val="Normal (Web)"/>
    <w:basedOn w:val="Normal"/>
    <w:uiPriority w:val="99"/>
    <w:semiHidden/>
    <w:unhideWhenUsed/>
    <w:rsid w:val="00AA04EE"/>
    <w:pPr>
      <w:spacing w:before="100" w:beforeAutospacing="1" w:after="100" w:afterAutospacing="1"/>
    </w:pPr>
    <w:rPr>
      <w:kern w:val="2"/>
      <w:lang w:val="en-TR"/>
      <w14:ligatures w14:val="standardContextual"/>
    </w:rPr>
  </w:style>
  <w:style w:type="paragraph" w:customStyle="1" w:styleId="Default">
    <w:name w:val="Default"/>
    <w:rsid w:val="00B30920"/>
    <w:pPr>
      <w:autoSpaceDE w:val="0"/>
      <w:autoSpaceDN w:val="0"/>
      <w:adjustRightInd w:val="0"/>
    </w:pPr>
    <w:rPr>
      <w:rFonts w:ascii="Cambria" w:hAnsi="Cambria" w:cs="Cambria"/>
      <w:color w:val="000000"/>
      <w:kern w:val="0"/>
      <w:lang w:val="tr-TR"/>
      <w14:ligatures w14:val="none"/>
    </w:rPr>
  </w:style>
  <w:style w:type="table" w:styleId="TableGrid">
    <w:name w:val="Table Grid"/>
    <w:basedOn w:val="TableNormal"/>
    <w:uiPriority w:val="39"/>
    <w:rsid w:val="00B30920"/>
    <w:rPr>
      <w:kern w:val="0"/>
      <w:lang w:val="tr-T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8563674">
      <w:bodyDiv w:val="1"/>
      <w:marLeft w:val="0"/>
      <w:marRight w:val="0"/>
      <w:marTop w:val="0"/>
      <w:marBottom w:val="0"/>
      <w:divBdr>
        <w:top w:val="none" w:sz="0" w:space="0" w:color="auto"/>
        <w:left w:val="none" w:sz="0" w:space="0" w:color="auto"/>
        <w:bottom w:val="none" w:sz="0" w:space="0" w:color="auto"/>
        <w:right w:val="none" w:sz="0" w:space="0" w:color="auto"/>
      </w:divBdr>
      <w:divsChild>
        <w:div w:id="1476528290">
          <w:marLeft w:val="0"/>
          <w:marRight w:val="0"/>
          <w:marTop w:val="0"/>
          <w:marBottom w:val="0"/>
          <w:divBdr>
            <w:top w:val="none" w:sz="0" w:space="0" w:color="auto"/>
            <w:left w:val="none" w:sz="0" w:space="0" w:color="auto"/>
            <w:bottom w:val="none" w:sz="0" w:space="0" w:color="auto"/>
            <w:right w:val="none" w:sz="0" w:space="0" w:color="auto"/>
          </w:divBdr>
          <w:divsChild>
            <w:div w:id="1067145364">
              <w:marLeft w:val="0"/>
              <w:marRight w:val="0"/>
              <w:marTop w:val="0"/>
              <w:marBottom w:val="0"/>
              <w:divBdr>
                <w:top w:val="none" w:sz="0" w:space="0" w:color="auto"/>
                <w:left w:val="none" w:sz="0" w:space="0" w:color="auto"/>
                <w:bottom w:val="none" w:sz="0" w:space="0" w:color="auto"/>
                <w:right w:val="none" w:sz="0" w:space="0" w:color="auto"/>
              </w:divBdr>
              <w:divsChild>
                <w:div w:id="540435848">
                  <w:marLeft w:val="0"/>
                  <w:marRight w:val="0"/>
                  <w:marTop w:val="0"/>
                  <w:marBottom w:val="0"/>
                  <w:divBdr>
                    <w:top w:val="none" w:sz="0" w:space="0" w:color="auto"/>
                    <w:left w:val="none" w:sz="0" w:space="0" w:color="auto"/>
                    <w:bottom w:val="none" w:sz="0" w:space="0" w:color="auto"/>
                    <w:right w:val="none" w:sz="0" w:space="0" w:color="auto"/>
                  </w:divBdr>
                </w:div>
              </w:divsChild>
            </w:div>
            <w:div w:id="1389456507">
              <w:marLeft w:val="0"/>
              <w:marRight w:val="0"/>
              <w:marTop w:val="0"/>
              <w:marBottom w:val="0"/>
              <w:divBdr>
                <w:top w:val="none" w:sz="0" w:space="0" w:color="auto"/>
                <w:left w:val="none" w:sz="0" w:space="0" w:color="auto"/>
                <w:bottom w:val="none" w:sz="0" w:space="0" w:color="auto"/>
                <w:right w:val="none" w:sz="0" w:space="0" w:color="auto"/>
              </w:divBdr>
              <w:divsChild>
                <w:div w:id="1041977482">
                  <w:marLeft w:val="0"/>
                  <w:marRight w:val="0"/>
                  <w:marTop w:val="0"/>
                  <w:marBottom w:val="0"/>
                  <w:divBdr>
                    <w:top w:val="none" w:sz="0" w:space="0" w:color="auto"/>
                    <w:left w:val="none" w:sz="0" w:space="0" w:color="auto"/>
                    <w:bottom w:val="none" w:sz="0" w:space="0" w:color="auto"/>
                    <w:right w:val="none" w:sz="0" w:space="0" w:color="auto"/>
                  </w:divBdr>
                </w:div>
                <w:div w:id="1899129581">
                  <w:marLeft w:val="0"/>
                  <w:marRight w:val="0"/>
                  <w:marTop w:val="0"/>
                  <w:marBottom w:val="0"/>
                  <w:divBdr>
                    <w:top w:val="none" w:sz="0" w:space="0" w:color="auto"/>
                    <w:left w:val="none" w:sz="0" w:space="0" w:color="auto"/>
                    <w:bottom w:val="none" w:sz="0" w:space="0" w:color="auto"/>
                    <w:right w:val="none" w:sz="0" w:space="0" w:color="auto"/>
                  </w:divBdr>
                </w:div>
                <w:div w:id="526064495">
                  <w:marLeft w:val="0"/>
                  <w:marRight w:val="0"/>
                  <w:marTop w:val="0"/>
                  <w:marBottom w:val="0"/>
                  <w:divBdr>
                    <w:top w:val="none" w:sz="0" w:space="0" w:color="auto"/>
                    <w:left w:val="none" w:sz="0" w:space="0" w:color="auto"/>
                    <w:bottom w:val="none" w:sz="0" w:space="0" w:color="auto"/>
                    <w:right w:val="none" w:sz="0" w:space="0" w:color="auto"/>
                  </w:divBdr>
                </w:div>
                <w:div w:id="1975791837">
                  <w:marLeft w:val="0"/>
                  <w:marRight w:val="0"/>
                  <w:marTop w:val="0"/>
                  <w:marBottom w:val="0"/>
                  <w:divBdr>
                    <w:top w:val="none" w:sz="0" w:space="0" w:color="auto"/>
                    <w:left w:val="none" w:sz="0" w:space="0" w:color="auto"/>
                    <w:bottom w:val="none" w:sz="0" w:space="0" w:color="auto"/>
                    <w:right w:val="none" w:sz="0" w:space="0" w:color="auto"/>
                  </w:divBdr>
                </w:div>
                <w:div w:id="781534345">
                  <w:marLeft w:val="0"/>
                  <w:marRight w:val="0"/>
                  <w:marTop w:val="0"/>
                  <w:marBottom w:val="0"/>
                  <w:divBdr>
                    <w:top w:val="none" w:sz="0" w:space="0" w:color="auto"/>
                    <w:left w:val="none" w:sz="0" w:space="0" w:color="auto"/>
                    <w:bottom w:val="none" w:sz="0" w:space="0" w:color="auto"/>
                    <w:right w:val="none" w:sz="0" w:space="0" w:color="auto"/>
                  </w:divBdr>
                </w:div>
                <w:div w:id="1257397276">
                  <w:marLeft w:val="0"/>
                  <w:marRight w:val="0"/>
                  <w:marTop w:val="0"/>
                  <w:marBottom w:val="0"/>
                  <w:divBdr>
                    <w:top w:val="none" w:sz="0" w:space="0" w:color="auto"/>
                    <w:left w:val="none" w:sz="0" w:space="0" w:color="auto"/>
                    <w:bottom w:val="none" w:sz="0" w:space="0" w:color="auto"/>
                    <w:right w:val="none" w:sz="0" w:space="0" w:color="auto"/>
                  </w:divBdr>
                </w:div>
              </w:divsChild>
            </w:div>
            <w:div w:id="571545928">
              <w:marLeft w:val="0"/>
              <w:marRight w:val="0"/>
              <w:marTop w:val="0"/>
              <w:marBottom w:val="0"/>
              <w:divBdr>
                <w:top w:val="none" w:sz="0" w:space="0" w:color="auto"/>
                <w:left w:val="none" w:sz="0" w:space="0" w:color="auto"/>
                <w:bottom w:val="none" w:sz="0" w:space="0" w:color="auto"/>
                <w:right w:val="none" w:sz="0" w:space="0" w:color="auto"/>
              </w:divBdr>
              <w:divsChild>
                <w:div w:id="1481580839">
                  <w:marLeft w:val="0"/>
                  <w:marRight w:val="0"/>
                  <w:marTop w:val="0"/>
                  <w:marBottom w:val="0"/>
                  <w:divBdr>
                    <w:top w:val="none" w:sz="0" w:space="0" w:color="auto"/>
                    <w:left w:val="none" w:sz="0" w:space="0" w:color="auto"/>
                    <w:bottom w:val="none" w:sz="0" w:space="0" w:color="auto"/>
                    <w:right w:val="none" w:sz="0" w:space="0" w:color="auto"/>
                  </w:divBdr>
                </w:div>
                <w:div w:id="1730035136">
                  <w:marLeft w:val="0"/>
                  <w:marRight w:val="0"/>
                  <w:marTop w:val="0"/>
                  <w:marBottom w:val="0"/>
                  <w:divBdr>
                    <w:top w:val="none" w:sz="0" w:space="0" w:color="auto"/>
                    <w:left w:val="none" w:sz="0" w:space="0" w:color="auto"/>
                    <w:bottom w:val="none" w:sz="0" w:space="0" w:color="auto"/>
                    <w:right w:val="none" w:sz="0" w:space="0" w:color="auto"/>
                  </w:divBdr>
                </w:div>
                <w:div w:id="1990984613">
                  <w:marLeft w:val="0"/>
                  <w:marRight w:val="0"/>
                  <w:marTop w:val="0"/>
                  <w:marBottom w:val="0"/>
                  <w:divBdr>
                    <w:top w:val="none" w:sz="0" w:space="0" w:color="auto"/>
                    <w:left w:val="none" w:sz="0" w:space="0" w:color="auto"/>
                    <w:bottom w:val="none" w:sz="0" w:space="0" w:color="auto"/>
                    <w:right w:val="none" w:sz="0" w:space="0" w:color="auto"/>
                  </w:divBdr>
                </w:div>
                <w:div w:id="1408068655">
                  <w:marLeft w:val="0"/>
                  <w:marRight w:val="0"/>
                  <w:marTop w:val="0"/>
                  <w:marBottom w:val="0"/>
                  <w:divBdr>
                    <w:top w:val="none" w:sz="0" w:space="0" w:color="auto"/>
                    <w:left w:val="none" w:sz="0" w:space="0" w:color="auto"/>
                    <w:bottom w:val="none" w:sz="0" w:space="0" w:color="auto"/>
                    <w:right w:val="none" w:sz="0" w:space="0" w:color="auto"/>
                  </w:divBdr>
                </w:div>
                <w:div w:id="1651864940">
                  <w:marLeft w:val="0"/>
                  <w:marRight w:val="0"/>
                  <w:marTop w:val="0"/>
                  <w:marBottom w:val="0"/>
                  <w:divBdr>
                    <w:top w:val="none" w:sz="0" w:space="0" w:color="auto"/>
                    <w:left w:val="none" w:sz="0" w:space="0" w:color="auto"/>
                    <w:bottom w:val="none" w:sz="0" w:space="0" w:color="auto"/>
                    <w:right w:val="none" w:sz="0" w:space="0" w:color="auto"/>
                  </w:divBdr>
                </w:div>
                <w:div w:id="1514031030">
                  <w:marLeft w:val="0"/>
                  <w:marRight w:val="0"/>
                  <w:marTop w:val="0"/>
                  <w:marBottom w:val="0"/>
                  <w:divBdr>
                    <w:top w:val="none" w:sz="0" w:space="0" w:color="auto"/>
                    <w:left w:val="none" w:sz="0" w:space="0" w:color="auto"/>
                    <w:bottom w:val="none" w:sz="0" w:space="0" w:color="auto"/>
                    <w:right w:val="none" w:sz="0" w:space="0" w:color="auto"/>
                  </w:divBdr>
                </w:div>
              </w:divsChild>
            </w:div>
            <w:div w:id="1403328773">
              <w:marLeft w:val="0"/>
              <w:marRight w:val="0"/>
              <w:marTop w:val="0"/>
              <w:marBottom w:val="0"/>
              <w:divBdr>
                <w:top w:val="none" w:sz="0" w:space="0" w:color="auto"/>
                <w:left w:val="none" w:sz="0" w:space="0" w:color="auto"/>
                <w:bottom w:val="none" w:sz="0" w:space="0" w:color="auto"/>
                <w:right w:val="none" w:sz="0" w:space="0" w:color="auto"/>
              </w:divBdr>
              <w:divsChild>
                <w:div w:id="177964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11</Pages>
  <Words>2378</Words>
  <Characters>13561</Characters>
  <Application>Microsoft Office Word</Application>
  <DocSecurity>0</DocSecurity>
  <Lines>113</Lines>
  <Paragraphs>31</Paragraphs>
  <ScaleCrop>false</ScaleCrop>
  <Company/>
  <LinksUpToDate>false</LinksUpToDate>
  <CharactersWithSpaces>15908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Tülin Çoban</dc:creator>
  <cp:keywords/>
  <dc:description/>
  <cp:lastModifiedBy>Tülin Çoban</cp:lastModifiedBy>
  <cp:revision>1</cp:revision>
  <dcterms:created xsi:type="dcterms:W3CDTF">2025-03-23T19:08:00Z</dcterms:created>
  <dcterms:modified xsi:type="dcterms:W3CDTF">2025-03-23T19:12:00Z</dcterms:modified>
</cp:coreProperties>
</file>