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3F48" w:rsidRPr="00C35169" w:rsidRDefault="00873F48" w:rsidP="00873F48">
      <w:pPr>
        <w:ind w:firstLine="0"/>
        <w:rPr>
          <w:rFonts w:ascii="Arial" w:hAnsi="Arial" w:cs="Arial"/>
          <w:b/>
          <w:sz w:val="24"/>
          <w:szCs w:val="24"/>
          <w:lang w:val="en-US"/>
        </w:rPr>
      </w:pPr>
      <w:r w:rsidRPr="00C35169">
        <w:rPr>
          <w:rFonts w:ascii="Arial" w:hAnsi="Arial" w:cs="Arial"/>
          <w:b/>
          <w:sz w:val="24"/>
          <w:szCs w:val="24"/>
          <w:lang w:val="en-US"/>
        </w:rPr>
        <w:t>Supplement</w:t>
      </w:r>
      <w:r>
        <w:rPr>
          <w:rFonts w:ascii="Arial" w:hAnsi="Arial" w:cs="Arial"/>
          <w:b/>
          <w:sz w:val="24"/>
          <w:szCs w:val="24"/>
          <w:lang w:val="en-US"/>
        </w:rPr>
        <w:t>ary Materials</w:t>
      </w:r>
    </w:p>
    <w:p w:rsidR="00873F48" w:rsidRPr="00D07411" w:rsidRDefault="00873F48" w:rsidP="00873F48">
      <w:pPr>
        <w:ind w:firstLine="0"/>
        <w:rPr>
          <w:rFonts w:ascii="Arial" w:hAnsi="Arial" w:cs="Arial"/>
          <w:b/>
          <w:sz w:val="24"/>
          <w:szCs w:val="24"/>
          <w:lang w:val="en-US"/>
        </w:rPr>
      </w:pPr>
      <w:r>
        <w:rPr>
          <w:rFonts w:ascii="Arial" w:hAnsi="Arial" w:cs="Arial"/>
          <w:b/>
          <w:sz w:val="24"/>
          <w:szCs w:val="24"/>
          <w:lang w:val="en-US"/>
        </w:rPr>
        <w:t>Supplementary Methods</w:t>
      </w:r>
    </w:p>
    <w:p w:rsidR="00873F48" w:rsidRPr="00D07411" w:rsidRDefault="00873F48" w:rsidP="00873F48">
      <w:pPr>
        <w:ind w:firstLine="0"/>
        <w:rPr>
          <w:rFonts w:ascii="Arial" w:hAnsi="Arial" w:cs="Arial"/>
          <w:b/>
          <w:sz w:val="24"/>
          <w:szCs w:val="24"/>
          <w:lang w:val="en-US"/>
        </w:rPr>
      </w:pPr>
      <w:r w:rsidRPr="00D07411">
        <w:rPr>
          <w:rFonts w:ascii="Arial" w:hAnsi="Arial" w:cs="Arial"/>
          <w:b/>
          <w:sz w:val="24"/>
          <w:szCs w:val="24"/>
          <w:lang w:val="en-US"/>
        </w:rPr>
        <w:t>Inclusion and exclusion criteria</w:t>
      </w:r>
    </w:p>
    <w:p w:rsidR="00873F48" w:rsidRDefault="00873F48" w:rsidP="00873F48">
      <w:pPr>
        <w:ind w:firstLine="0"/>
        <w:rPr>
          <w:rFonts w:ascii="Arial" w:hAnsi="Arial" w:cs="Arial"/>
          <w:sz w:val="24"/>
          <w:szCs w:val="24"/>
          <w:lang w:val="en-US"/>
        </w:rPr>
      </w:pPr>
      <w:r w:rsidRPr="00D07411">
        <w:rPr>
          <w:rFonts w:ascii="Arial" w:hAnsi="Arial" w:cs="Arial"/>
          <w:sz w:val="24"/>
          <w:szCs w:val="24"/>
          <w:lang w:val="en-US"/>
        </w:rPr>
        <w:t xml:space="preserve">To be included in the study, participants had to be between 15 and 40 years old with sufficient language skills for participation and had to have the capacity to give their informed consent. Exclusion criteria were the following: an IQ below 70, current or past head trauma with loss of consciousness (&gt; 5 minutes), current or past known neurological or somatic disorders that could potentially affect structure or functioning of the brain, current or past alcohol dependence, polysubstance dependence within the past 6 month or medical indications against MRI. </w:t>
      </w:r>
      <w:r>
        <w:rPr>
          <w:rFonts w:ascii="Arial" w:hAnsi="Arial" w:cs="Arial"/>
          <w:sz w:val="24"/>
          <w:szCs w:val="24"/>
          <w:lang w:val="en-US"/>
        </w:rPr>
        <w:t>Recent-onset depression (</w:t>
      </w:r>
      <w:r w:rsidRPr="00D07411">
        <w:rPr>
          <w:rFonts w:ascii="Arial" w:hAnsi="Arial" w:cs="Arial"/>
          <w:sz w:val="24"/>
          <w:szCs w:val="24"/>
          <w:lang w:val="en-US"/>
        </w:rPr>
        <w:t>ROD</w:t>
      </w:r>
      <w:r>
        <w:rPr>
          <w:rFonts w:ascii="Arial" w:hAnsi="Arial" w:cs="Arial"/>
          <w:sz w:val="24"/>
          <w:szCs w:val="24"/>
          <w:lang w:val="en-US"/>
        </w:rPr>
        <w:t>)</w:t>
      </w:r>
      <w:r w:rsidRPr="00D07411">
        <w:rPr>
          <w:rFonts w:ascii="Arial" w:hAnsi="Arial" w:cs="Arial"/>
          <w:sz w:val="24"/>
          <w:szCs w:val="24"/>
          <w:lang w:val="en-US"/>
        </w:rPr>
        <w:t xml:space="preserve"> and </w:t>
      </w:r>
      <w:r>
        <w:rPr>
          <w:rFonts w:ascii="Arial" w:hAnsi="Arial" w:cs="Arial"/>
          <w:sz w:val="24"/>
          <w:szCs w:val="24"/>
          <w:lang w:val="en-US"/>
        </w:rPr>
        <w:t>Recent-onset psychosis (</w:t>
      </w:r>
      <w:r w:rsidRPr="00D07411">
        <w:rPr>
          <w:rFonts w:ascii="Arial" w:hAnsi="Arial" w:cs="Arial"/>
          <w:sz w:val="24"/>
          <w:szCs w:val="24"/>
          <w:lang w:val="en-US"/>
        </w:rPr>
        <w:t>ROP</w:t>
      </w:r>
      <w:r>
        <w:rPr>
          <w:rFonts w:ascii="Arial" w:hAnsi="Arial" w:cs="Arial"/>
          <w:sz w:val="24"/>
          <w:szCs w:val="24"/>
          <w:lang w:val="en-US"/>
        </w:rPr>
        <w:t>)</w:t>
      </w:r>
      <w:r w:rsidRPr="00D07411">
        <w:rPr>
          <w:rFonts w:ascii="Arial" w:hAnsi="Arial" w:cs="Arial"/>
          <w:sz w:val="24"/>
          <w:szCs w:val="24"/>
          <w:lang w:val="en-US"/>
        </w:rPr>
        <w:t xml:space="preserve"> criteria were assessed by the structured clinical interview for DSM-IV disorders (SCID) </w:t>
      </w:r>
      <w:r w:rsidRPr="00D07411">
        <w:rPr>
          <w:rFonts w:ascii="Arial" w:hAnsi="Arial" w:cs="Arial"/>
          <w:sz w:val="24"/>
          <w:szCs w:val="24"/>
          <w:lang w:val="en-US"/>
        </w:rPr>
        <w:fldChar w:fldCharType="begin"/>
      </w:r>
      <w:r>
        <w:rPr>
          <w:rFonts w:ascii="Arial" w:hAnsi="Arial" w:cs="Arial"/>
          <w:sz w:val="24"/>
          <w:szCs w:val="24"/>
          <w:lang w:val="en-US"/>
        </w:rPr>
        <w:instrText xml:space="preserve"> ADDIN ZOTERO_ITEM CSL_CITATION {"citationID":"JDGrQ3iE","properties":{"formattedCitation":"(1)","plainCitation":"(1)","noteIndex":0},"citationItems":[{"id":82,"uris":["http://zotero.org/users/local/YWW7uJeE/items/HHB5VDHF"],"itemData":{"id":82,"type":"chapter","abstract":"In this chapter, the authors examine the Structured Clinical Interview for Diagnostic and Statistical Manual-Fourth Edition Axis I Disorders (SCID-I) and the SCID-II. The main topics discussed in this chapter include the following: (1) test description; (2) theoretical basis; (3) test development; (4) psychometric characteristics; (5) cross-cultural factors; (6) accommodations for populations with disabilities; (7) computerization; (8) current research status; (9) use in clinical or organizational practice; and (10) future developments. (PsycInfo Database Record (c) 2022 APA, all rights reserved)","container-title":"Comprehensive handbook of psychological assessment, Vol. 2: Personality assessment.","event-place":"Hoboken,  NJ,  US","ISBN":"0-471-41612-6","page":"134-143","publisher":"John Wiley &amp; Sons, Inc.","publisher-place":"Hoboken,  NJ,  US","title":"The Structured Clinical Interview for DSM-IV Axis I Disorders (SCID-I) and the Structured Clinical Interview for DSM-IV Axis II Disorders (SCID-II).","author":[{"family":"First","given":"Michael B."},{"family":"Gibbon","given":"Miriam"}],"issued":{"date-parts":[["2004"]]}}}],"schema":"https://github.com/citation-style-language/schema/raw/master/csl-citation.json"} </w:instrText>
      </w:r>
      <w:r w:rsidRPr="00D07411">
        <w:rPr>
          <w:rFonts w:ascii="Arial" w:hAnsi="Arial" w:cs="Arial"/>
          <w:sz w:val="24"/>
          <w:szCs w:val="24"/>
          <w:lang w:val="en-US"/>
        </w:rPr>
        <w:fldChar w:fldCharType="separate"/>
      </w:r>
      <w:r w:rsidRPr="00873F48">
        <w:rPr>
          <w:rFonts w:ascii="Arial" w:hAnsi="Arial" w:cs="Arial"/>
          <w:sz w:val="24"/>
          <w:lang w:val="en-US"/>
        </w:rPr>
        <w:t>(1)</w:t>
      </w:r>
      <w:r w:rsidRPr="00D07411">
        <w:rPr>
          <w:rFonts w:ascii="Arial" w:hAnsi="Arial" w:cs="Arial"/>
          <w:sz w:val="24"/>
          <w:szCs w:val="24"/>
          <w:lang w:val="en-US"/>
        </w:rPr>
        <w:fldChar w:fldCharType="end"/>
      </w:r>
      <w:r w:rsidRPr="00D07411">
        <w:rPr>
          <w:rFonts w:ascii="Arial" w:hAnsi="Arial" w:cs="Arial"/>
          <w:sz w:val="24"/>
          <w:szCs w:val="24"/>
          <w:lang w:val="en-US"/>
        </w:rPr>
        <w:t xml:space="preserve">. ROP patients were included if they had a psychotic episode according to the DSM-IV-TR (Diagnostic and Statistical Manual of Mental Disorders, Text Revision) criteria for a lifetime affective and nonaffective psychotic episode within the past 3 months. In accordance with that ROD patients had to fulfill the DSM-IV-TR criteria for a lifetime major depressive episode within the past 3 months. For both groups the onset of the disease had to be within the last 24 months. Furthermore, </w:t>
      </w:r>
      <w:r>
        <w:rPr>
          <w:rFonts w:ascii="Arial" w:hAnsi="Arial" w:cs="Arial"/>
          <w:sz w:val="24"/>
          <w:szCs w:val="24"/>
          <w:lang w:val="en-US"/>
        </w:rPr>
        <w:t xml:space="preserve">ROD as well as ROP </w:t>
      </w:r>
      <w:r w:rsidRPr="00D07411">
        <w:rPr>
          <w:rFonts w:ascii="Arial" w:hAnsi="Arial" w:cs="Arial"/>
          <w:sz w:val="24"/>
          <w:szCs w:val="24"/>
          <w:lang w:val="en-US"/>
        </w:rPr>
        <w:t>subjects were excluded if they were on an antipsychotic medication for longer than 90 days or above the minimum dosage of the first-episode psychosis range</w:t>
      </w:r>
      <w:r>
        <w:rPr>
          <w:rFonts w:ascii="Arial" w:hAnsi="Arial" w:cs="Arial"/>
          <w:sz w:val="24"/>
          <w:szCs w:val="24"/>
          <w:lang w:val="en-US"/>
        </w:rPr>
        <w:t xml:space="preserve"> of DGPPN S3 Guidelines </w:t>
      </w:r>
      <w:r>
        <w:rPr>
          <w:rFonts w:ascii="Arial" w:hAnsi="Arial" w:cs="Arial"/>
          <w:sz w:val="24"/>
          <w:szCs w:val="24"/>
          <w:lang w:val="en-US"/>
        </w:rPr>
        <w:fldChar w:fldCharType="begin"/>
      </w:r>
      <w:r>
        <w:rPr>
          <w:rFonts w:ascii="Arial" w:hAnsi="Arial" w:cs="Arial"/>
          <w:sz w:val="24"/>
          <w:szCs w:val="24"/>
          <w:lang w:val="en-US"/>
        </w:rPr>
        <w:instrText xml:space="preserve"> ADDIN ZOTERO_ITEM CSL_CITATION {"citationID":"GoIKAKnV","properties":{"formattedCitation":"(2)","plainCitation":"(2)","noteIndex":0},"citationItems":[{"id":250,"uris":["http://zotero.org/users/local/YWW7uJeE/items/CT5839JC"],"itemData":{"id":250,"type":"webpage","title":"http://www.dgppn.de/fileadmin/user_upload/_medien/download/pdf/kurzversion-leitlinien/s3-praxisleitlinienbd1-schizophrenie.pdf","URL":"http://www.dgppn.de/fileadmin/user_upload/_medien/download/pdf/kurzversion-leitlinien/s3-praxisleitlinienbd1-schizophrenie.pdf","accessed":{"date-parts":[["2013",12,4]]}}}],"schema":"https://github.com/citation-style-language/schema/raw/master/csl-citation.json"} </w:instrText>
      </w:r>
      <w:r>
        <w:rPr>
          <w:rFonts w:ascii="Arial" w:hAnsi="Arial" w:cs="Arial"/>
          <w:sz w:val="24"/>
          <w:szCs w:val="24"/>
          <w:lang w:val="en-US"/>
        </w:rPr>
        <w:fldChar w:fldCharType="separate"/>
      </w:r>
      <w:r w:rsidRPr="00873F48">
        <w:rPr>
          <w:rFonts w:ascii="Arial" w:hAnsi="Arial" w:cs="Arial"/>
          <w:sz w:val="24"/>
          <w:lang w:val="en-US"/>
        </w:rPr>
        <w:t>(2)</w:t>
      </w:r>
      <w:r>
        <w:rPr>
          <w:rFonts w:ascii="Arial" w:hAnsi="Arial" w:cs="Arial"/>
          <w:sz w:val="24"/>
          <w:szCs w:val="24"/>
          <w:lang w:val="en-US"/>
        </w:rPr>
        <w:fldChar w:fldCharType="end"/>
      </w:r>
      <w:r w:rsidRPr="00D07411">
        <w:rPr>
          <w:rFonts w:ascii="Arial" w:hAnsi="Arial" w:cs="Arial"/>
          <w:sz w:val="24"/>
          <w:szCs w:val="24"/>
          <w:lang w:val="en-US"/>
        </w:rPr>
        <w:t xml:space="preserve">. To be included in the </w:t>
      </w:r>
      <w:r>
        <w:rPr>
          <w:rFonts w:ascii="Arial" w:hAnsi="Arial" w:cs="Arial"/>
          <w:sz w:val="24"/>
          <w:szCs w:val="24"/>
          <w:lang w:val="en-US"/>
        </w:rPr>
        <w:t>clinical high-risk for psychosis (</w:t>
      </w:r>
      <w:r w:rsidRPr="00D07411">
        <w:rPr>
          <w:rFonts w:ascii="Arial" w:hAnsi="Arial" w:cs="Arial"/>
          <w:sz w:val="24"/>
          <w:szCs w:val="24"/>
          <w:lang w:val="en-US"/>
        </w:rPr>
        <w:t>CHR</w:t>
      </w:r>
      <w:r>
        <w:rPr>
          <w:rFonts w:ascii="Arial" w:hAnsi="Arial" w:cs="Arial"/>
          <w:sz w:val="24"/>
          <w:szCs w:val="24"/>
          <w:lang w:val="en-US"/>
        </w:rPr>
        <w:t>-P)</w:t>
      </w:r>
      <w:r w:rsidRPr="00D07411">
        <w:rPr>
          <w:rFonts w:ascii="Arial" w:hAnsi="Arial" w:cs="Arial"/>
          <w:sz w:val="24"/>
          <w:szCs w:val="24"/>
          <w:lang w:val="en-US"/>
        </w:rPr>
        <w:t xml:space="preserve"> group, participants either needed to fulfill ultra-high-risk criteria, which were assessed by the Structured Interview for Psychosis-Risk Syndromes </w:t>
      </w:r>
      <w:r w:rsidRPr="00D07411">
        <w:rPr>
          <w:rFonts w:ascii="Arial" w:hAnsi="Arial" w:cs="Arial"/>
          <w:sz w:val="24"/>
          <w:szCs w:val="24"/>
          <w:lang w:val="en-US"/>
        </w:rPr>
        <w:fldChar w:fldCharType="begin"/>
      </w:r>
      <w:r>
        <w:rPr>
          <w:rFonts w:ascii="Arial" w:hAnsi="Arial" w:cs="Arial"/>
          <w:sz w:val="24"/>
          <w:szCs w:val="24"/>
          <w:lang w:val="en-US"/>
        </w:rPr>
        <w:instrText xml:space="preserve"> ADDIN ZOTERO_ITEM CSL_CITATION {"citationID":"dftvZzy1","properties":{"formattedCitation":"(3)","plainCitation":"(3)","noteIndex":0},"citationItems":[{"id":84,"uris":["http://zotero.org/users/local/YWW7uJeE/items/ESZXG7PJ"],"itemData":{"id":84,"type":"chapter","container-title":"Early Intervention in Psychotic Disorders","event-place":"Dordrecht","ISBN":"978-0-7923-6750-5","note":"DOI: 10.1007/978-94-010-0892-1_7","page":"135-149","publisher":"Springer Netherlands","publisher-place":"Dordrecht","source":"DOI.org (Crossref)","title":"Instrument for the Assessment of Prodromal Symptoms and States","URL":"http://link.springer.com/10.1007/978-94-010-0892-1_7","editor":[{"family":"Miller","given":"Tandy"},{"family":"Mednick","given":"Sarnoff A."},{"family":"McGlashan","given":"Thomas H."},{"family":"Libiger","given":"Jan"},{"family":"Johannessen","given":"Jan Olav"}],"author":[{"family":"McGlashan","given":"Thomas H."},{"family":"Miller","given":"Tandy J."},{"family":"Woods","given":"Scott W."},{"family":"Hoffman","given":"Ralph E."},{"family":"Davidson","given":"Larry"}],"accessed":{"date-parts":[["2024",4,4]]},"issued":{"date-parts":[["2001"]]}}}],"schema":"https://github.com/citation-style-language/schema/raw/master/csl-citation.json"} </w:instrText>
      </w:r>
      <w:r w:rsidRPr="00D07411">
        <w:rPr>
          <w:rFonts w:ascii="Arial" w:hAnsi="Arial" w:cs="Arial"/>
          <w:sz w:val="24"/>
          <w:szCs w:val="24"/>
          <w:lang w:val="en-US"/>
        </w:rPr>
        <w:fldChar w:fldCharType="separate"/>
      </w:r>
      <w:r w:rsidRPr="00873F48">
        <w:rPr>
          <w:rFonts w:ascii="Arial" w:hAnsi="Arial" w:cs="Arial"/>
          <w:sz w:val="24"/>
          <w:lang w:val="en-US"/>
        </w:rPr>
        <w:t>(3)</w:t>
      </w:r>
      <w:r w:rsidRPr="00D07411">
        <w:rPr>
          <w:rFonts w:ascii="Arial" w:hAnsi="Arial" w:cs="Arial"/>
          <w:sz w:val="24"/>
          <w:szCs w:val="24"/>
          <w:lang w:val="en-US"/>
        </w:rPr>
        <w:fldChar w:fldCharType="end"/>
      </w:r>
      <w:r w:rsidRPr="00D07411">
        <w:rPr>
          <w:rFonts w:ascii="Arial" w:hAnsi="Arial" w:cs="Arial"/>
          <w:sz w:val="24"/>
          <w:szCs w:val="24"/>
          <w:lang w:val="en-US"/>
        </w:rPr>
        <w:t xml:space="preserve"> or the cognitive disturbances (COGDIS) criteria, assessed by the Schizophrenia Proneness Instrument (SPI-A) </w:t>
      </w:r>
      <w:r w:rsidRPr="00D07411">
        <w:rPr>
          <w:rFonts w:ascii="Arial" w:hAnsi="Arial" w:cs="Arial"/>
          <w:sz w:val="24"/>
          <w:szCs w:val="24"/>
          <w:lang w:val="en-US"/>
        </w:rPr>
        <w:fldChar w:fldCharType="begin"/>
      </w:r>
      <w:r>
        <w:rPr>
          <w:rFonts w:ascii="Arial" w:hAnsi="Arial" w:cs="Arial"/>
          <w:sz w:val="24"/>
          <w:szCs w:val="24"/>
          <w:lang w:val="en-US"/>
        </w:rPr>
        <w:instrText xml:space="preserve"> ADDIN ZOTERO_ITEM CSL_CITATION {"citationID":"ZeHNCT9D","properties":{"formattedCitation":"(4)","plainCitation":"(4)","noteIndex":0},"citationItems":[{"id":101,"uris":["http://zotero.org/users/local/YWW7uJeE/items/US7696EQ"],"itemData":{"id":101,"type":"article-journal","container-title":"Rome: Giovanni Fioriti","journalAbbreviation":"Rome: Giovanni Fioriti","title":"Schizophrenia proneness instrument, adult version (SPI-A)","author":[{"family":"Schultze-Lutter","given":"Frauke"},{"family":"Addington","given":"Jean"},{"family":"Ruhrmann","given":"Stephan"},{"family":"Klosterkötter","given":"Joachim"}],"issued":{"date-parts":[["2007"]]}}}],"schema":"https://github.com/citation-style-language/schema/raw/master/csl-citation.json"} </w:instrText>
      </w:r>
      <w:r w:rsidRPr="00D07411">
        <w:rPr>
          <w:rFonts w:ascii="Arial" w:hAnsi="Arial" w:cs="Arial"/>
          <w:sz w:val="24"/>
          <w:szCs w:val="24"/>
          <w:lang w:val="en-US"/>
        </w:rPr>
        <w:fldChar w:fldCharType="separate"/>
      </w:r>
      <w:r w:rsidRPr="00873F48">
        <w:rPr>
          <w:rFonts w:ascii="Arial" w:hAnsi="Arial" w:cs="Arial"/>
          <w:sz w:val="24"/>
          <w:lang w:val="en-US"/>
        </w:rPr>
        <w:t>(4)</w:t>
      </w:r>
      <w:r w:rsidRPr="00D07411">
        <w:rPr>
          <w:rFonts w:ascii="Arial" w:hAnsi="Arial" w:cs="Arial"/>
          <w:sz w:val="24"/>
          <w:szCs w:val="24"/>
          <w:lang w:val="en-US"/>
        </w:rPr>
        <w:fldChar w:fldCharType="end"/>
      </w:r>
      <w:r>
        <w:rPr>
          <w:rFonts w:ascii="Arial" w:hAnsi="Arial" w:cs="Arial"/>
          <w:sz w:val="24"/>
          <w:szCs w:val="24"/>
          <w:lang w:val="en-US"/>
        </w:rPr>
        <w:t xml:space="preserve">; in addition to the antipsychotic medication related exclusion criterion described above,  an antipsychotic medication </w:t>
      </w:r>
      <w:r w:rsidRPr="00891F6A">
        <w:rPr>
          <w:rFonts w:ascii="Arial" w:hAnsi="Arial" w:cs="Arial"/>
          <w:sz w:val="24"/>
          <w:szCs w:val="24"/>
          <w:lang w:val="en-US"/>
        </w:rPr>
        <w:t xml:space="preserve">for </w:t>
      </w:r>
      <w:r>
        <w:rPr>
          <w:rFonts w:ascii="Arial" w:hAnsi="Arial" w:cs="Arial"/>
          <w:sz w:val="24"/>
          <w:szCs w:val="24"/>
          <w:lang w:val="en-US"/>
        </w:rPr>
        <w:t>more than</w:t>
      </w:r>
      <w:r w:rsidRPr="00891F6A">
        <w:rPr>
          <w:rFonts w:ascii="Arial" w:hAnsi="Arial" w:cs="Arial"/>
          <w:sz w:val="24"/>
          <w:szCs w:val="24"/>
          <w:lang w:val="en-US"/>
        </w:rPr>
        <w:t xml:space="preserve"> 30 days (cumulative number of days) at or above </w:t>
      </w:r>
      <w:r>
        <w:rPr>
          <w:rFonts w:ascii="Arial" w:hAnsi="Arial" w:cs="Arial"/>
          <w:sz w:val="24"/>
          <w:szCs w:val="24"/>
          <w:lang w:val="en-US"/>
        </w:rPr>
        <w:t xml:space="preserve">the same </w:t>
      </w:r>
      <w:r w:rsidRPr="00891F6A">
        <w:rPr>
          <w:rFonts w:ascii="Arial" w:hAnsi="Arial" w:cs="Arial"/>
          <w:sz w:val="24"/>
          <w:szCs w:val="24"/>
          <w:lang w:val="en-US"/>
        </w:rPr>
        <w:t>minimum dosage range</w:t>
      </w:r>
      <w:r>
        <w:rPr>
          <w:rFonts w:ascii="Arial" w:hAnsi="Arial" w:cs="Arial"/>
          <w:sz w:val="24"/>
          <w:szCs w:val="24"/>
          <w:lang w:val="en-US"/>
        </w:rPr>
        <w:t xml:space="preserve"> let to exclusion</w:t>
      </w:r>
      <w:r w:rsidRPr="00D07411">
        <w:rPr>
          <w:rFonts w:ascii="Arial" w:hAnsi="Arial" w:cs="Arial"/>
          <w:sz w:val="24"/>
          <w:szCs w:val="24"/>
          <w:lang w:val="en-US"/>
        </w:rPr>
        <w:t>.</w:t>
      </w:r>
      <w:r>
        <w:rPr>
          <w:rFonts w:ascii="Arial" w:hAnsi="Arial" w:cs="Arial"/>
          <w:sz w:val="24"/>
          <w:szCs w:val="24"/>
          <w:lang w:val="en-US"/>
        </w:rPr>
        <w:t xml:space="preserve"> </w:t>
      </w:r>
    </w:p>
    <w:p w:rsidR="00873F48" w:rsidRDefault="00873F48" w:rsidP="00873F48">
      <w:pPr>
        <w:ind w:firstLine="0"/>
        <w:rPr>
          <w:rFonts w:ascii="Arial" w:hAnsi="Arial" w:cs="Arial"/>
          <w:sz w:val="24"/>
          <w:szCs w:val="24"/>
          <w:lang w:val="en-US"/>
        </w:rPr>
      </w:pPr>
      <w:r>
        <w:rPr>
          <w:rFonts w:ascii="Arial" w:hAnsi="Arial" w:cs="Arial"/>
          <w:sz w:val="24"/>
          <w:szCs w:val="24"/>
          <w:lang w:val="en-US"/>
        </w:rPr>
        <w:t xml:space="preserve">Additional exclusion criteria for healthy controls (HC) were </w:t>
      </w:r>
      <w:r w:rsidRPr="00983EC1">
        <w:rPr>
          <w:rFonts w:ascii="Arial" w:hAnsi="Arial" w:cs="Arial"/>
          <w:sz w:val="24"/>
          <w:szCs w:val="24"/>
          <w:lang w:val="en-US"/>
        </w:rPr>
        <w:t>Current or past DSM-IV-TR Axis-I disorder</w:t>
      </w:r>
      <w:r>
        <w:rPr>
          <w:rFonts w:ascii="Arial" w:hAnsi="Arial" w:cs="Arial"/>
          <w:sz w:val="24"/>
          <w:szCs w:val="24"/>
          <w:lang w:val="en-US"/>
        </w:rPr>
        <w:t xml:space="preserve"> (not including n</w:t>
      </w:r>
      <w:r w:rsidRPr="00983EC1">
        <w:rPr>
          <w:rFonts w:ascii="Arial" w:hAnsi="Arial" w:cs="Arial"/>
          <w:sz w:val="24"/>
          <w:szCs w:val="24"/>
          <w:lang w:val="en-US"/>
        </w:rPr>
        <w:t>icotine dependency</w:t>
      </w:r>
      <w:r>
        <w:rPr>
          <w:rFonts w:ascii="Arial" w:hAnsi="Arial" w:cs="Arial"/>
          <w:sz w:val="24"/>
          <w:szCs w:val="24"/>
          <w:lang w:val="en-US"/>
        </w:rPr>
        <w:t>); C</w:t>
      </w:r>
      <w:r w:rsidRPr="00983EC1">
        <w:rPr>
          <w:rFonts w:ascii="Arial" w:hAnsi="Arial" w:cs="Arial"/>
          <w:sz w:val="24"/>
          <w:szCs w:val="24"/>
          <w:lang w:val="en-US"/>
        </w:rPr>
        <w:t>HR</w:t>
      </w:r>
      <w:r>
        <w:rPr>
          <w:rFonts w:ascii="Arial" w:hAnsi="Arial" w:cs="Arial"/>
          <w:sz w:val="24"/>
          <w:szCs w:val="24"/>
          <w:lang w:val="en-US"/>
        </w:rPr>
        <w:t>-P</w:t>
      </w:r>
      <w:r w:rsidRPr="00983EC1">
        <w:rPr>
          <w:rFonts w:ascii="Arial" w:hAnsi="Arial" w:cs="Arial"/>
          <w:sz w:val="24"/>
          <w:szCs w:val="24"/>
          <w:lang w:val="en-US"/>
        </w:rPr>
        <w:t xml:space="preserve"> criteria positive (life time)</w:t>
      </w:r>
      <w:r>
        <w:rPr>
          <w:rFonts w:ascii="Arial" w:hAnsi="Arial" w:cs="Arial"/>
          <w:sz w:val="24"/>
          <w:szCs w:val="24"/>
          <w:lang w:val="en-US"/>
        </w:rPr>
        <w:t>;</w:t>
      </w:r>
      <w:r w:rsidRPr="00983EC1">
        <w:rPr>
          <w:rFonts w:ascii="Arial" w:hAnsi="Arial" w:cs="Arial"/>
          <w:sz w:val="24"/>
          <w:szCs w:val="24"/>
          <w:lang w:val="en-US"/>
        </w:rPr>
        <w:t xml:space="preserve"> Intake of</w:t>
      </w:r>
      <w:r>
        <w:rPr>
          <w:rFonts w:ascii="Arial" w:hAnsi="Arial" w:cs="Arial"/>
          <w:sz w:val="24"/>
          <w:szCs w:val="24"/>
          <w:lang w:val="en-US"/>
        </w:rPr>
        <w:t xml:space="preserve"> </w:t>
      </w:r>
      <w:r w:rsidRPr="00983EC1">
        <w:rPr>
          <w:rFonts w:ascii="Arial" w:hAnsi="Arial" w:cs="Arial"/>
          <w:sz w:val="24"/>
          <w:szCs w:val="24"/>
          <w:lang w:val="en-US"/>
        </w:rPr>
        <w:t xml:space="preserve">psychopharmacological substances </w:t>
      </w:r>
      <w:r>
        <w:rPr>
          <w:rFonts w:ascii="Arial" w:hAnsi="Arial" w:cs="Arial"/>
          <w:sz w:val="24"/>
          <w:szCs w:val="24"/>
          <w:lang w:val="en-US"/>
        </w:rPr>
        <w:t xml:space="preserve">or illegal drugs </w:t>
      </w:r>
      <w:r w:rsidRPr="00983EC1">
        <w:rPr>
          <w:rFonts w:ascii="Arial" w:hAnsi="Arial" w:cs="Arial"/>
          <w:sz w:val="24"/>
          <w:szCs w:val="24"/>
          <w:lang w:val="en-US"/>
        </w:rPr>
        <w:t>for more than 5 days per year</w:t>
      </w:r>
      <w:r>
        <w:rPr>
          <w:rFonts w:ascii="Arial" w:hAnsi="Arial" w:cs="Arial"/>
          <w:sz w:val="24"/>
          <w:szCs w:val="24"/>
          <w:lang w:val="en-US"/>
        </w:rPr>
        <w:t xml:space="preserve"> and/or </w:t>
      </w:r>
      <w:r w:rsidRPr="00983EC1">
        <w:rPr>
          <w:rFonts w:ascii="Arial" w:hAnsi="Arial" w:cs="Arial"/>
          <w:sz w:val="24"/>
          <w:szCs w:val="24"/>
          <w:lang w:val="en-US"/>
        </w:rPr>
        <w:t>during the past month prior examination</w:t>
      </w:r>
      <w:r>
        <w:rPr>
          <w:rFonts w:ascii="Arial" w:hAnsi="Arial" w:cs="Arial"/>
          <w:sz w:val="24"/>
          <w:szCs w:val="24"/>
          <w:lang w:val="en-US"/>
        </w:rPr>
        <w:t xml:space="preserve">; </w:t>
      </w:r>
      <w:r w:rsidRPr="00983EC1">
        <w:rPr>
          <w:rFonts w:ascii="Arial" w:hAnsi="Arial" w:cs="Arial"/>
          <w:sz w:val="24"/>
          <w:szCs w:val="24"/>
          <w:lang w:val="en-US"/>
        </w:rPr>
        <w:t>Affective or non-affective psychosis or major affective disorder (M</w:t>
      </w:r>
      <w:r>
        <w:rPr>
          <w:rFonts w:ascii="Arial" w:hAnsi="Arial" w:cs="Arial"/>
          <w:sz w:val="24"/>
          <w:szCs w:val="24"/>
          <w:lang w:val="en-US"/>
        </w:rPr>
        <w:t>ajor Depressive Disorder</w:t>
      </w:r>
      <w:r w:rsidRPr="00983EC1">
        <w:rPr>
          <w:rFonts w:ascii="Arial" w:hAnsi="Arial" w:cs="Arial"/>
          <w:sz w:val="24"/>
          <w:szCs w:val="24"/>
          <w:lang w:val="en-US"/>
        </w:rPr>
        <w:t>, Bip</w:t>
      </w:r>
      <w:r>
        <w:rPr>
          <w:rFonts w:ascii="Arial" w:hAnsi="Arial" w:cs="Arial"/>
          <w:sz w:val="24"/>
          <w:szCs w:val="24"/>
          <w:lang w:val="en-US"/>
        </w:rPr>
        <w:t>olar</w:t>
      </w:r>
      <w:r w:rsidRPr="00983EC1">
        <w:rPr>
          <w:rFonts w:ascii="Arial" w:hAnsi="Arial" w:cs="Arial"/>
          <w:sz w:val="24"/>
          <w:szCs w:val="24"/>
          <w:lang w:val="en-US"/>
        </w:rPr>
        <w:t xml:space="preserve"> Di</w:t>
      </w:r>
      <w:r>
        <w:rPr>
          <w:rFonts w:ascii="Arial" w:hAnsi="Arial" w:cs="Arial"/>
          <w:sz w:val="24"/>
          <w:szCs w:val="24"/>
          <w:lang w:val="en-US"/>
        </w:rPr>
        <w:t>sorder</w:t>
      </w:r>
      <w:r w:rsidRPr="00983EC1">
        <w:rPr>
          <w:rFonts w:ascii="Arial" w:hAnsi="Arial" w:cs="Arial"/>
          <w:sz w:val="24"/>
          <w:szCs w:val="24"/>
          <w:lang w:val="en-US"/>
        </w:rPr>
        <w:t>) of 1° relatives*</w:t>
      </w:r>
      <w:r>
        <w:rPr>
          <w:rFonts w:ascii="Arial" w:hAnsi="Arial" w:cs="Arial"/>
          <w:sz w:val="24"/>
          <w:szCs w:val="24"/>
          <w:lang w:val="en-US"/>
        </w:rPr>
        <w:t xml:space="preserve"> </w:t>
      </w:r>
      <w:r w:rsidRPr="00983EC1">
        <w:rPr>
          <w:rFonts w:ascii="Arial" w:hAnsi="Arial" w:cs="Arial"/>
          <w:sz w:val="24"/>
          <w:szCs w:val="24"/>
          <w:lang w:val="en-US"/>
        </w:rPr>
        <w:t>(defined by treatment or diagnosis)</w:t>
      </w:r>
      <w:r>
        <w:rPr>
          <w:rFonts w:ascii="Arial" w:hAnsi="Arial" w:cs="Arial"/>
          <w:sz w:val="24"/>
          <w:szCs w:val="24"/>
          <w:lang w:val="en-US"/>
        </w:rPr>
        <w:t>, if not due to a secondary medical condition.</w:t>
      </w:r>
    </w:p>
    <w:p w:rsidR="00873F48" w:rsidRPr="00AF2D0E" w:rsidRDefault="00873F48" w:rsidP="00873F48">
      <w:pPr>
        <w:ind w:firstLine="0"/>
        <w:rPr>
          <w:rFonts w:ascii="Arial" w:hAnsi="Arial" w:cs="Arial"/>
          <w:b/>
          <w:sz w:val="24"/>
          <w:szCs w:val="24"/>
          <w:lang w:val="en-US"/>
        </w:rPr>
      </w:pPr>
      <w:r w:rsidRPr="00AF2D0E">
        <w:rPr>
          <w:rFonts w:ascii="Arial" w:hAnsi="Arial" w:cs="Arial"/>
          <w:b/>
          <w:sz w:val="24"/>
          <w:szCs w:val="24"/>
          <w:lang w:val="en-US"/>
        </w:rPr>
        <w:lastRenderedPageBreak/>
        <w:t>Cognitive Domain Calculation</w:t>
      </w:r>
    </w:p>
    <w:p w:rsidR="00873F48" w:rsidRPr="00CA1D2F" w:rsidRDefault="00873F48" w:rsidP="00873F48">
      <w:pPr>
        <w:ind w:firstLine="0"/>
        <w:rPr>
          <w:rFonts w:ascii="Arial" w:hAnsi="Arial" w:cs="Arial"/>
          <w:sz w:val="24"/>
          <w:szCs w:val="24"/>
          <w:lang w:val="en-US"/>
        </w:rPr>
      </w:pPr>
      <w:r w:rsidRPr="00B1650D">
        <w:rPr>
          <w:rFonts w:ascii="Arial" w:hAnsi="Arial" w:cs="Arial"/>
          <w:sz w:val="24"/>
          <w:szCs w:val="24"/>
          <w:lang w:val="en-US"/>
        </w:rPr>
        <w:t xml:space="preserve">We calculated </w:t>
      </w:r>
      <w:r>
        <w:rPr>
          <w:rFonts w:ascii="Arial" w:hAnsi="Arial" w:cs="Arial"/>
          <w:sz w:val="24"/>
          <w:szCs w:val="24"/>
          <w:lang w:val="en-US"/>
        </w:rPr>
        <w:t>five</w:t>
      </w:r>
      <w:r w:rsidRPr="00B1650D">
        <w:rPr>
          <w:rFonts w:ascii="Arial" w:hAnsi="Arial" w:cs="Arial"/>
          <w:sz w:val="24"/>
          <w:szCs w:val="24"/>
          <w:lang w:val="en-US"/>
        </w:rPr>
        <w:t xml:space="preserve"> cognitive domains similar to the MATRICS Consensus Cognitive Battery (MCCB)</w:t>
      </w:r>
      <w:r>
        <w:rPr>
          <w:rFonts w:ascii="Arial" w:hAnsi="Arial" w:cs="Arial"/>
          <w:sz w:val="24"/>
          <w:szCs w:val="24"/>
          <w:lang w:val="en-US"/>
        </w:rPr>
        <w:t xml:space="preserve"> </w:t>
      </w:r>
      <w:r>
        <w:rPr>
          <w:rFonts w:ascii="Arial" w:hAnsi="Arial" w:cs="Arial"/>
          <w:sz w:val="24"/>
          <w:szCs w:val="24"/>
          <w:lang w:val="en-US"/>
        </w:rPr>
        <w:fldChar w:fldCharType="begin"/>
      </w:r>
      <w:r>
        <w:rPr>
          <w:rFonts w:ascii="Arial" w:hAnsi="Arial" w:cs="Arial"/>
          <w:sz w:val="24"/>
          <w:szCs w:val="24"/>
          <w:lang w:val="en-US"/>
        </w:rPr>
        <w:instrText xml:space="preserve"> ADDIN ZOTERO_ITEM CSL_CITATION {"citationID":"6a7lefSI","properties":{"formattedCitation":"(5,6)","plainCitation":"(5,6)","noteIndex":0},"citationItems":[{"id":315,"uris":["http://zotero.org/users/local/YWW7uJeE/items/NEG4TSPG"],"itemData":{"id":315,"type":"article-journal","container-title":"American Journal of Psychiatry","DOI":"10.1176/appi.ajp.2007.07010043","ISSN":"0002-953X, 1535-7228","issue":"2","journalAbbreviation":"AJP","language":"en","page":"214-220","source":"DOI.org (Crossref)","title":"The MATRICS Consensus Cognitive Battery, Part 2: Co-Norming and Standardization","title-short":"The MATRICS Consensus Cognitive Battery, Part 2","volume":"165","author":[{"family":"Kern","given":"Robert S."},{"family":"Nuechterlein","given":"Keith H."},{"family":"Green","given":"Michael F."},{"family":"Baade","given":"Lyle E."},{"family":"Fenton","given":"Wayne S."},{"family":"Gold","given":"James M."},{"family":"Keefe","given":"Richard S.E."},{"family":"Mesholam-Gately","given":"Raquelle"},{"family":"Mintz","given":"Jim"},{"family":"Seidman","given":"Larry J."},{"family":"Stover","given":"Ellen"},{"family":"Marder","given":"Stephen R."}],"issued":{"date-parts":[["2008",2]]}}},{"id":316,"uris":["http://zotero.org/users/local/YWW7uJeE/items/43SFZFCT"],"itemData":{"id":316,"type":"article-journal","container-title":"American Journal of Psychiatry","DOI":"10.1176/appi.ajp.2007.07010042","ISSN":"0002-953X, 1535-7228","issue":"2","journalAbbreviation":"AJP","language":"en","page":"203-213","source":"DOI.org (Crossref)","title":"The MATRICS Consensus Cognitive Battery, Part 1: Test Selection, Reliability, and Validity","title-short":"The MATRICS Consensus Cognitive Battery, Part 1","volume":"165","author":[{"family":"Nuechterlein","given":"Keith H."},{"family":"Green","given":"Michael F."},{"family":"Kern","given":"Robert S."},{"family":"Baade","given":"Lyle E."},{"family":"Barch","given":"Deanna M."},{"family":"Cohen","given":"Jonathan D."},{"family":"Essock","given":"Susan"},{"family":"Fenton","given":"Wayne S."},{"family":"Frese","given":"Frederick J."},{"family":"Gold","given":"James M."},{"family":"Goldberg","given":"Terry"},{"family":"Heaton","given":"Robert K."},{"family":"Keefe","given":"Richard S.E."},{"family":"Kraemer","given":"Helena"},{"family":"Mesholam-Gately","given":"Raquelle"},{"family":"Seidman","given":"Larry J."},{"family":"Stover","given":"Ellen"},{"family":"Weinberger","given":"Daniel R."},{"family":"Young","given":"Alexander S."},{"family":"Zalcman","given":"Steven"},{"family":"Marder","given":"Stephen R."}],"issued":{"date-parts":[["2008",2]]}}}],"schema":"https://github.com/citation-style-language/schema/raw/master/csl-citation.json"} </w:instrText>
      </w:r>
      <w:r>
        <w:rPr>
          <w:rFonts w:ascii="Arial" w:hAnsi="Arial" w:cs="Arial"/>
          <w:sz w:val="24"/>
          <w:szCs w:val="24"/>
          <w:lang w:val="en-US"/>
        </w:rPr>
        <w:fldChar w:fldCharType="separate"/>
      </w:r>
      <w:r w:rsidRPr="00873F48">
        <w:rPr>
          <w:rFonts w:ascii="Arial" w:hAnsi="Arial" w:cs="Arial"/>
          <w:sz w:val="24"/>
          <w:lang w:val="en-US"/>
        </w:rPr>
        <w:t>(5,6)</w:t>
      </w:r>
      <w:r>
        <w:rPr>
          <w:rFonts w:ascii="Arial" w:hAnsi="Arial" w:cs="Arial"/>
          <w:sz w:val="24"/>
          <w:szCs w:val="24"/>
          <w:lang w:val="en-US"/>
        </w:rPr>
        <w:fldChar w:fldCharType="end"/>
      </w:r>
      <w:r>
        <w:rPr>
          <w:rFonts w:ascii="Arial" w:hAnsi="Arial" w:cs="Arial"/>
          <w:sz w:val="24"/>
          <w:szCs w:val="24"/>
          <w:lang w:val="en-US"/>
        </w:rPr>
        <w:t xml:space="preserve"> and a global cognition score </w:t>
      </w:r>
      <w:r w:rsidRPr="00B1650D">
        <w:rPr>
          <w:rFonts w:ascii="Arial" w:hAnsi="Arial" w:cs="Arial"/>
          <w:sz w:val="24"/>
          <w:szCs w:val="24"/>
          <w:lang w:val="en-US"/>
        </w:rPr>
        <w:t xml:space="preserve">based on individual scores of the cognitive tests that were assessed. </w:t>
      </w:r>
      <w:r>
        <w:rPr>
          <w:rFonts w:ascii="Arial" w:hAnsi="Arial" w:cs="Arial"/>
          <w:sz w:val="24"/>
          <w:szCs w:val="24"/>
          <w:lang w:val="en-US"/>
        </w:rPr>
        <w:t>For the s</w:t>
      </w:r>
      <w:r w:rsidRPr="00B1650D">
        <w:rPr>
          <w:rFonts w:ascii="Arial" w:hAnsi="Arial" w:cs="Arial"/>
          <w:sz w:val="24"/>
          <w:szCs w:val="24"/>
          <w:lang w:val="en-US"/>
        </w:rPr>
        <w:t>ocial cognition</w:t>
      </w:r>
      <w:r>
        <w:rPr>
          <w:rFonts w:ascii="Arial" w:hAnsi="Arial" w:cs="Arial"/>
          <w:sz w:val="24"/>
          <w:szCs w:val="24"/>
          <w:lang w:val="en-US"/>
        </w:rPr>
        <w:t xml:space="preserve"> domain we</w:t>
      </w:r>
      <w:r w:rsidRPr="00B1650D">
        <w:rPr>
          <w:rFonts w:ascii="Arial" w:hAnsi="Arial" w:cs="Arial"/>
          <w:sz w:val="24"/>
          <w:szCs w:val="24"/>
          <w:lang w:val="en-US"/>
        </w:rPr>
        <w:t xml:space="preserve"> calculated the scaled sum of the correctly identified emotions in the Diagnostic Analysis of Non-Verbal Accuracy</w:t>
      </w:r>
      <w:r>
        <w:rPr>
          <w:rFonts w:ascii="Arial" w:hAnsi="Arial" w:cs="Arial"/>
          <w:sz w:val="24"/>
          <w:szCs w:val="24"/>
          <w:lang w:val="en-US"/>
        </w:rPr>
        <w:t xml:space="preserve"> </w:t>
      </w:r>
      <w:r>
        <w:rPr>
          <w:rFonts w:ascii="Arial" w:hAnsi="Arial" w:cs="Arial"/>
          <w:sz w:val="24"/>
          <w:szCs w:val="24"/>
          <w:lang w:val="en-US"/>
        </w:rPr>
        <w:fldChar w:fldCharType="begin"/>
      </w:r>
      <w:r>
        <w:rPr>
          <w:rFonts w:ascii="Arial" w:hAnsi="Arial" w:cs="Arial"/>
          <w:sz w:val="24"/>
          <w:szCs w:val="24"/>
          <w:lang w:val="en-US"/>
        </w:rPr>
        <w:instrText xml:space="preserve"> ADDIN ZOTERO_ITEM CSL_CITATION {"citationID":"STdm2j1I","properties":{"formattedCitation":"(7)","plainCitation":"(7)","noteIndex":0},"citationItems":[{"id":107,"uris":["http://zotero.org/users/local/YWW7uJeE/items/UCLCX2CQ"],"itemData":{"id":107,"type":"article-journal","container-title":"Journal of Nonverbal Behavior","DOI":"10.1007/BF02169077","ISSN":"0191-5886, 1573-3653","issue":"1","journalAbbreviation":"J Nonverbal Behav","language":"en","license":"http://www.springer.com/tdm","page":"9-35","source":"DOI.org (Crossref)","title":"Individual differences in the nonverbal communication of affect: The diagnostic analysis of nonverbal accuracy scale","title-short":"Individual differences in the nonverbal communication of affect","volume":"18","author":[{"family":"Nowicki","given":"Stephen"},{"family":"Duke","given":"Marshall P."}],"issued":{"date-parts":[["1994",3]]}}}],"schema":"https://github.com/citation-style-language/schema/raw/master/csl-citation.json"} </w:instrText>
      </w:r>
      <w:r>
        <w:rPr>
          <w:rFonts w:ascii="Arial" w:hAnsi="Arial" w:cs="Arial"/>
          <w:sz w:val="24"/>
          <w:szCs w:val="24"/>
          <w:lang w:val="en-US"/>
        </w:rPr>
        <w:fldChar w:fldCharType="separate"/>
      </w:r>
      <w:r w:rsidRPr="00873F48">
        <w:rPr>
          <w:rFonts w:ascii="Arial" w:hAnsi="Arial" w:cs="Arial"/>
          <w:sz w:val="24"/>
          <w:lang w:val="en-US"/>
        </w:rPr>
        <w:t>(7)</w:t>
      </w:r>
      <w:r>
        <w:rPr>
          <w:rFonts w:ascii="Arial" w:hAnsi="Arial" w:cs="Arial"/>
          <w:sz w:val="24"/>
          <w:szCs w:val="24"/>
          <w:lang w:val="en-US"/>
        </w:rPr>
        <w:fldChar w:fldCharType="end"/>
      </w:r>
      <w:r w:rsidRPr="00B1650D">
        <w:rPr>
          <w:rFonts w:ascii="Arial" w:hAnsi="Arial" w:cs="Arial"/>
          <w:sz w:val="24"/>
          <w:szCs w:val="24"/>
          <w:lang w:val="en-US"/>
        </w:rPr>
        <w:t xml:space="preserve"> test. Working memory was calculated as the scaled average of the correct trials in the backward and forward digit span test (subtest of the Wechsler Adult Intelligence Scale)</w:t>
      </w:r>
      <w:r>
        <w:rPr>
          <w:rFonts w:ascii="Arial" w:hAnsi="Arial" w:cs="Arial"/>
          <w:sz w:val="24"/>
          <w:szCs w:val="24"/>
          <w:lang w:val="en-US"/>
        </w:rPr>
        <w:t xml:space="preserve"> </w:t>
      </w:r>
      <w:r>
        <w:rPr>
          <w:rFonts w:ascii="Arial" w:hAnsi="Arial" w:cs="Arial"/>
          <w:sz w:val="24"/>
          <w:szCs w:val="24"/>
          <w:lang w:val="en-US"/>
        </w:rPr>
        <w:fldChar w:fldCharType="begin"/>
      </w:r>
      <w:r>
        <w:rPr>
          <w:rFonts w:ascii="Arial" w:hAnsi="Arial" w:cs="Arial"/>
          <w:sz w:val="24"/>
          <w:szCs w:val="24"/>
          <w:lang w:val="en-US"/>
        </w:rPr>
        <w:instrText xml:space="preserve"> ADDIN ZOTERO_ITEM CSL_CITATION {"citationID":"MAjCwjnx","properties":{"formattedCitation":"(8)","plainCitation":"(8)","noteIndex":0},"citationItems":[{"id":105,"uris":["http://zotero.org/users/local/YWW7uJeE/items/PEPPDRQR"],"itemData":{"id":105,"type":"book","abstract":"The revision of the Wechsler-Bellevue Adult Intelligence Scale retains the type of item categories but has numerous changes in the items. Standardization is based on a stratified sample of 1700 adults ages 16 to 64. Additional norms are given for ages above 64 based on a different group of subjects. Reliabilities for verbal, performance and full scale IQ's are .96, .93, and .97, and for the subtests range from .65 to .96. Manual includes directions for administering, IQ tables, and scaled score tables. Officially the title is to be abbreviated WAIS. (PsycINFO Database Record (c) 2016 APA, all rights reserved)","collection-title":"Manual for the Wechsler Adult Intelligence Scale.","event-place":"Oxford,  England","note":"page: vi, 110","number-of-pages":"vi, 110","publisher":"Psychological Corp.","publisher-place":"Oxford,  England","title":"Manual for the Wechsler Adult Intelligence Scale.","author":[{"family":"Wechsler","given":"David"}],"issued":{"date-parts":[["1955"]]}}}],"schema":"https://github.com/citation-style-language/schema/raw/master/csl-citation.json"} </w:instrText>
      </w:r>
      <w:r>
        <w:rPr>
          <w:rFonts w:ascii="Arial" w:hAnsi="Arial" w:cs="Arial"/>
          <w:sz w:val="24"/>
          <w:szCs w:val="24"/>
          <w:lang w:val="en-US"/>
        </w:rPr>
        <w:fldChar w:fldCharType="separate"/>
      </w:r>
      <w:r w:rsidRPr="00873F48">
        <w:rPr>
          <w:rFonts w:ascii="Arial" w:hAnsi="Arial" w:cs="Arial"/>
          <w:sz w:val="24"/>
          <w:lang w:val="en-US"/>
        </w:rPr>
        <w:t>(8)</w:t>
      </w:r>
      <w:r>
        <w:rPr>
          <w:rFonts w:ascii="Arial" w:hAnsi="Arial" w:cs="Arial"/>
          <w:sz w:val="24"/>
          <w:szCs w:val="24"/>
          <w:lang w:val="en-US"/>
        </w:rPr>
        <w:fldChar w:fldCharType="end"/>
      </w:r>
      <w:r w:rsidRPr="00B1650D">
        <w:rPr>
          <w:rFonts w:ascii="Arial" w:hAnsi="Arial" w:cs="Arial"/>
          <w:sz w:val="24"/>
          <w:szCs w:val="24"/>
          <w:lang w:val="en-US"/>
        </w:rPr>
        <w:t>. For</w:t>
      </w:r>
      <w:r>
        <w:rPr>
          <w:rFonts w:ascii="Arial" w:hAnsi="Arial" w:cs="Arial"/>
          <w:sz w:val="24"/>
          <w:szCs w:val="24"/>
          <w:lang w:val="en-US"/>
        </w:rPr>
        <w:t xml:space="preserve"> the</w:t>
      </w:r>
      <w:r w:rsidRPr="00B1650D">
        <w:rPr>
          <w:rFonts w:ascii="Arial" w:hAnsi="Arial" w:cs="Arial"/>
          <w:sz w:val="24"/>
          <w:szCs w:val="24"/>
          <w:lang w:val="en-US"/>
        </w:rPr>
        <w:t xml:space="preserve"> speed of processing domain the scaled number of correctly named words in the semantic verbal fluency task</w:t>
      </w:r>
      <w:r>
        <w:rPr>
          <w:rFonts w:ascii="Arial" w:hAnsi="Arial" w:cs="Arial"/>
          <w:sz w:val="24"/>
          <w:szCs w:val="24"/>
          <w:lang w:val="en-US"/>
        </w:rPr>
        <w:t xml:space="preserve"> </w:t>
      </w:r>
      <w:r>
        <w:rPr>
          <w:rFonts w:ascii="Arial" w:hAnsi="Arial" w:cs="Arial"/>
          <w:sz w:val="24"/>
          <w:szCs w:val="24"/>
          <w:lang w:val="en-US"/>
        </w:rPr>
        <w:fldChar w:fldCharType="begin"/>
      </w:r>
      <w:r>
        <w:rPr>
          <w:rFonts w:ascii="Arial" w:hAnsi="Arial" w:cs="Arial"/>
          <w:sz w:val="24"/>
          <w:szCs w:val="24"/>
          <w:lang w:val="en-US"/>
        </w:rPr>
        <w:instrText xml:space="preserve"> ADDIN ZOTERO_ITEM CSL_CITATION {"citationID":"1Y9Hz76T","properties":{"formattedCitation":"(9)","plainCitation":"(9)","noteIndex":0},"citationItems":[{"id":317,"uris":["http://zotero.org/users/local/YWW7uJeE/items/PCAN8ZVW"],"itemData":{"id":317,"type":"article-journal","container-title":"Archives of Clinical Neuropsychology","DOI":"10.1016/0887-6177(95)00033-X","ISSN":"08876177","issue":"4","journalAbbreviation":"Archives of Clinical Neuropsychology","language":"en","page":"329-338","source":"DOI.org (Crossref)","title":"Benton controlled oral word association test: Reliability and updated norms","title-short":"Benton controlled oral word association test","volume":"11","author":[{"family":"Ruff","given":"R"}],"issued":{"date-parts":[["1996"]]}}}],"schema":"https://github.com/citation-style-language/schema/raw/master/csl-citation.json"} </w:instrText>
      </w:r>
      <w:r>
        <w:rPr>
          <w:rFonts w:ascii="Arial" w:hAnsi="Arial" w:cs="Arial"/>
          <w:sz w:val="24"/>
          <w:szCs w:val="24"/>
          <w:lang w:val="en-US"/>
        </w:rPr>
        <w:fldChar w:fldCharType="separate"/>
      </w:r>
      <w:r w:rsidRPr="00873F48">
        <w:rPr>
          <w:rFonts w:ascii="Arial" w:hAnsi="Arial" w:cs="Arial"/>
          <w:sz w:val="24"/>
          <w:lang w:val="en-US"/>
        </w:rPr>
        <w:t>(9)</w:t>
      </w:r>
      <w:r>
        <w:rPr>
          <w:rFonts w:ascii="Arial" w:hAnsi="Arial" w:cs="Arial"/>
          <w:sz w:val="24"/>
          <w:szCs w:val="24"/>
          <w:lang w:val="en-US"/>
        </w:rPr>
        <w:fldChar w:fldCharType="end"/>
      </w:r>
      <w:r w:rsidRPr="00B1650D">
        <w:rPr>
          <w:rFonts w:ascii="Arial" w:hAnsi="Arial" w:cs="Arial"/>
          <w:sz w:val="24"/>
          <w:szCs w:val="24"/>
          <w:lang w:val="en-US"/>
        </w:rPr>
        <w:t xml:space="preserve"> </w:t>
      </w:r>
      <w:r>
        <w:rPr>
          <w:rFonts w:ascii="Arial" w:hAnsi="Arial" w:cs="Arial"/>
          <w:sz w:val="24"/>
          <w:szCs w:val="24"/>
          <w:lang w:val="en-US"/>
        </w:rPr>
        <w:t xml:space="preserve">was subtracted </w:t>
      </w:r>
      <w:r w:rsidRPr="00B1650D">
        <w:rPr>
          <w:rFonts w:ascii="Arial" w:hAnsi="Arial" w:cs="Arial"/>
          <w:sz w:val="24"/>
          <w:szCs w:val="24"/>
          <w:lang w:val="en-US"/>
        </w:rPr>
        <w:t>from the scaled execution time of the Trail Making Test</w:t>
      </w:r>
      <w:r>
        <w:rPr>
          <w:rFonts w:ascii="Arial" w:hAnsi="Arial" w:cs="Arial"/>
          <w:sz w:val="24"/>
          <w:szCs w:val="24"/>
          <w:lang w:val="en-US"/>
        </w:rPr>
        <w:t xml:space="preserve"> A </w:t>
      </w:r>
      <w:r>
        <w:rPr>
          <w:rFonts w:ascii="Arial" w:hAnsi="Arial" w:cs="Arial"/>
          <w:sz w:val="24"/>
          <w:szCs w:val="24"/>
          <w:lang w:val="en-US"/>
        </w:rPr>
        <w:fldChar w:fldCharType="begin"/>
      </w:r>
      <w:r>
        <w:rPr>
          <w:rFonts w:ascii="Arial" w:hAnsi="Arial" w:cs="Arial"/>
          <w:sz w:val="24"/>
          <w:szCs w:val="24"/>
          <w:lang w:val="en-US"/>
        </w:rPr>
        <w:instrText xml:space="preserve"> ADDIN ZOTERO_ITEM CSL_CITATION {"citationID":"CNpO9NNI","properties":{"formattedCitation":"(10)","plainCitation":"(10)","noteIndex":0},"citationItems":[{"id":103,"uris":["http://zotero.org/users/local/YWW7uJeE/items/JUL5S4UG"],"itemData":{"id":103,"type":"article-journal","container-title":"Archives of Clinical Neuropsychology","DOI":"10.1016/S0887-6177(03)00039-8","ISSN":"08876177","issue":"2","journalAbbreviation":"Archives of Clinical Neuropsychology","language":"en","page":"203-214","source":"DOI.org (Crossref)","title":"Trail Making Test A and B: Normative data stratified by age and education","title-short":"Trail Making Test A and B","volume":"19","author":[{"family":"Tombaugh","given":"T"}],"issued":{"date-parts":[["2004",3]]}}}],"schema":"https://github.com/citation-style-language/schema/raw/master/csl-citation.json"} </w:instrText>
      </w:r>
      <w:r>
        <w:rPr>
          <w:rFonts w:ascii="Arial" w:hAnsi="Arial" w:cs="Arial"/>
          <w:sz w:val="24"/>
          <w:szCs w:val="24"/>
          <w:lang w:val="en-US"/>
        </w:rPr>
        <w:fldChar w:fldCharType="separate"/>
      </w:r>
      <w:r w:rsidRPr="00873F48">
        <w:rPr>
          <w:rFonts w:ascii="Arial" w:hAnsi="Arial" w:cs="Arial"/>
          <w:sz w:val="24"/>
          <w:lang w:val="en-US"/>
        </w:rPr>
        <w:t>(10)</w:t>
      </w:r>
      <w:r>
        <w:rPr>
          <w:rFonts w:ascii="Arial" w:hAnsi="Arial" w:cs="Arial"/>
          <w:sz w:val="24"/>
          <w:szCs w:val="24"/>
          <w:lang w:val="en-US"/>
        </w:rPr>
        <w:fldChar w:fldCharType="end"/>
      </w:r>
      <w:r w:rsidRPr="00B1650D">
        <w:rPr>
          <w:rFonts w:ascii="Arial" w:hAnsi="Arial" w:cs="Arial"/>
          <w:sz w:val="24"/>
          <w:szCs w:val="24"/>
          <w:lang w:val="en-US"/>
        </w:rPr>
        <w:t xml:space="preserve"> and the scaled number of correct digit-symbol substitutions (digit-symbol substitution task)</w:t>
      </w:r>
      <w:r>
        <w:rPr>
          <w:rFonts w:ascii="Arial" w:hAnsi="Arial" w:cs="Arial"/>
          <w:sz w:val="24"/>
          <w:szCs w:val="24"/>
          <w:lang w:val="en-US"/>
        </w:rPr>
        <w:t xml:space="preserve"> </w:t>
      </w:r>
      <w:r>
        <w:rPr>
          <w:rFonts w:ascii="Arial" w:hAnsi="Arial" w:cs="Arial"/>
          <w:sz w:val="24"/>
          <w:szCs w:val="24"/>
          <w:lang w:val="en-US"/>
        </w:rPr>
        <w:fldChar w:fldCharType="begin"/>
      </w:r>
      <w:r>
        <w:rPr>
          <w:rFonts w:ascii="Arial" w:hAnsi="Arial" w:cs="Arial"/>
          <w:sz w:val="24"/>
          <w:szCs w:val="24"/>
          <w:lang w:val="en-US"/>
        </w:rPr>
        <w:instrText xml:space="preserve"> ADDIN ZOTERO_ITEM CSL_CITATION {"citationID":"hwZ3DDZy","properties":{"formattedCitation":"(8)","plainCitation":"(8)","noteIndex":0},"citationItems":[{"id":105,"uris":["http://zotero.org/users/local/YWW7uJeE/items/PEPPDRQR"],"itemData":{"id":105,"type":"book","abstract":"The revision of the Wechsler-Bellevue Adult Intelligence Scale retains the type of item categories but has numerous changes in the items. Standardization is based on a stratified sample of 1700 adults ages 16 to 64. Additional norms are given for ages above 64 based on a different group of subjects. Reliabilities for verbal, performance and full scale IQ's are .96, .93, and .97, and for the subtests range from .65 to .96. Manual includes directions for administering, IQ tables, and scaled score tables. Officially the title is to be abbreviated WAIS. (PsycINFO Database Record (c) 2016 APA, all rights reserved)","collection-title":"Manual for the Wechsler Adult Intelligence Scale.","event-place":"Oxford,  England","note":"page: vi, 110","number-of-pages":"vi, 110","publisher":"Psychological Corp.","publisher-place":"Oxford,  England","title":"Manual for the Wechsler Adult Intelligence Scale.","author":[{"family":"Wechsler","given":"David"}],"issued":{"date-parts":[["1955"]]}}}],"schema":"https://github.com/citation-style-language/schema/raw/master/csl-citation.json"} </w:instrText>
      </w:r>
      <w:r>
        <w:rPr>
          <w:rFonts w:ascii="Arial" w:hAnsi="Arial" w:cs="Arial"/>
          <w:sz w:val="24"/>
          <w:szCs w:val="24"/>
          <w:lang w:val="en-US"/>
        </w:rPr>
        <w:fldChar w:fldCharType="separate"/>
      </w:r>
      <w:r w:rsidRPr="00873F48">
        <w:rPr>
          <w:rFonts w:ascii="Arial" w:hAnsi="Arial" w:cs="Arial"/>
          <w:sz w:val="24"/>
          <w:lang w:val="en-US"/>
        </w:rPr>
        <w:t>(8)</w:t>
      </w:r>
      <w:r>
        <w:rPr>
          <w:rFonts w:ascii="Arial" w:hAnsi="Arial" w:cs="Arial"/>
          <w:sz w:val="24"/>
          <w:szCs w:val="24"/>
          <w:lang w:val="en-US"/>
        </w:rPr>
        <w:fldChar w:fldCharType="end"/>
      </w:r>
      <w:r>
        <w:rPr>
          <w:rFonts w:ascii="Arial" w:hAnsi="Arial" w:cs="Arial"/>
          <w:sz w:val="24"/>
          <w:szCs w:val="24"/>
          <w:lang w:val="en-US"/>
        </w:rPr>
        <w:t xml:space="preserve"> was added</w:t>
      </w:r>
      <w:r w:rsidRPr="00B1650D">
        <w:rPr>
          <w:rFonts w:ascii="Arial" w:hAnsi="Arial" w:cs="Arial"/>
          <w:sz w:val="24"/>
          <w:szCs w:val="24"/>
          <w:lang w:val="en-US"/>
        </w:rPr>
        <w:t xml:space="preserve">. </w:t>
      </w:r>
      <w:r>
        <w:rPr>
          <w:rFonts w:ascii="Arial" w:hAnsi="Arial" w:cs="Arial"/>
          <w:sz w:val="24"/>
          <w:szCs w:val="24"/>
          <w:lang w:val="en-US"/>
        </w:rPr>
        <w:t xml:space="preserve">This </w:t>
      </w:r>
      <w:r w:rsidRPr="00B1650D">
        <w:rPr>
          <w:rFonts w:ascii="Arial" w:hAnsi="Arial" w:cs="Arial"/>
          <w:sz w:val="24"/>
          <w:szCs w:val="24"/>
          <w:lang w:val="en-US"/>
        </w:rPr>
        <w:t>was</w:t>
      </w:r>
      <w:r>
        <w:rPr>
          <w:rFonts w:ascii="Arial" w:hAnsi="Arial" w:cs="Arial"/>
          <w:sz w:val="24"/>
          <w:szCs w:val="24"/>
          <w:lang w:val="en-US"/>
        </w:rPr>
        <w:t xml:space="preserve"> then</w:t>
      </w:r>
      <w:r w:rsidRPr="00B1650D">
        <w:rPr>
          <w:rFonts w:ascii="Arial" w:hAnsi="Arial" w:cs="Arial"/>
          <w:sz w:val="24"/>
          <w:szCs w:val="24"/>
          <w:lang w:val="en-US"/>
        </w:rPr>
        <w:t xml:space="preserve"> divided by three. </w:t>
      </w:r>
      <w:r>
        <w:rPr>
          <w:rFonts w:ascii="Arial" w:hAnsi="Arial" w:cs="Arial"/>
          <w:sz w:val="24"/>
          <w:szCs w:val="24"/>
          <w:lang w:val="en-US"/>
        </w:rPr>
        <w:t>We calculated a</w:t>
      </w:r>
      <w:r w:rsidRPr="00B1650D">
        <w:rPr>
          <w:rFonts w:ascii="Arial" w:hAnsi="Arial" w:cs="Arial"/>
          <w:sz w:val="24"/>
          <w:szCs w:val="24"/>
          <w:lang w:val="en-US"/>
        </w:rPr>
        <w:t>ttention as the scaled difference between number of correct answers and the number of errors in the continuous performance test - identical pairs</w:t>
      </w:r>
      <w:r>
        <w:rPr>
          <w:rFonts w:ascii="Arial" w:hAnsi="Arial" w:cs="Arial"/>
          <w:sz w:val="24"/>
          <w:szCs w:val="24"/>
          <w:lang w:val="en-US"/>
        </w:rPr>
        <w:t xml:space="preserve"> </w:t>
      </w:r>
      <w:r>
        <w:rPr>
          <w:rFonts w:ascii="Arial" w:hAnsi="Arial" w:cs="Arial"/>
          <w:sz w:val="24"/>
          <w:szCs w:val="24"/>
          <w:lang w:val="en-US"/>
        </w:rPr>
        <w:fldChar w:fldCharType="begin"/>
      </w:r>
      <w:r>
        <w:rPr>
          <w:rFonts w:ascii="Arial" w:hAnsi="Arial" w:cs="Arial"/>
          <w:sz w:val="24"/>
          <w:szCs w:val="24"/>
          <w:lang w:val="en-US"/>
        </w:rPr>
        <w:instrText xml:space="preserve"> ADDIN ZOTERO_ITEM CSL_CITATION {"citationID":"ksisoIxd","properties":{"formattedCitation":"(11)","plainCitation":"(11)","noteIndex":0},"citationItems":[{"id":318,"uris":["http://zotero.org/users/local/YWW7uJeE/items/ML6TRGKK"],"itemData":{"id":318,"type":"article-journal","abstract":"The performance of 30 learning disabled (LD) children with specific memory disability was compared to 30 matched controls on a computerized test of attentional skills. The Continuous Performance Test (CPT) provided a measure of omission errors, commission errors, and average rate of responding to a color-letter combination target. The LD group showed more omission errors and a slower rate of responding, but did not differ from controls on commission errors. The results were interpreted from a signal detection perspective and suggested that the LD group showed inefficient allocation of processing resources rather than an attentional deficit. The importance of dividing LD children into homogeneous cognitive subgroups was stressed.","container-title":"Journal of Learning Disabilities","DOI":"10.1177/002221948702001007","ISSN":"0022-2194, 1538-4780","issue":"10","journalAbbreviation":"J Learn Disabil","language":"en","license":"https://journals.sagepub.com/page/policies/text-and-data-mining-license","page":"614-619","source":"DOI.org (Crossref)","title":"The Continuous Performance Test in Learning Disabled and Nondisabled Children","volume":"20","author":[{"family":"Eliason","given":"Michele J."},{"family":"Richman","given":"Lynn C."}],"issued":{"date-parts":[["1987",12]]}}}],"schema":"https://github.com/citation-style-language/schema/raw/master/csl-citation.json"} </w:instrText>
      </w:r>
      <w:r>
        <w:rPr>
          <w:rFonts w:ascii="Arial" w:hAnsi="Arial" w:cs="Arial"/>
          <w:sz w:val="24"/>
          <w:szCs w:val="24"/>
          <w:lang w:val="en-US"/>
        </w:rPr>
        <w:fldChar w:fldCharType="separate"/>
      </w:r>
      <w:r w:rsidRPr="00873F48">
        <w:rPr>
          <w:rFonts w:ascii="Arial" w:hAnsi="Arial" w:cs="Arial"/>
          <w:sz w:val="24"/>
          <w:lang w:val="en-US"/>
        </w:rPr>
        <w:t>(11)</w:t>
      </w:r>
      <w:r>
        <w:rPr>
          <w:rFonts w:ascii="Arial" w:hAnsi="Arial" w:cs="Arial"/>
          <w:sz w:val="24"/>
          <w:szCs w:val="24"/>
          <w:lang w:val="en-US"/>
        </w:rPr>
        <w:fldChar w:fldCharType="end"/>
      </w:r>
      <w:r w:rsidRPr="00B1650D">
        <w:rPr>
          <w:rFonts w:ascii="Arial" w:hAnsi="Arial" w:cs="Arial"/>
          <w:sz w:val="24"/>
          <w:szCs w:val="24"/>
          <w:lang w:val="en-US"/>
        </w:rPr>
        <w:t xml:space="preserve">. </w:t>
      </w:r>
      <w:r>
        <w:rPr>
          <w:rFonts w:ascii="Arial" w:hAnsi="Arial" w:cs="Arial"/>
          <w:sz w:val="24"/>
          <w:szCs w:val="24"/>
          <w:lang w:val="en-US"/>
        </w:rPr>
        <w:t>For the v</w:t>
      </w:r>
      <w:r w:rsidRPr="00B1650D">
        <w:rPr>
          <w:rFonts w:ascii="Arial" w:hAnsi="Arial" w:cs="Arial"/>
          <w:sz w:val="24"/>
          <w:szCs w:val="24"/>
          <w:lang w:val="en-US"/>
        </w:rPr>
        <w:t xml:space="preserve">erbal learning </w:t>
      </w:r>
      <w:r>
        <w:rPr>
          <w:rFonts w:ascii="Arial" w:hAnsi="Arial" w:cs="Arial"/>
          <w:sz w:val="24"/>
          <w:szCs w:val="24"/>
          <w:lang w:val="en-US"/>
        </w:rPr>
        <w:t>score</w:t>
      </w:r>
      <w:r w:rsidRPr="00B1650D">
        <w:rPr>
          <w:rFonts w:ascii="Arial" w:hAnsi="Arial" w:cs="Arial"/>
          <w:sz w:val="24"/>
          <w:szCs w:val="24"/>
          <w:lang w:val="en-US"/>
        </w:rPr>
        <w:t xml:space="preserve"> the scaled sum of trial 1 to 5 of the Rey Auditory Verbal Learning Task</w:t>
      </w:r>
      <w:r>
        <w:rPr>
          <w:rFonts w:ascii="Arial" w:hAnsi="Arial" w:cs="Arial"/>
          <w:sz w:val="24"/>
          <w:szCs w:val="24"/>
          <w:lang w:val="en-US"/>
        </w:rPr>
        <w:t xml:space="preserve"> </w:t>
      </w:r>
      <w:r>
        <w:rPr>
          <w:rFonts w:ascii="Arial" w:hAnsi="Arial" w:cs="Arial"/>
          <w:sz w:val="24"/>
          <w:szCs w:val="24"/>
          <w:lang w:val="en-US"/>
        </w:rPr>
        <w:fldChar w:fldCharType="begin"/>
      </w:r>
      <w:r>
        <w:rPr>
          <w:rFonts w:ascii="Arial" w:hAnsi="Arial" w:cs="Arial"/>
          <w:sz w:val="24"/>
          <w:szCs w:val="24"/>
          <w:lang w:val="en-US"/>
        </w:rPr>
        <w:instrText xml:space="preserve"> ADDIN ZOTERO_ITEM CSL_CITATION {"citationID":"mPjTSfc3","properties":{"formattedCitation":"(12)","plainCitation":"(12)","noteIndex":0},"citationItems":[{"id":319,"uris":["http://zotero.org/users/local/YWW7uJeE/items/TRA5JV5U"],"itemData":{"id":319,"type":"book","publisher":"Western Psychological Services Los Angeles","title":"Rey auditory verbal learning test","author":[{"family":"Schmidt","given":"Michael"}],"issued":{"date-parts":[["1996"]]}}}],"schema":"https://github.com/citation-style-language/schema/raw/master/csl-citation.json"} </w:instrText>
      </w:r>
      <w:r>
        <w:rPr>
          <w:rFonts w:ascii="Arial" w:hAnsi="Arial" w:cs="Arial"/>
          <w:sz w:val="24"/>
          <w:szCs w:val="24"/>
          <w:lang w:val="en-US"/>
        </w:rPr>
        <w:fldChar w:fldCharType="separate"/>
      </w:r>
      <w:r w:rsidRPr="00873F48">
        <w:rPr>
          <w:rFonts w:ascii="Arial" w:hAnsi="Arial" w:cs="Arial"/>
          <w:sz w:val="24"/>
          <w:lang w:val="en-US"/>
        </w:rPr>
        <w:t>(12)</w:t>
      </w:r>
      <w:r>
        <w:rPr>
          <w:rFonts w:ascii="Arial" w:hAnsi="Arial" w:cs="Arial"/>
          <w:sz w:val="24"/>
          <w:szCs w:val="24"/>
          <w:lang w:val="en-US"/>
        </w:rPr>
        <w:fldChar w:fldCharType="end"/>
      </w:r>
      <w:r>
        <w:rPr>
          <w:rFonts w:ascii="Arial" w:hAnsi="Arial" w:cs="Arial"/>
          <w:sz w:val="24"/>
          <w:szCs w:val="24"/>
          <w:lang w:val="en-US"/>
        </w:rPr>
        <w:t xml:space="preserve"> was calculated</w:t>
      </w:r>
      <w:r w:rsidRPr="00B1650D">
        <w:rPr>
          <w:rFonts w:ascii="Arial" w:hAnsi="Arial" w:cs="Arial"/>
          <w:sz w:val="24"/>
          <w:szCs w:val="24"/>
          <w:lang w:val="en-US"/>
        </w:rPr>
        <w:t xml:space="preserve">. Global cognition was calculated </w:t>
      </w:r>
      <w:r>
        <w:rPr>
          <w:rFonts w:ascii="Arial" w:hAnsi="Arial" w:cs="Arial"/>
          <w:sz w:val="24"/>
          <w:szCs w:val="24"/>
          <w:lang w:val="en-US"/>
        </w:rPr>
        <w:t>as t</w:t>
      </w:r>
      <w:r w:rsidRPr="00B1650D">
        <w:rPr>
          <w:rFonts w:ascii="Arial" w:hAnsi="Arial" w:cs="Arial"/>
          <w:sz w:val="24"/>
          <w:szCs w:val="24"/>
          <w:lang w:val="en-US"/>
        </w:rPr>
        <w:t xml:space="preserve">he </w:t>
      </w:r>
      <w:r>
        <w:rPr>
          <w:rFonts w:ascii="Arial" w:hAnsi="Arial" w:cs="Arial"/>
          <w:sz w:val="24"/>
          <w:szCs w:val="24"/>
          <w:lang w:val="en-US"/>
        </w:rPr>
        <w:t xml:space="preserve">average of the </w:t>
      </w:r>
      <w:r w:rsidRPr="00B1650D">
        <w:rPr>
          <w:rFonts w:ascii="Arial" w:hAnsi="Arial" w:cs="Arial"/>
          <w:sz w:val="24"/>
          <w:szCs w:val="24"/>
          <w:lang w:val="en-US"/>
        </w:rPr>
        <w:t xml:space="preserve">scaled values across </w:t>
      </w:r>
      <w:r>
        <w:rPr>
          <w:rFonts w:ascii="Arial" w:hAnsi="Arial" w:cs="Arial"/>
          <w:sz w:val="24"/>
          <w:szCs w:val="24"/>
          <w:lang w:val="en-US"/>
        </w:rPr>
        <w:t>the five domains</w:t>
      </w:r>
      <w:r w:rsidRPr="00CA1D2F">
        <w:rPr>
          <w:rFonts w:ascii="Arial" w:hAnsi="Arial" w:cs="Arial"/>
          <w:sz w:val="24"/>
          <w:szCs w:val="24"/>
          <w:lang w:val="en-US"/>
        </w:rPr>
        <w:t>.</w:t>
      </w:r>
      <w:r>
        <w:rPr>
          <w:rFonts w:ascii="Arial" w:hAnsi="Arial" w:cs="Arial"/>
          <w:sz w:val="24"/>
          <w:szCs w:val="24"/>
          <w:lang w:val="en-US"/>
        </w:rPr>
        <w:t xml:space="preserve"> Scaling was performed over all subjects including HC. We corrected for confounding effects of age, sex, site and years of education as done before </w:t>
      </w:r>
      <w:r>
        <w:rPr>
          <w:rFonts w:ascii="Arial" w:hAnsi="Arial" w:cs="Arial"/>
          <w:sz w:val="24"/>
          <w:szCs w:val="24"/>
          <w:lang w:val="en-US"/>
        </w:rPr>
        <w:fldChar w:fldCharType="begin"/>
      </w:r>
      <w:r>
        <w:rPr>
          <w:rFonts w:ascii="Arial" w:hAnsi="Arial" w:cs="Arial"/>
          <w:sz w:val="24"/>
          <w:szCs w:val="24"/>
          <w:lang w:val="en-US"/>
        </w:rPr>
        <w:instrText xml:space="preserve"> ADDIN ZOTERO_ITEM CSL_CITATION {"citationID":"RNoU3Kc5","properties":{"formattedCitation":"(13)","plainCitation":"(13)","noteIndex":0},"citationItems":[{"id":353,"uris":["http://zotero.org/users/local/YWW7uJeE/items/YXG99LMZ"],"itemData":{"id":353,"type":"article-journal","abstract":"Abstract\n            \n              In schizophrenia, neurocognitive subtypes can be distinguished based on cognitive performance and they are associated with neuroanatomical alterations. We investigated the existence of cognitive subtypes in shortly medicated recent onset psychosis patients, their underlying gray matter volume patterns and clinical characteristics. We used a K-means algorithm to cluster 108 psychosis patients from the multi-site EU PRONIA (Prognostic tools for early psychosis management) study based on cognitive performance and validated the solution independently (\n              N\n               = 53). Cognitive subgroups and healthy controls (HC;\n              n\n               = 195) were classified based on gray matter volume (GMV) using Support Vector Machine classification. A cognitively spared (\n              N\n               = 67) and impaired (\n              N\n               = 41) subgroup were revealed and partially independently validated (\n              N\n              spared\n               = 40,\n              N\n              impaired\n               = 13). Impaired patients showed significantly increased negative symptomatology (\n              p\n              fdr\n               = 0.003), reduced cognitive performance (\n              p\n              fdr\n               &lt; 0.001) and general functioning (\n              p\n              fdr\n               &lt; 0.035) in comparison to spared patients. Neurocognitive deficits of the impaired subgroup persist in both discovery and validation sample across several domains, including verbal memory and processing speed. A GMV pattern (balanced accuracy = 60.1%,\n              p\n               = 0.01) separating impaired patients from HC revealed increases and decreases across several fronto-temporal-parietal brain areas, including basal ganglia and cerebellum. Cognitive and functional disturbances alongside brain morphological changes in the impaired subgroup are consistent with a neurodevelopmental origin of psychosis. Our findings emphasize the relevance of tailored intervention early in the course of psychosis for patients suffering from the likely stronger neurodevelopmental character of the disease.","container-title":"Neuropsychopharmacology","DOI":"10.1038/s41386-021-00963-1","ISSN":"0893-133X, 1740-634X","issue":"8","journalAbbreviation":"Neuropsychopharmacol.","language":"en","page":"1475-1483","source":"DOI.org (Crossref)","title":"Cognitive subtypes in recent onset psychosis: distinct neurobiological fingerprints?","title-short":"Cognitive subtypes in recent onset psychosis","volume":"46","author":[{"family":"Wenzel","given":"Julian"},{"family":"Haas","given":"Shalaila S."},{"family":"Dwyer","given":"Dominic B."},{"family":"Ruef","given":"Anne"},{"family":"Oeztuerk","given":"Oemer Faruk"},{"family":"Antonucci","given":"Linda A."},{"family":"Von Saldern","given":"Sebastian"},{"family":"Bonivento","given":"Carolina"},{"family":"Garzitto","given":"Marco"},{"family":"Ferro","given":"Adele"},{"family":"Paolini","given":"Marco"},{"family":"Blautzik","given":"Janusch"},{"family":"Borgwardt","given":"Stefan"},{"family":"Brambilla","given":"Paolo"},{"family":"Meisenzahl","given":"Eva"},{"family":"Salokangas","given":"Raimo K. R."},{"family":"Upthegrove","given":"Rachel"},{"family":"Wood","given":"Stephen J."},{"family":"Kambeitz","given":"Joseph"},{"family":"Koutsouleris","given":"Nikolaos"},{"family":"Kambeitz-Ilankovic","given":"Lana"},{"literal":"the PRONIA consortium"},{"family":"Sen Dong","given":"Mark"},{"family":"Erkens","given":"Anne"},{"family":"Gussmann","given":"Eva"},{"family":"Haas","given":"Shalaila"},{"family":"Hasan","given":"Alkomiet"},{"family":"Hoff","given":"Claudius"},{"family":"Khanyaree","given":"Ifrah"},{"family":"Melo","given":"Aylin"},{"family":"Muckenhuber-Sternbauer","given":"Susanna"},{"family":"Kohler","given":"Janis"},{"family":"Oeztuerk","given":"Oemer Faruk"},{"family":"Popovic","given":"David"},{"family":"Penzel","given":"Nora"},{"family":"Rangnick","given":"Adrian"},{"family":"Von Saldern","given":"Sebastian"},{"family":"Sanfelici","given":"Rachele"},{"family":"Spangemacher","given":"Moritz"},{"family":"Tupac","given":"Ana"},{"family":"Urquijo","given":"Maria Fernanda"},{"family":"Weiske","given":"Johanna"},{"family":"Wosgien","given":"Antonia"},{"family":"Ruhrmann","given":"Stephan"},{"family":"Rosen","given":"Marlene"},{"family":"Betz","given":"Linda"},{"family":"Haidl","given":"Theresa"},{"family":"Blume","given":"Karsten"},{"family":"Seves","given":"Mauro"},{"family":"Kaiser","given":"Nathalie"},{"family":"Pilgram","given":"Tanja"},{"family":"Lichtenstein","given":"Thorsten"},{"family":"Woopen","given":"Christiane"},{"family":"Borgwardt","given":"Stefan"},{"family":"Andreou","given":"Christina"},{"family":"Egloff","given":"Laura"},{"family":"Harrisberger","given":"Fabienne"},{"family":"Lenz","given":"Claudia"},{"family":"Leanza","given":"Letizia"},{"family":"Mackintosh","given":"Amatya"},{"family":"Smieskova","given":"Renata"},{"family":"Studerus","given":"Erich"},{"family":"Walter","given":"Anna"},{"family":"Widmayer","given":"Sonja"},{"family":"Chisholm","given":"Katharine"},{"family":"Day","given":"Chris"},{"family":"Griffiths","given":"Sian Lowri"},{"family":"Iqbal","given":"Mariam"},{"family":"Lalousis","given":"Paris"},{"family":"Pelton","given":"Mirabel"},{"family":"Mallikarjun","given":"Pavan"},{"family":"Stainton","given":"Alexandra"},{"family":"Lin","given":"Ashleigh"},{"family":"Denissoff","given":"Alexander"},{"family":"Ellila","given":"Anu"},{"family":"Tiina From","given":"R. N."},{"family":"Heinimaa","given":"Markus"},{"family":"Ilonen","given":"Tuula"},{"family":"Jalo","given":"Paivi"},{"family":"Heikki Laurikainen","given":"R. N."},{"family":"Lehtinen","given":"Maarit"},{"family":"Antti Luutonen","given":"R. N."},{"family":"Makela","given":"Akseli"},{"family":"Paju","given":"Janina"},{"family":"Pesonen","given":"Henri"},{"family":"Armio","given":"Reetta-Liina"},{"family":"Sormunen","given":"Elina"},{"family":"Toivonen","given":"Anna"},{"family":"Turtonen","given":"Otto"},{"family":"Solana","given":"Ana Beatriz"},{"family":"Abraham","given":"Manuela"},{"family":"Hehn","given":"Nicolas"},{"family":"Schirmer","given":"Timo"},{"family":"Altamura","given":"Carlo"},{"family":"Belleri","given":"Marika"},{"family":"Bottinelli","given":"Francesca"},{"family":"Re","given":"Marta"},{"family":"Monzani","given":"Emiliano"},{"family":"Percudani","given":"Mauro"},{"family":"Sberna","given":"Maurizio"},{"family":"D’Agostino","given":"Armando"},{"family":"Del Fabro","given":"Lorenzo"},{"family":"Menni","given":"Villa San Benedetto"},{"family":"Perna","given":"Giampaolo"},{"family":"Nobile","given":"Maria"},{"family":"Alciati","given":"Alessandra"},{"family":"Balestrieri","given":"Matteo"},{"family":"Cabras","given":"Giuseppe"},{"family":"Fabbro","given":"Franco"},{"family":"Piccin","given":"Sara"},{"family":"Bertolino","given":"Alessandro"},{"family":"Blasi","given":"Giuseppe"},{"family":"Antonucci","given":"Linda A."},{"family":"Pergola","given":"Giulio"},{"family":"Caforio","given":"Grazia"},{"family":"Faio","given":"Leonardo"},{"family":"Quarto","given":"Tiziana"},{"family":"Gelao","given":"Barbara"},{"family":"Romano","given":"Raffaella"},{"family":"Andriola","given":"Ileana"},{"family":"Falsetti","given":"Andrea"},{"family":"Barone","given":"Marina"},{"family":"Passatiore","given":"Roberta"},{"family":"Sangiuliano","given":"Marina"},{"family":"Lencer","given":"Rebekka"},{"family":"Surman","given":"Marian"},{"family":"Bienek","given":"Olga"},{"family":"Romer","given":"Georg"},{"family":"Dannlowski","given":"Udo"},{"family":"Schultze-Lutter","given":"Frauke"},{"family":"Schmidt-Kraepelin","given":"Christian"},{"family":"Neufang","given":"Susanne"},{"family":"Korda","given":"Alexandra"},{"family":"Rohner","given":"Henrik"}],"issued":{"date-parts":[["2021",7]]}}}],"schema":"https://github.com/citation-style-language/schema/raw/master/csl-citation.json"} </w:instrText>
      </w:r>
      <w:r>
        <w:rPr>
          <w:rFonts w:ascii="Arial" w:hAnsi="Arial" w:cs="Arial"/>
          <w:sz w:val="24"/>
          <w:szCs w:val="24"/>
          <w:lang w:val="en-US"/>
        </w:rPr>
        <w:fldChar w:fldCharType="separate"/>
      </w:r>
      <w:r w:rsidRPr="00873F48">
        <w:rPr>
          <w:rFonts w:ascii="Arial" w:hAnsi="Arial" w:cs="Arial"/>
          <w:sz w:val="24"/>
          <w:lang w:val="en-US"/>
        </w:rPr>
        <w:t>(13)</w:t>
      </w:r>
      <w:r>
        <w:rPr>
          <w:rFonts w:ascii="Arial" w:hAnsi="Arial" w:cs="Arial"/>
          <w:sz w:val="24"/>
          <w:szCs w:val="24"/>
          <w:lang w:val="en-US"/>
        </w:rPr>
        <w:fldChar w:fldCharType="end"/>
      </w:r>
      <w:r>
        <w:rPr>
          <w:rFonts w:ascii="Arial" w:hAnsi="Arial" w:cs="Arial"/>
          <w:sz w:val="24"/>
          <w:szCs w:val="24"/>
          <w:lang w:val="en-US"/>
        </w:rPr>
        <w:t xml:space="preserve">. Regression models based on HC were built for every cognition domain using age, sex, site and years of education as predictors. These models were then applied to the patient data and residuals were used for further analysis. </w:t>
      </w:r>
    </w:p>
    <w:p w:rsidR="00873F48" w:rsidRPr="00D07411" w:rsidRDefault="00873F48" w:rsidP="00873F48">
      <w:pPr>
        <w:ind w:firstLine="0"/>
        <w:rPr>
          <w:rFonts w:ascii="Arial" w:hAnsi="Arial" w:cs="Arial"/>
          <w:lang w:val="en-US"/>
        </w:rPr>
      </w:pPr>
    </w:p>
    <w:p w:rsidR="00873F48" w:rsidRPr="00D07411" w:rsidRDefault="00873F48" w:rsidP="00873F48">
      <w:pPr>
        <w:ind w:firstLine="0"/>
        <w:rPr>
          <w:rFonts w:ascii="Arial" w:hAnsi="Arial" w:cs="Arial"/>
          <w:b/>
          <w:lang w:val="en-US"/>
        </w:rPr>
      </w:pPr>
      <w:r w:rsidRPr="00D07411">
        <w:rPr>
          <w:rFonts w:ascii="Arial" w:hAnsi="Arial" w:cs="Arial"/>
          <w:b/>
          <w:lang w:val="en-US"/>
        </w:rPr>
        <w:t>MRI preprocessing</w:t>
      </w:r>
    </w:p>
    <w:p w:rsidR="00873F48" w:rsidRDefault="00873F48" w:rsidP="00873F48">
      <w:pPr>
        <w:ind w:firstLine="0"/>
        <w:rPr>
          <w:rFonts w:ascii="Arial" w:hAnsi="Arial" w:cs="Arial"/>
          <w:sz w:val="24"/>
          <w:szCs w:val="24"/>
          <w:lang w:val="en-US"/>
        </w:rPr>
      </w:pPr>
      <w:r w:rsidRPr="00D07411">
        <w:rPr>
          <w:rFonts w:ascii="Arial" w:hAnsi="Arial" w:cs="Arial"/>
          <w:sz w:val="24"/>
          <w:szCs w:val="24"/>
          <w:lang w:val="en-US"/>
        </w:rPr>
        <w:t xml:space="preserve">For preprocessing the Statistical Parametric Mapping software (SPM, version 12-6685; http://www.fil.ion.ucl.ac.uk/spm) and the Resting State fMRI data analysis Toolkit (REST, version 1.8; </w:t>
      </w:r>
      <w:hyperlink r:id="rId4" w:history="1">
        <w:r w:rsidRPr="00D07411">
          <w:rPr>
            <w:rStyle w:val="Hyperlink"/>
            <w:rFonts w:ascii="Arial" w:hAnsi="Arial" w:cs="Arial"/>
            <w:sz w:val="24"/>
            <w:szCs w:val="24"/>
            <w:lang w:val="en-US"/>
          </w:rPr>
          <w:t>http://www.restfmri.net/</w:t>
        </w:r>
      </w:hyperlink>
      <w:r w:rsidRPr="00D07411">
        <w:rPr>
          <w:rFonts w:ascii="Arial" w:hAnsi="Arial" w:cs="Arial"/>
          <w:sz w:val="24"/>
          <w:szCs w:val="24"/>
          <w:lang w:val="en-US"/>
        </w:rPr>
        <w:t xml:space="preserve">) were used. </w:t>
      </w:r>
      <w:r w:rsidRPr="00D07411">
        <w:rPr>
          <w:rFonts w:ascii="Arial" w:hAnsi="Arial" w:cs="Arial"/>
          <w:color w:val="1F1F1F"/>
          <w:sz w:val="24"/>
          <w:szCs w:val="24"/>
          <w:lang w:val="en-US"/>
        </w:rPr>
        <w:t>The first 8 volumes were discarded, and images were slice-time corrected and realigned to the first volume. The functional maps were co-registered to the T1-weighted images, resliced, and normalized to the common Montreal Neurological Institute space. Furthermore, white matter, cerebr</w:t>
      </w:r>
      <w:r w:rsidRPr="00D07411">
        <w:rPr>
          <w:rFonts w:ascii="Arial" w:hAnsi="Arial" w:cs="Arial"/>
          <w:sz w:val="24"/>
          <w:szCs w:val="24"/>
          <w:lang w:val="en-US"/>
        </w:rPr>
        <w:t xml:space="preserve">ospinal fluid and the Friston 24 motion parameters, comprising </w:t>
      </w:r>
      <w:r w:rsidRPr="00D07411">
        <w:rPr>
          <w:rFonts w:ascii="Arial" w:hAnsi="Arial" w:cs="Arial"/>
          <w:spacing w:val="3"/>
          <w:sz w:val="24"/>
          <w:szCs w:val="24"/>
          <w:lang w:val="en-US"/>
        </w:rPr>
        <w:t>translation and rotation in three directions, temporal derivatives and their quadratic terms</w:t>
      </w:r>
      <w:r w:rsidRPr="00D07411">
        <w:rPr>
          <w:rFonts w:ascii="Arial" w:hAnsi="Arial" w:cs="Arial"/>
          <w:sz w:val="24"/>
          <w:szCs w:val="24"/>
          <w:lang w:val="en-US"/>
        </w:rPr>
        <w:t xml:space="preserve"> </w:t>
      </w:r>
      <w:r w:rsidRPr="00D07411">
        <w:rPr>
          <w:rFonts w:ascii="Arial" w:hAnsi="Arial" w:cs="Arial"/>
          <w:color w:val="1F1F1F"/>
          <w:sz w:val="24"/>
          <w:szCs w:val="24"/>
          <w:lang w:val="en-US"/>
        </w:rPr>
        <w:fldChar w:fldCharType="begin"/>
      </w:r>
      <w:r>
        <w:rPr>
          <w:rFonts w:ascii="Arial" w:hAnsi="Arial" w:cs="Arial"/>
          <w:color w:val="1F1F1F"/>
          <w:sz w:val="24"/>
          <w:szCs w:val="24"/>
          <w:lang w:val="en-US"/>
        </w:rPr>
        <w:instrText xml:space="preserve"> ADDIN ZOTERO_ITEM CSL_CITATION {"citationID":"Cu6d15dU","properties":{"formattedCitation":"(14)","plainCitation":"(14)","noteIndex":0},"citationItems":[{"id":130,"uris":["http://zotero.org/users/local/YWW7uJeE/items/45GV276Q"],"itemData":{"id":130,"type":"article-journal","container-title":"NeuroImage","DOI":"10.1016/j.neuroimage.2012.08.052","ISSN":"10538119","journalAbbreviation":"NeuroImage","language":"en","license":"https://www.elsevier.com/tdm/userlicense/1.0/","page":"240-256","source":"DOI.org (Crossref)","title":"An improved framework for confound regression and filtering for control of motion artifact in the preprocessing of resting-state functional connectivity data","volume":"64","author":[{"family":"Satterthwaite","given":"Theodore D."},{"family":"Elliott","given":"Mark A."},{"family":"Gerraty","given":"Raphael T."},{"family":"Ruparel","given":"Kosha"},{"family":"Loughead","given":"James"},{"family":"Calkins","given":"Monica E."},{"family":"Eickhoff","given":"Simon B."},{"family":"Hakonarson","given":"Hakon"},{"family":"Gur","given":"Ruben C."},{"family":"Gur","given":"Raquel E."},{"family":"Wolf","given":"Daniel H."}],"issued":{"date-parts":[["2013",1]]}}}],"schema":"https://github.com/citation-style-language/schema/raw/master/csl-citation.json"} </w:instrText>
      </w:r>
      <w:r w:rsidRPr="00D07411">
        <w:rPr>
          <w:rFonts w:ascii="Arial" w:hAnsi="Arial" w:cs="Arial"/>
          <w:color w:val="1F1F1F"/>
          <w:sz w:val="24"/>
          <w:szCs w:val="24"/>
          <w:lang w:val="en-US"/>
        </w:rPr>
        <w:fldChar w:fldCharType="separate"/>
      </w:r>
      <w:r w:rsidRPr="00873F48">
        <w:rPr>
          <w:rFonts w:ascii="Arial" w:hAnsi="Arial" w:cs="Arial"/>
          <w:sz w:val="24"/>
          <w:lang w:val="en-US"/>
        </w:rPr>
        <w:t>(14)</w:t>
      </w:r>
      <w:r w:rsidRPr="00D07411">
        <w:rPr>
          <w:rFonts w:ascii="Arial" w:hAnsi="Arial" w:cs="Arial"/>
          <w:color w:val="1F1F1F"/>
          <w:sz w:val="24"/>
          <w:szCs w:val="24"/>
          <w:lang w:val="en-US"/>
        </w:rPr>
        <w:fldChar w:fldCharType="end"/>
      </w:r>
      <w:r w:rsidRPr="00D07411">
        <w:rPr>
          <w:rFonts w:ascii="Arial" w:hAnsi="Arial" w:cs="Arial"/>
          <w:color w:val="1F1F1F"/>
          <w:sz w:val="24"/>
          <w:szCs w:val="24"/>
          <w:lang w:val="en-US"/>
        </w:rPr>
        <w:t xml:space="preserve">, were regressed out as covariates. Finally, Smoothing was applied, motion was corrected using time series de-spiking, and scans were detrended. </w:t>
      </w:r>
      <w:r w:rsidRPr="00D07411">
        <w:rPr>
          <w:rFonts w:ascii="Arial" w:hAnsi="Arial" w:cs="Arial"/>
          <w:sz w:val="24"/>
          <w:szCs w:val="24"/>
          <w:lang w:val="en-US"/>
        </w:rPr>
        <w:t>For our analysis participants with a mean framewise displacement</w:t>
      </w:r>
      <w:r w:rsidRPr="00D07411">
        <w:rPr>
          <w:rFonts w:ascii="Arial" w:hAnsi="Arial" w:cs="Arial"/>
          <w:color w:val="1F1F1F"/>
          <w:sz w:val="24"/>
          <w:szCs w:val="24"/>
          <w:lang w:val="en-US"/>
        </w:rPr>
        <w:t xml:space="preserve"> over 0.50 mm</w:t>
      </w:r>
      <w:r w:rsidRPr="00D07411">
        <w:rPr>
          <w:rFonts w:ascii="Arial" w:hAnsi="Arial" w:cs="Arial"/>
          <w:sz w:val="24"/>
          <w:szCs w:val="24"/>
          <w:lang w:val="en-US"/>
        </w:rPr>
        <w:t xml:space="preserve"> </w:t>
      </w:r>
      <w:r w:rsidRPr="00D07411">
        <w:rPr>
          <w:rFonts w:ascii="Arial" w:hAnsi="Arial" w:cs="Arial"/>
          <w:color w:val="1F1F1F"/>
          <w:sz w:val="24"/>
          <w:szCs w:val="24"/>
          <w:lang w:val="en-US"/>
        </w:rPr>
        <w:t xml:space="preserve">for more than 38.5% of volumes </w:t>
      </w:r>
      <w:r w:rsidRPr="00D07411">
        <w:rPr>
          <w:rFonts w:ascii="Arial" w:hAnsi="Arial" w:cs="Arial"/>
          <w:sz w:val="24"/>
          <w:szCs w:val="24"/>
          <w:lang w:val="en-US"/>
        </w:rPr>
        <w:t>were excluded.</w:t>
      </w:r>
    </w:p>
    <w:p w:rsidR="00873F48" w:rsidRPr="0076190B" w:rsidRDefault="00873F48" w:rsidP="00873F48">
      <w:pPr>
        <w:ind w:firstLine="0"/>
        <w:rPr>
          <w:rFonts w:ascii="Arial" w:hAnsi="Arial" w:cs="Arial"/>
          <w:b/>
          <w:color w:val="1F1F1F"/>
          <w:sz w:val="24"/>
          <w:szCs w:val="24"/>
          <w:lang w:val="en-US"/>
        </w:rPr>
      </w:pPr>
      <w:r w:rsidRPr="0076190B">
        <w:rPr>
          <w:rFonts w:ascii="Arial" w:hAnsi="Arial" w:cs="Arial"/>
          <w:b/>
          <w:color w:val="1F1F1F"/>
          <w:sz w:val="24"/>
          <w:szCs w:val="24"/>
          <w:lang w:val="en-US"/>
        </w:rPr>
        <w:lastRenderedPageBreak/>
        <w:t>Correction for site differences via ComBat</w:t>
      </w:r>
    </w:p>
    <w:p w:rsidR="00873F48" w:rsidRDefault="00873F48" w:rsidP="00873F48">
      <w:pPr>
        <w:ind w:firstLine="0"/>
        <w:rPr>
          <w:rFonts w:ascii="Arial" w:hAnsi="Arial" w:cs="Arial"/>
          <w:color w:val="1F1F1F"/>
          <w:sz w:val="24"/>
          <w:szCs w:val="24"/>
          <w:lang w:val="en-US"/>
        </w:rPr>
      </w:pPr>
      <w:r w:rsidRPr="00D07411">
        <w:rPr>
          <w:rFonts w:ascii="Arial" w:hAnsi="Arial" w:cs="Arial"/>
          <w:sz w:val="24"/>
          <w:szCs w:val="24"/>
          <w:lang w:val="en-US"/>
        </w:rPr>
        <w:t xml:space="preserve">ComBat is a procedure originally developed for correcting batch effects in gene expression data, using an empirical bayesian framework. Recently, ComBat has been successfully used to account for potentially confounding site-effects in MRI data in over 50 studies </w:t>
      </w:r>
      <w:r w:rsidRPr="00D07411">
        <w:rPr>
          <w:rFonts w:ascii="Arial" w:hAnsi="Arial" w:cs="Arial"/>
          <w:sz w:val="24"/>
          <w:szCs w:val="24"/>
          <w:lang w:val="en-US"/>
        </w:rPr>
        <w:fldChar w:fldCharType="begin"/>
      </w:r>
      <w:r>
        <w:rPr>
          <w:rFonts w:ascii="Arial" w:hAnsi="Arial" w:cs="Arial"/>
          <w:sz w:val="24"/>
          <w:szCs w:val="24"/>
          <w:lang w:val="en-US"/>
        </w:rPr>
        <w:instrText xml:space="preserve"> ADDIN ZOTERO_ITEM CSL_CITATION {"citationID":"4PwzCibS","properties":{"formattedCitation":"(15)","plainCitation":"(15)","noteIndex":0},"citationItems":[{"id":76,"uris":["http://zotero.org/users/local/YWW7uJeE/items/BXDG4KCP"],"itemData":{"id":76,"type":"article-journal","abstract":"Site differences, or systematic differences in feature distributions across multiple data-acquisition sites, are a known source of heterogeneity that may adversely affect large-scale meta- and mega-analyses of independently collected neuroimaging data. They influence nearly all multi-site imaging modalities and biomarkers, and methods to compensate for them can improve reliability and generalizability in the analysis of genetics, omics, and clinical data. The origins of statistical site effects are complex and involve both\n              technical\n              differences (scanner vendor, head coil, acquisition parameters, imaging processing) and differences in\n              sample characteristics\n              (inclusion/exclusion criteria, sample size, ancestry) between sites. In an age of expanding international consortium research, there is a growing need to disentangle technical site effects from sample characteristics of interest. Numerous statistical and machine learning methods have been developed to control for, model, or attenuate site effects – yet to date, no comprehensive review has discussed the benefits and drawbacks of each for different use cases. Here, we provide an overview of the different existing statistical and machine learning methods developed to remove unwanted site effects from independently collected neuroimaging samples. We focus on linear mixed effect models, the ComBat technique and its variants, adjustments based on image quality metrics, normative modeling, and deep learning approaches such as generative adversarial networks. For each method, we outline the statistical foundation and summarize strengths and weaknesses, including their assumptions and conditions of use. We provide information on software availability and comment on the ease of use and the applicability of these methods to different types of data. We discuss validation and comparative reports, mention caveats and provide guidance on when to use each method, depending on context and specific research questions.","container-title":"Frontiers in Neurology","DOI":"10.3389/fneur.2022.923988","ISSN":"1664-2295","journalAbbreviation":"Front. Neurol.","page":"923988","source":"DOI.org (Crossref)","title":"Site effects how-to and when: An overview of retrospective techniques to accommodate site effects in multi-site neuroimaging analyses","title-short":"Site effects how-to and when","volume":"13","author":[{"family":"Bayer","given":"Johanna M. M."},{"family":"Thompson","given":"Paul M."},{"family":"Ching","given":"Christopher R. K."},{"family":"Liu","given":"Mengting"},{"family":"Chen","given":"Andrew"},{"family":"Panzenhagen","given":"Alana C."},{"family":"Jahanshad","given":"Neda"},{"family":"Marquand","given":"Andre"},{"family":"Schmaal","given":"Lianne"},{"family":"Sämann","given":"Philipp G."}],"issued":{"date-parts":[["2022",10,31]]}}}],"schema":"https://github.com/citation-style-language/schema/raw/master/csl-citation.json"} </w:instrText>
      </w:r>
      <w:r w:rsidRPr="00D07411">
        <w:rPr>
          <w:rFonts w:ascii="Arial" w:hAnsi="Arial" w:cs="Arial"/>
          <w:sz w:val="24"/>
          <w:szCs w:val="24"/>
          <w:lang w:val="en-US"/>
        </w:rPr>
        <w:fldChar w:fldCharType="separate"/>
      </w:r>
      <w:r w:rsidRPr="00873F48">
        <w:rPr>
          <w:rFonts w:ascii="Arial" w:hAnsi="Arial" w:cs="Arial"/>
          <w:sz w:val="24"/>
          <w:lang w:val="en-US"/>
        </w:rPr>
        <w:t>(15)</w:t>
      </w:r>
      <w:r w:rsidRPr="00D07411">
        <w:rPr>
          <w:rFonts w:ascii="Arial" w:hAnsi="Arial" w:cs="Arial"/>
          <w:sz w:val="24"/>
          <w:szCs w:val="24"/>
          <w:lang w:val="en-US"/>
        </w:rPr>
        <w:fldChar w:fldCharType="end"/>
      </w:r>
      <w:r w:rsidRPr="00D07411">
        <w:rPr>
          <w:rFonts w:ascii="Arial" w:hAnsi="Arial" w:cs="Arial"/>
          <w:sz w:val="24"/>
          <w:szCs w:val="24"/>
          <w:lang w:val="en-US"/>
        </w:rPr>
        <w:t xml:space="preserve">. We used Munich as a reference site, as it was the site with the highest number of study participants. While correcting for site effects, ComBat allows for specification of variables whose variance should be preserved. To ensure that differences due to biological variation are maintained, we chose to preserve the variance in age and sex. We trained </w:t>
      </w:r>
      <w:r w:rsidRPr="00D07411">
        <w:rPr>
          <w:rFonts w:ascii="Arial" w:hAnsi="Arial" w:cs="Arial"/>
          <w:color w:val="1F1F1F"/>
          <w:sz w:val="24"/>
          <w:szCs w:val="24"/>
          <w:lang w:val="en-US"/>
        </w:rPr>
        <w:t xml:space="preserve">ComBat on HC subjects and the derived estimates were then applied to the patient data using the implementation neuroHarmonize </w:t>
      </w:r>
      <w:r>
        <w:rPr>
          <w:rFonts w:ascii="Arial" w:hAnsi="Arial" w:cs="Arial"/>
          <w:color w:val="1F1F1F"/>
          <w:sz w:val="24"/>
          <w:szCs w:val="24"/>
          <w:lang w:val="en-US"/>
        </w:rPr>
        <w:fldChar w:fldCharType="begin"/>
      </w:r>
      <w:r>
        <w:rPr>
          <w:rFonts w:ascii="Arial" w:hAnsi="Arial" w:cs="Arial"/>
          <w:color w:val="1F1F1F"/>
          <w:sz w:val="24"/>
          <w:szCs w:val="24"/>
          <w:lang w:val="en-US"/>
        </w:rPr>
        <w:instrText xml:space="preserve"> ADDIN ZOTERO_ITEM CSL_CITATION {"citationID":"br33fk5u","properties":{"formattedCitation":"(16)","plainCitation":"(16)","noteIndex":0},"citationItems":[{"id":125,"uris":["http://zotero.org/users/local/YWW7uJeE/items/V27I7NJX"],"itemData":{"id":125,"type":"article-journal","container-title":"NeuroImage","DOI":"10.1016/j.neuroimage.2019.116450","ISSN":"10538119","journalAbbreviation":"NeuroImage","language":"en","page":"116450","source":"DOI.org (Crossref)","title":"Harmonization of large MRI datasets for the analysis of brain imaging patterns throughout the lifespan","volume":"208","author":[{"family":"Pomponio","given":"Raymond"},{"family":"Erus","given":"Guray"},{"family":"Habes","given":"Mohamad"},{"family":"Doshi","given":"Jimit"},{"family":"Srinivasan","given":"Dhivya"},{"family":"Mamourian","given":"Elizabeth"},{"family":"Bashyam","given":"Vishnu"},{"family":"Nasrallah","given":"Ilya M."},{"family":"Satterthwaite","given":"Theodore D."},{"family":"Fan","given":"Yong"},{"family":"Launer","given":"Lenore J."},{"family":"Masters","given":"Colin L."},{"family":"Maruff","given":"Paul"},{"family":"Zhuo","given":"Chuanjun"},{"family":"Völzke","given":"Henry"},{"family":"Johnson","given":"Sterling C."},{"family":"Fripp","given":"Jurgen"},{"family":"Koutsouleris","given":"Nikolaos"},{"family":"Wolf","given":"Daniel H."},{"family":"Gur","given":"Raquel"},{"family":"Gur","given":"Ruben"},{"family":"Morris","given":"John"},{"family":"Albert","given":"Marilyn S."},{"family":"Grabe","given":"Hans J."},{"family":"Resnick","given":"Susan M."},{"family":"Bryan","given":"R. Nick"},{"family":"Wolk","given":"David A."},{"family":"Shinohara","given":"Russell T."},{"family":"Shou","given":"Haochang"},{"family":"Davatzikos","given":"Christos"}],"issued":{"date-parts":[["2020",3]]}}}],"schema":"https://github.com/citation-style-language/schema/raw/master/csl-citation.json"} </w:instrText>
      </w:r>
      <w:r>
        <w:rPr>
          <w:rFonts w:ascii="Arial" w:hAnsi="Arial" w:cs="Arial"/>
          <w:color w:val="1F1F1F"/>
          <w:sz w:val="24"/>
          <w:szCs w:val="24"/>
          <w:lang w:val="en-US"/>
        </w:rPr>
        <w:fldChar w:fldCharType="separate"/>
      </w:r>
      <w:r w:rsidRPr="00873F48">
        <w:rPr>
          <w:rFonts w:ascii="Arial" w:hAnsi="Arial" w:cs="Arial"/>
          <w:sz w:val="24"/>
        </w:rPr>
        <w:t>(16)</w:t>
      </w:r>
      <w:r>
        <w:rPr>
          <w:rFonts w:ascii="Arial" w:hAnsi="Arial" w:cs="Arial"/>
          <w:color w:val="1F1F1F"/>
          <w:sz w:val="24"/>
          <w:szCs w:val="24"/>
          <w:lang w:val="en-US"/>
        </w:rPr>
        <w:fldChar w:fldCharType="end"/>
      </w:r>
      <w:r>
        <w:rPr>
          <w:rFonts w:ascii="Arial" w:hAnsi="Arial" w:cs="Arial"/>
          <w:color w:val="1F1F1F"/>
          <w:sz w:val="24"/>
          <w:szCs w:val="24"/>
          <w:lang w:val="en-US"/>
        </w:rPr>
        <w:t>.</w:t>
      </w:r>
    </w:p>
    <w:p w:rsidR="00873F48" w:rsidRPr="00C35169" w:rsidRDefault="00873F48" w:rsidP="00873F48">
      <w:pPr>
        <w:ind w:firstLine="0"/>
        <w:rPr>
          <w:rFonts w:ascii="Arial" w:hAnsi="Arial" w:cs="Arial"/>
          <w:b/>
          <w:sz w:val="24"/>
          <w:szCs w:val="24"/>
          <w:lang w:val="en-US"/>
        </w:rPr>
      </w:pPr>
      <w:r w:rsidRPr="00C35169">
        <w:rPr>
          <w:rFonts w:ascii="Arial" w:hAnsi="Arial" w:cs="Arial"/>
          <w:b/>
          <w:sz w:val="24"/>
          <w:szCs w:val="24"/>
          <w:lang w:val="en-US"/>
        </w:rPr>
        <w:t>Supplementary Tables</w:t>
      </w:r>
    </w:p>
    <w:p w:rsidR="00873F48" w:rsidRPr="00580CD8" w:rsidRDefault="00873F48" w:rsidP="00873F48">
      <w:pPr>
        <w:ind w:firstLine="0"/>
        <w:rPr>
          <w:rFonts w:ascii="Arial" w:hAnsi="Arial" w:cs="Arial"/>
          <w:b/>
          <w:sz w:val="24"/>
          <w:szCs w:val="24"/>
          <w:lang w:val="en-US"/>
        </w:rPr>
      </w:pPr>
      <w:r w:rsidRPr="00580CD8">
        <w:rPr>
          <w:rFonts w:ascii="Arial" w:hAnsi="Arial" w:cs="Arial"/>
          <w:b/>
          <w:sz w:val="24"/>
          <w:szCs w:val="24"/>
          <w:lang w:val="en-US"/>
        </w:rPr>
        <w:t>Supplementary Table 1</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62"/>
        <w:gridCol w:w="1117"/>
        <w:gridCol w:w="967"/>
        <w:gridCol w:w="773"/>
        <w:gridCol w:w="1074"/>
        <w:gridCol w:w="765"/>
        <w:gridCol w:w="961"/>
        <w:gridCol w:w="961"/>
        <w:gridCol w:w="722"/>
        <w:gridCol w:w="770"/>
      </w:tblGrid>
      <w:tr w:rsidR="00873F48" w:rsidRPr="00D07411" w:rsidTr="00FC7E6E">
        <w:tc>
          <w:tcPr>
            <w:tcW w:w="9062" w:type="dxa"/>
            <w:gridSpan w:val="10"/>
            <w:tcBorders>
              <w:bottom w:val="single" w:sz="4" w:space="0" w:color="auto"/>
            </w:tcBorders>
          </w:tcPr>
          <w:p w:rsidR="00873F48" w:rsidRPr="00D07411" w:rsidRDefault="00873F48" w:rsidP="00FC7E6E">
            <w:pPr>
              <w:ind w:firstLine="0"/>
              <w:rPr>
                <w:rFonts w:ascii="Arial" w:hAnsi="Arial" w:cs="Arial"/>
                <w:sz w:val="24"/>
                <w:szCs w:val="24"/>
                <w:lang w:val="en-US"/>
              </w:rPr>
            </w:pPr>
            <w:r w:rsidRPr="00D07411">
              <w:rPr>
                <w:rFonts w:ascii="Arial" w:hAnsi="Arial" w:cs="Arial"/>
                <w:lang w:val="en-US"/>
              </w:rPr>
              <w:t>Neuroimaging acquisition parameters for the structural MRI data across the different PRONIA sites. Adapted with minimal modifications from Koutsouleris et al. (2018) (3)/ Buciuman et al. (2023)</w:t>
            </w:r>
            <w:r w:rsidR="003C6A19">
              <w:rPr>
                <w:rFonts w:ascii="Arial" w:hAnsi="Arial" w:cs="Arial"/>
                <w:lang w:val="en-US"/>
              </w:rPr>
              <w:t xml:space="preserve"> </w:t>
            </w:r>
            <w:r w:rsidR="003C6A19">
              <w:rPr>
                <w:rFonts w:ascii="Arial" w:hAnsi="Arial" w:cs="Arial"/>
                <w:lang w:val="en-US"/>
              </w:rPr>
              <w:fldChar w:fldCharType="begin"/>
            </w:r>
            <w:r w:rsidR="003C6A19">
              <w:rPr>
                <w:rFonts w:ascii="Arial" w:hAnsi="Arial" w:cs="Arial"/>
                <w:lang w:val="en-US"/>
              </w:rPr>
              <w:instrText xml:space="preserve"> ADDIN ZOTERO_ITEM CSL_CITATION {"citationID":"g9RLnaXZ","properties":{"formattedCitation":"(17)","plainCitation":"(17)","noteIndex":0},"citationItems":[{"id":29,"uris":["http://zotero.org/users/local/YWW7uJeE/items/JR2S9V3D"],"itemData":{"id":29,"type":"article-journal","container-title":"Biological Psychiatry: Cognitive Neuroscience and Neuroimaging","DOI":"10.1016/j.bpsc.2023.06.001","ISSN":"24519022","issue":"12","journalAbbreviation":"Biological Psychiatry: Cognitive Neuroscience and Neuroimaging","language":"en","page":"1207-1217","source":"DOI.org (Crossref)","title":"Structural and Functional Brain Patterns Predict Formal Thought Disorder’s Severity and Its Persistence in Recent-Onset Psychosis: Results From the PRONIA Study","title-short":"Structural and Functional Brain Patterns Predict Formal Thought Disorder’s Severity and Its Persistence in Recent-Onset Psychosis","volume":"8","author":[{"family":"Buciuman","given":"Madalina-Octavia"},{"family":"Oeztuerk","given":"Oemer Faruk"},{"family":"Popovic","given":"David"},{"family":"Enrico","given":"Paolo"},{"family":"Ruef","given":"Anne"},{"family":"Bieler","given":"Nadia"},{"family":"Sarisik","given":"Elif"},{"family":"Weiske","given":"Johanna"},{"family":"Dong","given":"Mark Sen"},{"family":"Dwyer","given":"Dominic B."},{"family":"Kambeitz-Ilankovic","given":"Lana"},{"family":"Haas","given":"Shalaila S."},{"family":"Stainton","given":"Alexandra"},{"family":"Ruhrmann","given":"Stephan"},{"family":"Chisholm","given":"Katharine"},{"family":"Kambeitz","given":"Joseph"},{"family":"Riecher-Rössler","given":"Anita"},{"family":"Upthegrove","given":"Rachel"},{"family":"Schultze-Lutter","given":"Frauke"},{"family":"Salokangas","given":"Raimo K.R."},{"family":"Hietala","given":"Jarmo"},{"family":"Pantelis","given":"Christos"},{"family":"Lencer","given":"Rebekka"},{"family":"Meisenzahl","given":"Eva"},{"family":"Wood","given":"Stephen J."},{"family":"Brambilla","given":"Paolo"},{"family":"Borgwardt","given":"Stefan"},{"family":"Falkai","given":"Peter"},{"family":"Antonucci","given":"Linda A."},{"family":"Bertolino","given":"Alessandro"},{"family":"Liddle","given":"Peter"},{"family":"Koutsouleris","given":"Nikolaos"}],"issued":{"date-parts":[["2023",12]]}}}],"schema":"https://github.com/citation-style-language/schema/raw/master/csl-citation.json"} </w:instrText>
            </w:r>
            <w:r w:rsidR="003C6A19">
              <w:rPr>
                <w:rFonts w:ascii="Arial" w:hAnsi="Arial" w:cs="Arial"/>
                <w:lang w:val="en-US"/>
              </w:rPr>
              <w:fldChar w:fldCharType="separate"/>
            </w:r>
            <w:r w:rsidR="003C6A19" w:rsidRPr="003C6A19">
              <w:rPr>
                <w:rFonts w:ascii="Arial" w:hAnsi="Arial" w:cs="Arial"/>
              </w:rPr>
              <w:t>(17)</w:t>
            </w:r>
            <w:r w:rsidR="003C6A19">
              <w:rPr>
                <w:rFonts w:ascii="Arial" w:hAnsi="Arial" w:cs="Arial"/>
                <w:lang w:val="en-US"/>
              </w:rPr>
              <w:fldChar w:fldCharType="end"/>
            </w:r>
            <w:bookmarkStart w:id="0" w:name="_GoBack"/>
            <w:bookmarkEnd w:id="0"/>
          </w:p>
        </w:tc>
      </w:tr>
      <w:tr w:rsidR="00873F48" w:rsidRPr="00B33DBD" w:rsidTr="00FC7E6E">
        <w:tc>
          <w:tcPr>
            <w:tcW w:w="865" w:type="dxa"/>
            <w:tcBorders>
              <w:top w:val="single" w:sz="4" w:space="0" w:color="auto"/>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Site</w:t>
            </w:r>
          </w:p>
        </w:tc>
        <w:tc>
          <w:tcPr>
            <w:tcW w:w="998" w:type="dxa"/>
            <w:tcBorders>
              <w:top w:val="single" w:sz="4" w:space="0" w:color="auto"/>
              <w:left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Scanner model</w:t>
            </w:r>
          </w:p>
        </w:tc>
        <w:tc>
          <w:tcPr>
            <w:tcW w:w="1039" w:type="dxa"/>
            <w:tcBorders>
              <w:top w:val="single" w:sz="4" w:space="0" w:color="auto"/>
              <w:left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Field strength</w:t>
            </w:r>
          </w:p>
        </w:tc>
        <w:tc>
          <w:tcPr>
            <w:tcW w:w="889" w:type="dxa"/>
            <w:tcBorders>
              <w:top w:val="single" w:sz="4" w:space="0" w:color="auto"/>
              <w:left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Flip Angle</w:t>
            </w:r>
          </w:p>
        </w:tc>
        <w:tc>
          <w:tcPr>
            <w:tcW w:w="1106" w:type="dxa"/>
            <w:tcBorders>
              <w:top w:val="single" w:sz="4" w:space="0" w:color="auto"/>
              <w:left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Coil Channels</w:t>
            </w:r>
          </w:p>
        </w:tc>
        <w:tc>
          <w:tcPr>
            <w:tcW w:w="887" w:type="dxa"/>
            <w:tcBorders>
              <w:top w:val="single" w:sz="4" w:space="0" w:color="auto"/>
              <w:left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Voxel size (mm)</w:t>
            </w:r>
          </w:p>
        </w:tc>
        <w:tc>
          <w:tcPr>
            <w:tcW w:w="819" w:type="dxa"/>
            <w:tcBorders>
              <w:top w:val="single" w:sz="4" w:space="0" w:color="auto"/>
              <w:left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TR (ms)</w:t>
            </w:r>
          </w:p>
        </w:tc>
        <w:tc>
          <w:tcPr>
            <w:tcW w:w="819" w:type="dxa"/>
            <w:tcBorders>
              <w:top w:val="single" w:sz="4" w:space="0" w:color="auto"/>
              <w:left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TE (ms)</w:t>
            </w:r>
          </w:p>
        </w:tc>
        <w:tc>
          <w:tcPr>
            <w:tcW w:w="820" w:type="dxa"/>
            <w:tcBorders>
              <w:top w:val="single" w:sz="4" w:space="0" w:color="auto"/>
              <w:left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FOV (mm)</w:t>
            </w:r>
          </w:p>
        </w:tc>
        <w:tc>
          <w:tcPr>
            <w:tcW w:w="820" w:type="dxa"/>
            <w:tcBorders>
              <w:top w:val="single" w:sz="4" w:space="0" w:color="auto"/>
              <w:left w:val="nil"/>
              <w:bottom w:val="single" w:sz="4" w:space="0" w:color="auto"/>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 xml:space="preserve"> Slices</w:t>
            </w:r>
          </w:p>
        </w:tc>
      </w:tr>
      <w:tr w:rsidR="00873F48" w:rsidRPr="00B33DBD" w:rsidTr="00FC7E6E">
        <w:tc>
          <w:tcPr>
            <w:tcW w:w="865" w:type="dxa"/>
            <w:tcBorders>
              <w:top w:val="single" w:sz="4" w:space="0" w:color="auto"/>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Munich</w:t>
            </w:r>
          </w:p>
        </w:tc>
        <w:tc>
          <w:tcPr>
            <w:tcW w:w="998" w:type="dxa"/>
            <w:tcBorders>
              <w:top w:val="single" w:sz="4" w:space="0" w:color="auto"/>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Philips Ingenia</w:t>
            </w:r>
          </w:p>
        </w:tc>
        <w:tc>
          <w:tcPr>
            <w:tcW w:w="1039" w:type="dxa"/>
            <w:tcBorders>
              <w:top w:val="single" w:sz="4" w:space="0" w:color="auto"/>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3T</w:t>
            </w:r>
          </w:p>
        </w:tc>
        <w:tc>
          <w:tcPr>
            <w:tcW w:w="889" w:type="dxa"/>
            <w:tcBorders>
              <w:top w:val="single" w:sz="4" w:space="0" w:color="auto"/>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8</w:t>
            </w:r>
          </w:p>
        </w:tc>
        <w:tc>
          <w:tcPr>
            <w:tcW w:w="1106" w:type="dxa"/>
            <w:tcBorders>
              <w:top w:val="single" w:sz="4" w:space="0" w:color="auto"/>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32</w:t>
            </w:r>
          </w:p>
        </w:tc>
        <w:tc>
          <w:tcPr>
            <w:tcW w:w="887" w:type="dxa"/>
            <w:tcBorders>
              <w:top w:val="single" w:sz="4" w:space="0" w:color="auto"/>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0.97 x 0.97 x 1</w:t>
            </w:r>
          </w:p>
        </w:tc>
        <w:tc>
          <w:tcPr>
            <w:tcW w:w="819" w:type="dxa"/>
            <w:tcBorders>
              <w:top w:val="single" w:sz="4" w:space="0" w:color="auto"/>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9.5</w:t>
            </w:r>
          </w:p>
          <w:p w:rsidR="00873F48" w:rsidRPr="00B33DBD" w:rsidRDefault="00873F48" w:rsidP="00FC7E6E">
            <w:pPr>
              <w:ind w:firstLine="0"/>
              <w:rPr>
                <w:rFonts w:ascii="Arial" w:hAnsi="Arial" w:cs="Arial"/>
                <w:sz w:val="20"/>
                <w:szCs w:val="20"/>
                <w:lang w:val="en-US"/>
              </w:rPr>
            </w:pPr>
          </w:p>
        </w:tc>
        <w:tc>
          <w:tcPr>
            <w:tcW w:w="819" w:type="dxa"/>
            <w:tcBorders>
              <w:top w:val="single" w:sz="4" w:space="0" w:color="auto"/>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5.5</w:t>
            </w:r>
          </w:p>
        </w:tc>
        <w:tc>
          <w:tcPr>
            <w:tcW w:w="820" w:type="dxa"/>
            <w:tcBorders>
              <w:top w:val="single" w:sz="4" w:space="0" w:color="auto"/>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250 x 250</w:t>
            </w:r>
          </w:p>
        </w:tc>
        <w:tc>
          <w:tcPr>
            <w:tcW w:w="820" w:type="dxa"/>
            <w:tcBorders>
              <w:top w:val="single" w:sz="4" w:space="0" w:color="auto"/>
              <w:left w:val="nil"/>
              <w:bottom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190</w:t>
            </w:r>
          </w:p>
        </w:tc>
      </w:tr>
      <w:tr w:rsidR="00873F48" w:rsidRPr="00B33DBD" w:rsidTr="00FC7E6E">
        <w:tc>
          <w:tcPr>
            <w:tcW w:w="865" w:type="dxa"/>
            <w:tcBorders>
              <w:top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Milan</w:t>
            </w:r>
          </w:p>
        </w:tc>
        <w:tc>
          <w:tcPr>
            <w:tcW w:w="998"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Philips Achieva Intera</w:t>
            </w:r>
          </w:p>
        </w:tc>
        <w:tc>
          <w:tcPr>
            <w:tcW w:w="1039"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1.5T</w:t>
            </w:r>
          </w:p>
        </w:tc>
        <w:tc>
          <w:tcPr>
            <w:tcW w:w="889"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12</w:t>
            </w:r>
          </w:p>
        </w:tc>
        <w:tc>
          <w:tcPr>
            <w:tcW w:w="1106"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8</w:t>
            </w:r>
          </w:p>
        </w:tc>
        <w:tc>
          <w:tcPr>
            <w:tcW w:w="887"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0.93 x 0.93 x 1</w:t>
            </w:r>
          </w:p>
        </w:tc>
        <w:tc>
          <w:tcPr>
            <w:tcW w:w="819"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Shortest (8.1)</w:t>
            </w:r>
          </w:p>
        </w:tc>
        <w:tc>
          <w:tcPr>
            <w:tcW w:w="819"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Shortest (3.7)</w:t>
            </w:r>
          </w:p>
        </w:tc>
        <w:tc>
          <w:tcPr>
            <w:tcW w:w="820"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240 x 240</w:t>
            </w:r>
          </w:p>
        </w:tc>
        <w:tc>
          <w:tcPr>
            <w:tcW w:w="820" w:type="dxa"/>
            <w:tcBorders>
              <w:top w:val="nil"/>
              <w:left w:val="nil"/>
              <w:bottom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170</w:t>
            </w:r>
          </w:p>
        </w:tc>
      </w:tr>
      <w:tr w:rsidR="00873F48" w:rsidRPr="00B33DBD" w:rsidTr="00FC7E6E">
        <w:tc>
          <w:tcPr>
            <w:tcW w:w="865" w:type="dxa"/>
            <w:tcBorders>
              <w:top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Cologne</w:t>
            </w:r>
          </w:p>
        </w:tc>
        <w:tc>
          <w:tcPr>
            <w:tcW w:w="998"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Philips Achieva</w:t>
            </w:r>
          </w:p>
        </w:tc>
        <w:tc>
          <w:tcPr>
            <w:tcW w:w="1039"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3T</w:t>
            </w:r>
          </w:p>
        </w:tc>
        <w:tc>
          <w:tcPr>
            <w:tcW w:w="889"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8</w:t>
            </w:r>
          </w:p>
        </w:tc>
        <w:tc>
          <w:tcPr>
            <w:tcW w:w="1106"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8</w:t>
            </w:r>
          </w:p>
        </w:tc>
        <w:tc>
          <w:tcPr>
            <w:tcW w:w="887"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0.97 x 0.97 x 1</w:t>
            </w:r>
          </w:p>
        </w:tc>
        <w:tc>
          <w:tcPr>
            <w:tcW w:w="819"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9.5</w:t>
            </w:r>
          </w:p>
        </w:tc>
        <w:tc>
          <w:tcPr>
            <w:tcW w:w="819"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5.5</w:t>
            </w:r>
          </w:p>
        </w:tc>
        <w:tc>
          <w:tcPr>
            <w:tcW w:w="820"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250 x 250</w:t>
            </w:r>
          </w:p>
        </w:tc>
        <w:tc>
          <w:tcPr>
            <w:tcW w:w="820" w:type="dxa"/>
            <w:tcBorders>
              <w:top w:val="nil"/>
              <w:left w:val="nil"/>
              <w:bottom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190</w:t>
            </w:r>
          </w:p>
        </w:tc>
      </w:tr>
      <w:tr w:rsidR="00873F48" w:rsidRPr="00B33DBD" w:rsidTr="00FC7E6E">
        <w:tc>
          <w:tcPr>
            <w:tcW w:w="865" w:type="dxa"/>
            <w:tcBorders>
              <w:top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Basel</w:t>
            </w:r>
          </w:p>
        </w:tc>
        <w:tc>
          <w:tcPr>
            <w:tcW w:w="998"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SIEMENS Verio</w:t>
            </w:r>
          </w:p>
        </w:tc>
        <w:tc>
          <w:tcPr>
            <w:tcW w:w="1039"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3T</w:t>
            </w:r>
          </w:p>
        </w:tc>
        <w:tc>
          <w:tcPr>
            <w:tcW w:w="889"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8</w:t>
            </w:r>
          </w:p>
        </w:tc>
        <w:tc>
          <w:tcPr>
            <w:tcW w:w="1106"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12</w:t>
            </w:r>
          </w:p>
        </w:tc>
        <w:tc>
          <w:tcPr>
            <w:tcW w:w="887"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1 x 1 x 1</w:t>
            </w:r>
          </w:p>
        </w:tc>
        <w:tc>
          <w:tcPr>
            <w:tcW w:w="819"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2000</w:t>
            </w:r>
          </w:p>
        </w:tc>
        <w:tc>
          <w:tcPr>
            <w:tcW w:w="819"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3.4</w:t>
            </w:r>
          </w:p>
        </w:tc>
        <w:tc>
          <w:tcPr>
            <w:tcW w:w="820"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256 x 256</w:t>
            </w:r>
          </w:p>
        </w:tc>
        <w:tc>
          <w:tcPr>
            <w:tcW w:w="820" w:type="dxa"/>
            <w:tcBorders>
              <w:top w:val="nil"/>
              <w:left w:val="nil"/>
              <w:bottom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176</w:t>
            </w:r>
          </w:p>
        </w:tc>
      </w:tr>
      <w:tr w:rsidR="00873F48" w:rsidRPr="00B33DBD" w:rsidTr="00FC7E6E">
        <w:tc>
          <w:tcPr>
            <w:tcW w:w="865" w:type="dxa"/>
            <w:tcBorders>
              <w:top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Birming-ham</w:t>
            </w:r>
          </w:p>
        </w:tc>
        <w:tc>
          <w:tcPr>
            <w:tcW w:w="998"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Philips Achieva</w:t>
            </w:r>
          </w:p>
        </w:tc>
        <w:tc>
          <w:tcPr>
            <w:tcW w:w="1039"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3T</w:t>
            </w:r>
          </w:p>
        </w:tc>
        <w:tc>
          <w:tcPr>
            <w:tcW w:w="889"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8</w:t>
            </w:r>
          </w:p>
        </w:tc>
        <w:tc>
          <w:tcPr>
            <w:tcW w:w="1106"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32</w:t>
            </w:r>
          </w:p>
        </w:tc>
        <w:tc>
          <w:tcPr>
            <w:tcW w:w="887"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1 x 1 x 1</w:t>
            </w:r>
          </w:p>
        </w:tc>
        <w:tc>
          <w:tcPr>
            <w:tcW w:w="819"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8.4</w:t>
            </w:r>
          </w:p>
        </w:tc>
        <w:tc>
          <w:tcPr>
            <w:tcW w:w="819"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3.8</w:t>
            </w:r>
          </w:p>
        </w:tc>
        <w:tc>
          <w:tcPr>
            <w:tcW w:w="820"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288 x 287</w:t>
            </w:r>
          </w:p>
        </w:tc>
        <w:tc>
          <w:tcPr>
            <w:tcW w:w="820" w:type="dxa"/>
            <w:tcBorders>
              <w:top w:val="nil"/>
              <w:left w:val="nil"/>
              <w:bottom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175</w:t>
            </w:r>
          </w:p>
        </w:tc>
      </w:tr>
      <w:tr w:rsidR="00873F48" w:rsidRPr="00B33DBD" w:rsidTr="00FC7E6E">
        <w:tc>
          <w:tcPr>
            <w:tcW w:w="865" w:type="dxa"/>
            <w:tcBorders>
              <w:top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Udine</w:t>
            </w:r>
          </w:p>
        </w:tc>
        <w:tc>
          <w:tcPr>
            <w:tcW w:w="998"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Philips Achieva</w:t>
            </w:r>
          </w:p>
        </w:tc>
        <w:tc>
          <w:tcPr>
            <w:tcW w:w="1039"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3T</w:t>
            </w:r>
          </w:p>
        </w:tc>
        <w:tc>
          <w:tcPr>
            <w:tcW w:w="889"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12</w:t>
            </w:r>
          </w:p>
        </w:tc>
        <w:tc>
          <w:tcPr>
            <w:tcW w:w="1106"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8</w:t>
            </w:r>
          </w:p>
        </w:tc>
        <w:tc>
          <w:tcPr>
            <w:tcW w:w="887"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0.93 x 0.93 x 1</w:t>
            </w:r>
          </w:p>
        </w:tc>
        <w:tc>
          <w:tcPr>
            <w:tcW w:w="819"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Shortest (8.1)</w:t>
            </w:r>
          </w:p>
        </w:tc>
        <w:tc>
          <w:tcPr>
            <w:tcW w:w="819"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Shortest (3.7)</w:t>
            </w:r>
          </w:p>
        </w:tc>
        <w:tc>
          <w:tcPr>
            <w:tcW w:w="820"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240 x 240</w:t>
            </w:r>
          </w:p>
        </w:tc>
        <w:tc>
          <w:tcPr>
            <w:tcW w:w="820" w:type="dxa"/>
            <w:tcBorders>
              <w:top w:val="nil"/>
              <w:left w:val="nil"/>
              <w:bottom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170</w:t>
            </w:r>
          </w:p>
        </w:tc>
      </w:tr>
      <w:tr w:rsidR="00873F48" w:rsidRPr="00B33DBD" w:rsidTr="00FC7E6E">
        <w:tc>
          <w:tcPr>
            <w:tcW w:w="865" w:type="dxa"/>
            <w:tcBorders>
              <w:top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Münster</w:t>
            </w:r>
          </w:p>
        </w:tc>
        <w:tc>
          <w:tcPr>
            <w:tcW w:w="998"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SIEMENS Prisma fit</w:t>
            </w:r>
          </w:p>
        </w:tc>
        <w:tc>
          <w:tcPr>
            <w:tcW w:w="1039"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3T</w:t>
            </w:r>
          </w:p>
        </w:tc>
        <w:tc>
          <w:tcPr>
            <w:tcW w:w="889"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8</w:t>
            </w:r>
          </w:p>
        </w:tc>
        <w:tc>
          <w:tcPr>
            <w:tcW w:w="1106"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12</w:t>
            </w:r>
          </w:p>
        </w:tc>
        <w:tc>
          <w:tcPr>
            <w:tcW w:w="887"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1 x 1 x 1</w:t>
            </w:r>
          </w:p>
        </w:tc>
        <w:tc>
          <w:tcPr>
            <w:tcW w:w="819"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2130</w:t>
            </w:r>
          </w:p>
        </w:tc>
        <w:tc>
          <w:tcPr>
            <w:tcW w:w="819"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2.3</w:t>
            </w:r>
          </w:p>
        </w:tc>
        <w:tc>
          <w:tcPr>
            <w:tcW w:w="820"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256 x 256</w:t>
            </w:r>
          </w:p>
        </w:tc>
        <w:tc>
          <w:tcPr>
            <w:tcW w:w="820" w:type="dxa"/>
            <w:tcBorders>
              <w:top w:val="nil"/>
              <w:left w:val="nil"/>
              <w:bottom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192</w:t>
            </w:r>
          </w:p>
        </w:tc>
      </w:tr>
      <w:tr w:rsidR="00873F48" w:rsidRPr="00B33DBD" w:rsidTr="00FC7E6E">
        <w:tc>
          <w:tcPr>
            <w:tcW w:w="865" w:type="dxa"/>
            <w:tcBorders>
              <w:top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Turku</w:t>
            </w:r>
          </w:p>
        </w:tc>
        <w:tc>
          <w:tcPr>
            <w:tcW w:w="998" w:type="dxa"/>
            <w:tcBorders>
              <w:top w:val="nil"/>
              <w:left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Philips Ingenuity</w:t>
            </w:r>
          </w:p>
        </w:tc>
        <w:tc>
          <w:tcPr>
            <w:tcW w:w="1039" w:type="dxa"/>
            <w:tcBorders>
              <w:top w:val="nil"/>
              <w:left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3T</w:t>
            </w:r>
          </w:p>
        </w:tc>
        <w:tc>
          <w:tcPr>
            <w:tcW w:w="889" w:type="dxa"/>
            <w:tcBorders>
              <w:top w:val="nil"/>
              <w:left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7</w:t>
            </w:r>
          </w:p>
        </w:tc>
        <w:tc>
          <w:tcPr>
            <w:tcW w:w="1106" w:type="dxa"/>
            <w:tcBorders>
              <w:top w:val="nil"/>
              <w:left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32</w:t>
            </w:r>
          </w:p>
        </w:tc>
        <w:tc>
          <w:tcPr>
            <w:tcW w:w="887" w:type="dxa"/>
            <w:tcBorders>
              <w:top w:val="nil"/>
              <w:left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1 x 1 x 1</w:t>
            </w:r>
          </w:p>
        </w:tc>
        <w:tc>
          <w:tcPr>
            <w:tcW w:w="819" w:type="dxa"/>
            <w:tcBorders>
              <w:top w:val="nil"/>
              <w:left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8.1</w:t>
            </w:r>
          </w:p>
        </w:tc>
        <w:tc>
          <w:tcPr>
            <w:tcW w:w="819" w:type="dxa"/>
            <w:tcBorders>
              <w:top w:val="nil"/>
              <w:left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3.7</w:t>
            </w:r>
          </w:p>
        </w:tc>
        <w:tc>
          <w:tcPr>
            <w:tcW w:w="820" w:type="dxa"/>
            <w:tcBorders>
              <w:top w:val="nil"/>
              <w:left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256 x 256</w:t>
            </w:r>
          </w:p>
        </w:tc>
        <w:tc>
          <w:tcPr>
            <w:tcW w:w="820" w:type="dxa"/>
            <w:tcBorders>
              <w:top w:val="nil"/>
              <w:left w:val="nil"/>
              <w:bottom w:val="single" w:sz="4" w:space="0" w:color="auto"/>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176</w:t>
            </w:r>
          </w:p>
        </w:tc>
      </w:tr>
    </w:tbl>
    <w:p w:rsidR="00873F48" w:rsidRPr="00B33DBD" w:rsidRDefault="00873F48" w:rsidP="00873F48">
      <w:pPr>
        <w:ind w:firstLine="0"/>
        <w:rPr>
          <w:rFonts w:ascii="Arial" w:hAnsi="Arial" w:cs="Arial"/>
          <w:sz w:val="20"/>
          <w:szCs w:val="20"/>
          <w:lang w:val="en-US"/>
        </w:rPr>
      </w:pPr>
      <w:r w:rsidRPr="00B33DBD">
        <w:rPr>
          <w:rFonts w:ascii="Arial" w:hAnsi="Arial" w:cs="Arial"/>
          <w:i/>
          <w:sz w:val="20"/>
          <w:szCs w:val="20"/>
          <w:lang w:val="en-US"/>
        </w:rPr>
        <w:lastRenderedPageBreak/>
        <w:t>Note</w:t>
      </w:r>
      <w:r w:rsidRPr="00B33DBD">
        <w:rPr>
          <w:rFonts w:ascii="Arial" w:hAnsi="Arial" w:cs="Arial"/>
          <w:sz w:val="20"/>
          <w:szCs w:val="20"/>
          <w:lang w:val="en-US"/>
        </w:rPr>
        <w:t>. TR = repetition time; TE = echo time; FOV = field of view.</w:t>
      </w:r>
    </w:p>
    <w:p w:rsidR="00873F48" w:rsidRPr="00580CD8" w:rsidRDefault="00873F48" w:rsidP="00873F48">
      <w:pPr>
        <w:ind w:firstLine="0"/>
        <w:rPr>
          <w:rFonts w:ascii="Arial" w:hAnsi="Arial" w:cs="Arial"/>
          <w:b/>
          <w:sz w:val="24"/>
          <w:szCs w:val="24"/>
          <w:lang w:val="en-US"/>
        </w:rPr>
      </w:pPr>
      <w:r w:rsidRPr="00580CD8">
        <w:rPr>
          <w:rFonts w:ascii="Arial" w:hAnsi="Arial" w:cs="Arial"/>
          <w:b/>
          <w:sz w:val="24"/>
          <w:szCs w:val="24"/>
          <w:lang w:val="en-US"/>
        </w:rPr>
        <w:t>Supplementary Table 2</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78"/>
        <w:gridCol w:w="1117"/>
        <w:gridCol w:w="973"/>
        <w:gridCol w:w="748"/>
        <w:gridCol w:w="1062"/>
        <w:gridCol w:w="739"/>
        <w:gridCol w:w="762"/>
        <w:gridCol w:w="714"/>
        <w:gridCol w:w="750"/>
        <w:gridCol w:w="1229"/>
      </w:tblGrid>
      <w:tr w:rsidR="00873F48" w:rsidRPr="00D07411" w:rsidTr="00FC7E6E">
        <w:tc>
          <w:tcPr>
            <w:tcW w:w="9072" w:type="dxa"/>
            <w:gridSpan w:val="10"/>
            <w:tcBorders>
              <w:bottom w:val="single" w:sz="4" w:space="0" w:color="auto"/>
            </w:tcBorders>
          </w:tcPr>
          <w:p w:rsidR="00873F48" w:rsidRPr="00D07411" w:rsidRDefault="00873F48" w:rsidP="00FC7E6E">
            <w:pPr>
              <w:ind w:firstLine="0"/>
              <w:rPr>
                <w:rFonts w:ascii="Arial" w:hAnsi="Arial" w:cs="Arial"/>
                <w:sz w:val="24"/>
                <w:szCs w:val="24"/>
                <w:lang w:val="en-US"/>
              </w:rPr>
            </w:pPr>
            <w:r w:rsidRPr="00D07411">
              <w:rPr>
                <w:rFonts w:ascii="Arial" w:hAnsi="Arial" w:cs="Arial"/>
                <w:lang w:val="en-US"/>
              </w:rPr>
              <w:t>Neuroimaging acquisition parameters for the resting-state functional MRI data across the different PRONIA sites. Adapted with minimal modifications from Buciuman et al. (2023)</w:t>
            </w:r>
          </w:p>
        </w:tc>
      </w:tr>
      <w:tr w:rsidR="00873F48" w:rsidRPr="00B33DBD" w:rsidTr="00FC7E6E">
        <w:tc>
          <w:tcPr>
            <w:tcW w:w="983" w:type="dxa"/>
            <w:tcBorders>
              <w:top w:val="single" w:sz="4" w:space="0" w:color="auto"/>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Site</w:t>
            </w:r>
          </w:p>
        </w:tc>
        <w:tc>
          <w:tcPr>
            <w:tcW w:w="1055" w:type="dxa"/>
            <w:tcBorders>
              <w:top w:val="single" w:sz="4" w:space="0" w:color="auto"/>
              <w:left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Scanner model</w:t>
            </w:r>
          </w:p>
        </w:tc>
        <w:tc>
          <w:tcPr>
            <w:tcW w:w="984" w:type="dxa"/>
            <w:tcBorders>
              <w:top w:val="single" w:sz="4" w:space="0" w:color="auto"/>
              <w:left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Field strength</w:t>
            </w:r>
          </w:p>
        </w:tc>
        <w:tc>
          <w:tcPr>
            <w:tcW w:w="755" w:type="dxa"/>
            <w:tcBorders>
              <w:top w:val="single" w:sz="4" w:space="0" w:color="auto"/>
              <w:left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Flip Angle</w:t>
            </w:r>
          </w:p>
        </w:tc>
        <w:tc>
          <w:tcPr>
            <w:tcW w:w="1047" w:type="dxa"/>
            <w:tcBorders>
              <w:top w:val="single" w:sz="4" w:space="0" w:color="auto"/>
              <w:left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Coil Channels</w:t>
            </w:r>
          </w:p>
        </w:tc>
        <w:tc>
          <w:tcPr>
            <w:tcW w:w="747" w:type="dxa"/>
            <w:tcBorders>
              <w:top w:val="single" w:sz="4" w:space="0" w:color="auto"/>
              <w:left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Voxel size (mm)</w:t>
            </w:r>
          </w:p>
        </w:tc>
        <w:tc>
          <w:tcPr>
            <w:tcW w:w="811" w:type="dxa"/>
            <w:tcBorders>
              <w:top w:val="single" w:sz="4" w:space="0" w:color="auto"/>
              <w:left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TE (ms)</w:t>
            </w:r>
          </w:p>
        </w:tc>
        <w:tc>
          <w:tcPr>
            <w:tcW w:w="724" w:type="dxa"/>
            <w:tcBorders>
              <w:top w:val="single" w:sz="4" w:space="0" w:color="auto"/>
              <w:left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FOV (mm)</w:t>
            </w:r>
          </w:p>
        </w:tc>
        <w:tc>
          <w:tcPr>
            <w:tcW w:w="729" w:type="dxa"/>
            <w:tcBorders>
              <w:top w:val="single" w:sz="4" w:space="0" w:color="auto"/>
              <w:left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 xml:space="preserve"> Slices</w:t>
            </w:r>
          </w:p>
        </w:tc>
        <w:tc>
          <w:tcPr>
            <w:tcW w:w="1237" w:type="dxa"/>
            <w:tcBorders>
              <w:top w:val="single" w:sz="4" w:space="0" w:color="auto"/>
              <w:left w:val="nil"/>
              <w:bottom w:val="single" w:sz="4" w:space="0" w:color="auto"/>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Slice order</w:t>
            </w:r>
          </w:p>
        </w:tc>
      </w:tr>
      <w:tr w:rsidR="00873F48" w:rsidRPr="00B33DBD" w:rsidTr="00FC7E6E">
        <w:tc>
          <w:tcPr>
            <w:tcW w:w="983" w:type="dxa"/>
            <w:tcBorders>
              <w:top w:val="single" w:sz="4" w:space="0" w:color="auto"/>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Munich</w:t>
            </w:r>
          </w:p>
        </w:tc>
        <w:tc>
          <w:tcPr>
            <w:tcW w:w="1055" w:type="dxa"/>
            <w:tcBorders>
              <w:top w:val="single" w:sz="4" w:space="0" w:color="auto"/>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Philips Ingenia</w:t>
            </w:r>
          </w:p>
        </w:tc>
        <w:tc>
          <w:tcPr>
            <w:tcW w:w="984" w:type="dxa"/>
            <w:tcBorders>
              <w:top w:val="single" w:sz="4" w:space="0" w:color="auto"/>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3T</w:t>
            </w:r>
          </w:p>
        </w:tc>
        <w:tc>
          <w:tcPr>
            <w:tcW w:w="755" w:type="dxa"/>
            <w:tcBorders>
              <w:top w:val="single" w:sz="4" w:space="0" w:color="auto"/>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90</w:t>
            </w:r>
          </w:p>
        </w:tc>
        <w:tc>
          <w:tcPr>
            <w:tcW w:w="1047" w:type="dxa"/>
            <w:tcBorders>
              <w:top w:val="single" w:sz="4" w:space="0" w:color="auto"/>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32</w:t>
            </w:r>
          </w:p>
        </w:tc>
        <w:tc>
          <w:tcPr>
            <w:tcW w:w="747" w:type="dxa"/>
            <w:tcBorders>
              <w:top w:val="single" w:sz="4" w:space="0" w:color="auto"/>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2.88 x 2.88 x 3</w:t>
            </w:r>
          </w:p>
        </w:tc>
        <w:tc>
          <w:tcPr>
            <w:tcW w:w="811" w:type="dxa"/>
            <w:tcBorders>
              <w:top w:val="single" w:sz="4" w:space="0" w:color="auto"/>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30</w:t>
            </w:r>
          </w:p>
        </w:tc>
        <w:tc>
          <w:tcPr>
            <w:tcW w:w="724" w:type="dxa"/>
            <w:tcBorders>
              <w:top w:val="single" w:sz="4" w:space="0" w:color="auto"/>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230 x 230</w:t>
            </w:r>
          </w:p>
        </w:tc>
        <w:tc>
          <w:tcPr>
            <w:tcW w:w="729" w:type="dxa"/>
            <w:tcBorders>
              <w:top w:val="single" w:sz="4" w:space="0" w:color="auto"/>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53</w:t>
            </w:r>
          </w:p>
        </w:tc>
        <w:tc>
          <w:tcPr>
            <w:tcW w:w="1237" w:type="dxa"/>
            <w:tcBorders>
              <w:top w:val="single" w:sz="4" w:space="0" w:color="auto"/>
              <w:left w:val="nil"/>
              <w:bottom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Ascending</w:t>
            </w:r>
          </w:p>
        </w:tc>
      </w:tr>
      <w:tr w:rsidR="00873F48" w:rsidRPr="00B33DBD" w:rsidTr="00FC7E6E">
        <w:tc>
          <w:tcPr>
            <w:tcW w:w="983" w:type="dxa"/>
            <w:tcBorders>
              <w:top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Milan</w:t>
            </w:r>
          </w:p>
        </w:tc>
        <w:tc>
          <w:tcPr>
            <w:tcW w:w="1055"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Philips Achieva Intera</w:t>
            </w:r>
          </w:p>
        </w:tc>
        <w:tc>
          <w:tcPr>
            <w:tcW w:w="984"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1.5T</w:t>
            </w:r>
          </w:p>
        </w:tc>
        <w:tc>
          <w:tcPr>
            <w:tcW w:w="755"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90</w:t>
            </w:r>
          </w:p>
        </w:tc>
        <w:tc>
          <w:tcPr>
            <w:tcW w:w="1047"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8</w:t>
            </w:r>
          </w:p>
        </w:tc>
        <w:tc>
          <w:tcPr>
            <w:tcW w:w="747"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 x 3 x 3</w:t>
            </w:r>
          </w:p>
        </w:tc>
        <w:tc>
          <w:tcPr>
            <w:tcW w:w="811"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32</w:t>
            </w:r>
          </w:p>
        </w:tc>
        <w:tc>
          <w:tcPr>
            <w:tcW w:w="724"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240 x 240</w:t>
            </w:r>
          </w:p>
        </w:tc>
        <w:tc>
          <w:tcPr>
            <w:tcW w:w="729"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45</w:t>
            </w:r>
          </w:p>
        </w:tc>
        <w:tc>
          <w:tcPr>
            <w:tcW w:w="1237" w:type="dxa"/>
            <w:tcBorders>
              <w:top w:val="nil"/>
              <w:left w:val="nil"/>
              <w:bottom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Interleaved</w:t>
            </w:r>
          </w:p>
        </w:tc>
      </w:tr>
      <w:tr w:rsidR="00873F48" w:rsidRPr="00B33DBD" w:rsidTr="00FC7E6E">
        <w:tc>
          <w:tcPr>
            <w:tcW w:w="983" w:type="dxa"/>
            <w:tcBorders>
              <w:top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Cologne</w:t>
            </w:r>
          </w:p>
        </w:tc>
        <w:tc>
          <w:tcPr>
            <w:tcW w:w="1055"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Philips Achieva</w:t>
            </w:r>
          </w:p>
        </w:tc>
        <w:tc>
          <w:tcPr>
            <w:tcW w:w="984"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3T</w:t>
            </w:r>
          </w:p>
        </w:tc>
        <w:tc>
          <w:tcPr>
            <w:tcW w:w="755"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90</w:t>
            </w:r>
          </w:p>
        </w:tc>
        <w:tc>
          <w:tcPr>
            <w:tcW w:w="1047"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8</w:t>
            </w:r>
          </w:p>
        </w:tc>
        <w:tc>
          <w:tcPr>
            <w:tcW w:w="747"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2.88 x 2.88 x 3</w:t>
            </w:r>
          </w:p>
        </w:tc>
        <w:tc>
          <w:tcPr>
            <w:tcW w:w="811"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30</w:t>
            </w:r>
          </w:p>
        </w:tc>
        <w:tc>
          <w:tcPr>
            <w:tcW w:w="724"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230 x 230</w:t>
            </w:r>
          </w:p>
        </w:tc>
        <w:tc>
          <w:tcPr>
            <w:tcW w:w="729"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53</w:t>
            </w:r>
          </w:p>
        </w:tc>
        <w:tc>
          <w:tcPr>
            <w:tcW w:w="1237" w:type="dxa"/>
            <w:tcBorders>
              <w:top w:val="nil"/>
              <w:left w:val="nil"/>
              <w:bottom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Ascending</w:t>
            </w:r>
          </w:p>
        </w:tc>
      </w:tr>
      <w:tr w:rsidR="00873F48" w:rsidRPr="00B33DBD" w:rsidTr="00FC7E6E">
        <w:tc>
          <w:tcPr>
            <w:tcW w:w="983" w:type="dxa"/>
            <w:tcBorders>
              <w:top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Basel</w:t>
            </w:r>
          </w:p>
        </w:tc>
        <w:tc>
          <w:tcPr>
            <w:tcW w:w="1055"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SIEMENS Verio</w:t>
            </w:r>
          </w:p>
        </w:tc>
        <w:tc>
          <w:tcPr>
            <w:tcW w:w="984"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3T</w:t>
            </w:r>
          </w:p>
        </w:tc>
        <w:tc>
          <w:tcPr>
            <w:tcW w:w="755"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82</w:t>
            </w:r>
          </w:p>
        </w:tc>
        <w:tc>
          <w:tcPr>
            <w:tcW w:w="1047"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12</w:t>
            </w:r>
          </w:p>
        </w:tc>
        <w:tc>
          <w:tcPr>
            <w:tcW w:w="747"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2.98 x 2.98 x 3</w:t>
            </w:r>
          </w:p>
        </w:tc>
        <w:tc>
          <w:tcPr>
            <w:tcW w:w="811"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28</w:t>
            </w:r>
          </w:p>
        </w:tc>
        <w:tc>
          <w:tcPr>
            <w:tcW w:w="724"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256 x 256</w:t>
            </w:r>
          </w:p>
        </w:tc>
        <w:tc>
          <w:tcPr>
            <w:tcW w:w="729"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34</w:t>
            </w:r>
          </w:p>
        </w:tc>
        <w:tc>
          <w:tcPr>
            <w:tcW w:w="1237" w:type="dxa"/>
            <w:tcBorders>
              <w:top w:val="nil"/>
              <w:left w:val="nil"/>
              <w:bottom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Interleaved</w:t>
            </w:r>
          </w:p>
        </w:tc>
      </w:tr>
      <w:tr w:rsidR="00873F48" w:rsidRPr="00B33DBD" w:rsidTr="00FC7E6E">
        <w:tc>
          <w:tcPr>
            <w:tcW w:w="983" w:type="dxa"/>
            <w:tcBorders>
              <w:top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Birming-ham</w:t>
            </w:r>
          </w:p>
        </w:tc>
        <w:tc>
          <w:tcPr>
            <w:tcW w:w="1055"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Philips Achieva</w:t>
            </w:r>
          </w:p>
        </w:tc>
        <w:tc>
          <w:tcPr>
            <w:tcW w:w="984"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3T</w:t>
            </w:r>
          </w:p>
        </w:tc>
        <w:tc>
          <w:tcPr>
            <w:tcW w:w="755"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85</w:t>
            </w:r>
          </w:p>
        </w:tc>
        <w:tc>
          <w:tcPr>
            <w:tcW w:w="1047"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32</w:t>
            </w:r>
          </w:p>
        </w:tc>
        <w:tc>
          <w:tcPr>
            <w:tcW w:w="747"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 x 3 x 3</w:t>
            </w:r>
          </w:p>
        </w:tc>
        <w:tc>
          <w:tcPr>
            <w:tcW w:w="811"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34.5</w:t>
            </w:r>
          </w:p>
        </w:tc>
        <w:tc>
          <w:tcPr>
            <w:tcW w:w="724"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240 x 240</w:t>
            </w:r>
          </w:p>
        </w:tc>
        <w:tc>
          <w:tcPr>
            <w:tcW w:w="729"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52</w:t>
            </w:r>
          </w:p>
        </w:tc>
        <w:tc>
          <w:tcPr>
            <w:tcW w:w="1237" w:type="dxa"/>
            <w:tcBorders>
              <w:top w:val="nil"/>
              <w:left w:val="nil"/>
              <w:bottom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Interleaved</w:t>
            </w:r>
          </w:p>
        </w:tc>
      </w:tr>
      <w:tr w:rsidR="00873F48" w:rsidRPr="00B33DBD" w:rsidTr="00FC7E6E">
        <w:tc>
          <w:tcPr>
            <w:tcW w:w="983" w:type="dxa"/>
            <w:tcBorders>
              <w:top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Udine</w:t>
            </w:r>
          </w:p>
        </w:tc>
        <w:tc>
          <w:tcPr>
            <w:tcW w:w="1055"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Philips Achieva</w:t>
            </w:r>
          </w:p>
        </w:tc>
        <w:tc>
          <w:tcPr>
            <w:tcW w:w="984"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3T</w:t>
            </w:r>
          </w:p>
        </w:tc>
        <w:tc>
          <w:tcPr>
            <w:tcW w:w="755"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90</w:t>
            </w:r>
          </w:p>
        </w:tc>
        <w:tc>
          <w:tcPr>
            <w:tcW w:w="1047"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8</w:t>
            </w:r>
          </w:p>
        </w:tc>
        <w:tc>
          <w:tcPr>
            <w:tcW w:w="747"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 x 3 x 3</w:t>
            </w:r>
          </w:p>
        </w:tc>
        <w:tc>
          <w:tcPr>
            <w:tcW w:w="811"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32</w:t>
            </w:r>
          </w:p>
        </w:tc>
        <w:tc>
          <w:tcPr>
            <w:tcW w:w="724"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240 x 240</w:t>
            </w:r>
          </w:p>
        </w:tc>
        <w:tc>
          <w:tcPr>
            <w:tcW w:w="729"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45</w:t>
            </w:r>
          </w:p>
        </w:tc>
        <w:tc>
          <w:tcPr>
            <w:tcW w:w="1237" w:type="dxa"/>
            <w:tcBorders>
              <w:top w:val="nil"/>
              <w:left w:val="nil"/>
              <w:bottom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Interleaved</w:t>
            </w:r>
          </w:p>
        </w:tc>
      </w:tr>
      <w:tr w:rsidR="00873F48" w:rsidRPr="00B33DBD" w:rsidTr="00FC7E6E">
        <w:tc>
          <w:tcPr>
            <w:tcW w:w="983" w:type="dxa"/>
            <w:tcBorders>
              <w:top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Münster</w:t>
            </w:r>
          </w:p>
        </w:tc>
        <w:tc>
          <w:tcPr>
            <w:tcW w:w="1055"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SIEMENS Prisma fit</w:t>
            </w:r>
          </w:p>
        </w:tc>
        <w:tc>
          <w:tcPr>
            <w:tcW w:w="984"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3T</w:t>
            </w:r>
          </w:p>
        </w:tc>
        <w:tc>
          <w:tcPr>
            <w:tcW w:w="755"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90</w:t>
            </w:r>
          </w:p>
        </w:tc>
        <w:tc>
          <w:tcPr>
            <w:tcW w:w="1047"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12</w:t>
            </w:r>
          </w:p>
        </w:tc>
        <w:tc>
          <w:tcPr>
            <w:tcW w:w="747"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 x 3 x 3</w:t>
            </w:r>
          </w:p>
        </w:tc>
        <w:tc>
          <w:tcPr>
            <w:tcW w:w="811"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26</w:t>
            </w:r>
          </w:p>
        </w:tc>
        <w:tc>
          <w:tcPr>
            <w:tcW w:w="724"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256 x 256</w:t>
            </w:r>
          </w:p>
        </w:tc>
        <w:tc>
          <w:tcPr>
            <w:tcW w:w="729" w:type="dxa"/>
            <w:tcBorders>
              <w:top w:val="nil"/>
              <w:left w:val="nil"/>
              <w:bottom w:val="nil"/>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 xml:space="preserve"> 51</w:t>
            </w:r>
          </w:p>
        </w:tc>
        <w:tc>
          <w:tcPr>
            <w:tcW w:w="1237" w:type="dxa"/>
            <w:tcBorders>
              <w:top w:val="nil"/>
              <w:left w:val="nil"/>
              <w:bottom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Interleaved</w:t>
            </w:r>
          </w:p>
        </w:tc>
      </w:tr>
      <w:tr w:rsidR="00873F48" w:rsidRPr="00B33DBD" w:rsidTr="00FC7E6E">
        <w:tc>
          <w:tcPr>
            <w:tcW w:w="983" w:type="dxa"/>
            <w:tcBorders>
              <w:top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Turku</w:t>
            </w:r>
          </w:p>
        </w:tc>
        <w:tc>
          <w:tcPr>
            <w:tcW w:w="1055" w:type="dxa"/>
            <w:tcBorders>
              <w:top w:val="nil"/>
              <w:left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Philips Ingenuity</w:t>
            </w:r>
          </w:p>
        </w:tc>
        <w:tc>
          <w:tcPr>
            <w:tcW w:w="984" w:type="dxa"/>
            <w:tcBorders>
              <w:top w:val="nil"/>
              <w:left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3T</w:t>
            </w:r>
          </w:p>
        </w:tc>
        <w:tc>
          <w:tcPr>
            <w:tcW w:w="755" w:type="dxa"/>
            <w:tcBorders>
              <w:top w:val="nil"/>
              <w:left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90</w:t>
            </w:r>
          </w:p>
        </w:tc>
        <w:tc>
          <w:tcPr>
            <w:tcW w:w="1047" w:type="dxa"/>
            <w:tcBorders>
              <w:top w:val="nil"/>
              <w:left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32</w:t>
            </w:r>
          </w:p>
        </w:tc>
        <w:tc>
          <w:tcPr>
            <w:tcW w:w="747" w:type="dxa"/>
            <w:tcBorders>
              <w:top w:val="nil"/>
              <w:left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 x 3 x 3</w:t>
            </w:r>
          </w:p>
        </w:tc>
        <w:tc>
          <w:tcPr>
            <w:tcW w:w="811" w:type="dxa"/>
            <w:tcBorders>
              <w:top w:val="nil"/>
              <w:left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30</w:t>
            </w:r>
          </w:p>
        </w:tc>
        <w:tc>
          <w:tcPr>
            <w:tcW w:w="724" w:type="dxa"/>
            <w:tcBorders>
              <w:top w:val="nil"/>
              <w:left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240 x 240</w:t>
            </w:r>
          </w:p>
        </w:tc>
        <w:tc>
          <w:tcPr>
            <w:tcW w:w="729" w:type="dxa"/>
            <w:tcBorders>
              <w:top w:val="nil"/>
              <w:left w:val="nil"/>
              <w:bottom w:val="single" w:sz="4" w:space="0" w:color="auto"/>
              <w:right w:val="nil"/>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53</w:t>
            </w:r>
          </w:p>
        </w:tc>
        <w:tc>
          <w:tcPr>
            <w:tcW w:w="1237" w:type="dxa"/>
            <w:tcBorders>
              <w:top w:val="nil"/>
              <w:left w:val="nil"/>
              <w:bottom w:val="single" w:sz="4" w:space="0" w:color="auto"/>
            </w:tcBorders>
          </w:tcPr>
          <w:p w:rsidR="00873F48" w:rsidRPr="00B33DBD" w:rsidRDefault="00873F48" w:rsidP="00FC7E6E">
            <w:pPr>
              <w:ind w:firstLine="0"/>
              <w:rPr>
                <w:rFonts w:ascii="Arial" w:hAnsi="Arial" w:cs="Arial"/>
                <w:sz w:val="20"/>
                <w:szCs w:val="20"/>
                <w:lang w:val="en-US"/>
              </w:rPr>
            </w:pPr>
            <w:r w:rsidRPr="00B33DBD">
              <w:rPr>
                <w:rFonts w:ascii="Arial" w:hAnsi="Arial" w:cs="Arial"/>
                <w:sz w:val="20"/>
                <w:szCs w:val="20"/>
                <w:lang w:val="en-US"/>
              </w:rPr>
              <w:t>Interleaved</w:t>
            </w:r>
          </w:p>
        </w:tc>
      </w:tr>
    </w:tbl>
    <w:p w:rsidR="00873F48" w:rsidRDefault="00873F48" w:rsidP="00873F48">
      <w:pPr>
        <w:ind w:firstLine="0"/>
        <w:rPr>
          <w:rFonts w:ascii="Arial" w:hAnsi="Arial" w:cs="Arial"/>
          <w:sz w:val="20"/>
          <w:szCs w:val="20"/>
          <w:lang w:val="en-US"/>
        </w:rPr>
      </w:pPr>
      <w:r w:rsidRPr="00B33DBD">
        <w:rPr>
          <w:rFonts w:ascii="Arial" w:hAnsi="Arial" w:cs="Arial"/>
          <w:i/>
          <w:sz w:val="20"/>
          <w:szCs w:val="20"/>
          <w:lang w:val="en-US"/>
        </w:rPr>
        <w:t>Note</w:t>
      </w:r>
      <w:r w:rsidRPr="00B33DBD">
        <w:rPr>
          <w:rFonts w:ascii="Arial" w:hAnsi="Arial" w:cs="Arial"/>
          <w:sz w:val="20"/>
          <w:szCs w:val="20"/>
          <w:lang w:val="en-US"/>
        </w:rPr>
        <w:t>. TR = repetition time; TE = echo time; FOV = field of view.</w:t>
      </w:r>
    </w:p>
    <w:p w:rsidR="00873F48" w:rsidRPr="00B33DBD" w:rsidRDefault="00873F48" w:rsidP="00873F48">
      <w:pPr>
        <w:ind w:firstLine="0"/>
        <w:rPr>
          <w:rFonts w:ascii="Arial" w:hAnsi="Arial" w:cs="Arial"/>
          <w:sz w:val="20"/>
          <w:szCs w:val="20"/>
          <w:lang w:val="en-US"/>
        </w:rPr>
      </w:pPr>
    </w:p>
    <w:p w:rsidR="00873F48" w:rsidRDefault="00873F48" w:rsidP="00873F48">
      <w:pPr>
        <w:ind w:firstLine="0"/>
        <w:rPr>
          <w:rFonts w:ascii="Arial" w:hAnsi="Arial" w:cs="Arial"/>
          <w:b/>
          <w:sz w:val="24"/>
          <w:szCs w:val="24"/>
          <w:lang w:val="en-US"/>
        </w:rPr>
      </w:pPr>
      <w:r w:rsidRPr="00580CD8">
        <w:rPr>
          <w:rFonts w:ascii="Arial" w:hAnsi="Arial" w:cs="Arial"/>
          <w:b/>
          <w:sz w:val="24"/>
          <w:szCs w:val="24"/>
          <w:lang w:val="en-US"/>
        </w:rPr>
        <w:t xml:space="preserve">Supplementary Table </w:t>
      </w:r>
      <w:r>
        <w:rPr>
          <w:rFonts w:ascii="Arial" w:hAnsi="Arial" w:cs="Arial"/>
          <w:b/>
          <w:sz w:val="24"/>
          <w:szCs w:val="24"/>
          <w:lang w:val="en-US"/>
        </w:rPr>
        <w:t>3</w:t>
      </w:r>
    </w:p>
    <w:p w:rsidR="00873F48" w:rsidRPr="008E4C0E" w:rsidRDefault="00873F48" w:rsidP="00873F48">
      <w:pPr>
        <w:ind w:firstLine="0"/>
        <w:rPr>
          <w:rFonts w:ascii="Arial" w:hAnsi="Arial" w:cs="Arial"/>
          <w:sz w:val="24"/>
          <w:szCs w:val="24"/>
          <w:lang w:val="en-US"/>
        </w:rPr>
      </w:pPr>
      <w:r w:rsidRPr="008E4C0E">
        <w:rPr>
          <w:rFonts w:ascii="Arial" w:hAnsi="Arial" w:cs="Arial"/>
          <w:sz w:val="24"/>
          <w:szCs w:val="24"/>
          <w:lang w:val="en-US"/>
        </w:rPr>
        <w:t>Receptors included in re</w:t>
      </w:r>
      <w:r>
        <w:rPr>
          <w:rFonts w:ascii="Arial" w:hAnsi="Arial" w:cs="Arial"/>
          <w:sz w:val="24"/>
          <w:szCs w:val="24"/>
          <w:lang w:val="en-US"/>
        </w:rPr>
        <w:t>c</w:t>
      </w:r>
      <w:r w:rsidRPr="008E4C0E">
        <w:rPr>
          <w:rFonts w:ascii="Arial" w:hAnsi="Arial" w:cs="Arial"/>
          <w:sz w:val="24"/>
          <w:szCs w:val="24"/>
          <w:lang w:val="en-US"/>
        </w:rPr>
        <w:t>e</w:t>
      </w:r>
      <w:r>
        <w:rPr>
          <w:rFonts w:ascii="Arial" w:hAnsi="Arial" w:cs="Arial"/>
          <w:sz w:val="24"/>
          <w:szCs w:val="24"/>
          <w:lang w:val="en-US"/>
        </w:rPr>
        <w:t>p</w:t>
      </w:r>
      <w:r w:rsidRPr="008E4C0E">
        <w:rPr>
          <w:rFonts w:ascii="Arial" w:hAnsi="Arial" w:cs="Arial"/>
          <w:sz w:val="24"/>
          <w:szCs w:val="24"/>
          <w:lang w:val="en-US"/>
        </w:rPr>
        <w:t>tor expre</w:t>
      </w:r>
      <w:r>
        <w:rPr>
          <w:rFonts w:ascii="Arial" w:hAnsi="Arial" w:cs="Arial"/>
          <w:sz w:val="24"/>
          <w:szCs w:val="24"/>
          <w:lang w:val="en-US"/>
        </w:rPr>
        <w:t>s</w:t>
      </w:r>
      <w:r w:rsidRPr="008E4C0E">
        <w:rPr>
          <w:rFonts w:ascii="Arial" w:hAnsi="Arial" w:cs="Arial"/>
          <w:sz w:val="24"/>
          <w:szCs w:val="24"/>
          <w:lang w:val="en-US"/>
        </w:rPr>
        <w:t>sion analysis</w:t>
      </w:r>
    </w:p>
    <w:tbl>
      <w:tblPr>
        <w:tblW w:w="5000" w:type="pct"/>
        <w:tblBorders>
          <w:bottom w:val="single" w:sz="4" w:space="0" w:color="auto"/>
          <w:insideH w:val="single" w:sz="4" w:space="0" w:color="auto"/>
          <w:insideV w:val="single" w:sz="4" w:space="0" w:color="auto"/>
        </w:tblBorders>
        <w:tblLook w:val="04A0" w:firstRow="1" w:lastRow="0" w:firstColumn="1" w:lastColumn="0" w:noHBand="0" w:noVBand="1"/>
      </w:tblPr>
      <w:tblGrid>
        <w:gridCol w:w="4189"/>
        <w:gridCol w:w="4883"/>
      </w:tblGrid>
      <w:tr w:rsidR="00873F48" w:rsidRPr="00D07411" w:rsidTr="00FC7E6E">
        <w:tc>
          <w:tcPr>
            <w:tcW w:w="2309" w:type="pct"/>
            <w:tcBorders>
              <w:top w:val="single" w:sz="4" w:space="0" w:color="auto"/>
              <w:bottom w:val="single" w:sz="4" w:space="0" w:color="auto"/>
              <w:right w:val="nil"/>
            </w:tcBorders>
          </w:tcPr>
          <w:p w:rsidR="00873F48" w:rsidRPr="00D07411" w:rsidRDefault="00873F48" w:rsidP="00FC7E6E">
            <w:pPr>
              <w:ind w:firstLine="0"/>
              <w:rPr>
                <w:rFonts w:ascii="Arial" w:hAnsi="Arial" w:cs="Arial"/>
                <w:lang w:val="en-US"/>
              </w:rPr>
            </w:pPr>
            <w:r>
              <w:rPr>
                <w:rFonts w:ascii="Arial" w:hAnsi="Arial" w:cs="Arial"/>
                <w:lang w:val="en-US"/>
              </w:rPr>
              <w:t>Neurotransmitter system</w:t>
            </w:r>
          </w:p>
        </w:tc>
        <w:tc>
          <w:tcPr>
            <w:tcW w:w="2691" w:type="pct"/>
            <w:tcBorders>
              <w:top w:val="single" w:sz="4" w:space="0" w:color="auto"/>
              <w:left w:val="nil"/>
              <w:bottom w:val="single" w:sz="4" w:space="0" w:color="auto"/>
              <w:right w:val="nil"/>
            </w:tcBorders>
          </w:tcPr>
          <w:p w:rsidR="00873F48" w:rsidRPr="00D07411" w:rsidRDefault="00873F48" w:rsidP="00FC7E6E">
            <w:pPr>
              <w:ind w:firstLine="0"/>
              <w:rPr>
                <w:rFonts w:ascii="Arial" w:hAnsi="Arial" w:cs="Arial"/>
                <w:lang w:val="en-US"/>
              </w:rPr>
            </w:pPr>
            <w:r>
              <w:rPr>
                <w:rFonts w:ascii="Arial" w:hAnsi="Arial" w:cs="Arial"/>
                <w:lang w:val="en-US"/>
              </w:rPr>
              <w:t>receptors</w:t>
            </w:r>
          </w:p>
        </w:tc>
      </w:tr>
      <w:tr w:rsidR="00873F48" w:rsidRPr="00D07411" w:rsidTr="00FC7E6E">
        <w:tc>
          <w:tcPr>
            <w:tcW w:w="2309" w:type="pct"/>
            <w:tcBorders>
              <w:top w:val="single" w:sz="4" w:space="0" w:color="auto"/>
              <w:bottom w:val="nil"/>
              <w:right w:val="nil"/>
            </w:tcBorders>
          </w:tcPr>
          <w:p w:rsidR="00873F48" w:rsidRPr="00D07411" w:rsidRDefault="00873F48" w:rsidP="00FC7E6E">
            <w:pPr>
              <w:ind w:firstLine="0"/>
              <w:rPr>
                <w:rFonts w:ascii="Arial" w:hAnsi="Arial" w:cs="Arial"/>
                <w:lang w:val="en-US"/>
              </w:rPr>
            </w:pPr>
            <w:r>
              <w:rPr>
                <w:rFonts w:ascii="Arial" w:hAnsi="Arial" w:cs="Arial"/>
                <w:lang w:val="en-US"/>
              </w:rPr>
              <w:t>acetylcholine</w:t>
            </w:r>
          </w:p>
        </w:tc>
        <w:tc>
          <w:tcPr>
            <w:tcW w:w="2691" w:type="pct"/>
            <w:tcBorders>
              <w:top w:val="single" w:sz="4" w:space="0" w:color="auto"/>
              <w:left w:val="nil"/>
              <w:bottom w:val="nil"/>
              <w:right w:val="nil"/>
            </w:tcBorders>
          </w:tcPr>
          <w:p w:rsidR="00873F48" w:rsidRPr="00D07411" w:rsidRDefault="00873F48" w:rsidP="00FC7E6E">
            <w:pPr>
              <w:ind w:firstLine="0"/>
              <w:rPr>
                <w:rFonts w:ascii="Arial" w:hAnsi="Arial" w:cs="Arial"/>
                <w:lang w:val="en-US"/>
              </w:rPr>
            </w:pPr>
            <w:r w:rsidRPr="00C10E32">
              <w:rPr>
                <w:rFonts w:ascii="Arial" w:hAnsi="Arial" w:cs="Arial"/>
                <w:sz w:val="24"/>
                <w:szCs w:val="24"/>
                <w:lang w:val="en-US"/>
              </w:rPr>
              <w:t xml:space="preserve">VAChT, </w:t>
            </w:r>
            <w:r w:rsidRPr="00C10E32">
              <w:rPr>
                <w:rFonts w:ascii="Arial" w:hAnsi="Arial" w:cs="Arial"/>
                <w:sz w:val="24"/>
                <w:szCs w:val="24"/>
                <w:lang w:val="en-US"/>
              </w:rPr>
              <w:fldChar w:fldCharType="begin"/>
            </w:r>
            <w:r w:rsidR="003C6A19">
              <w:rPr>
                <w:rFonts w:ascii="Arial" w:hAnsi="Arial" w:cs="Arial"/>
                <w:sz w:val="24"/>
                <w:szCs w:val="24"/>
                <w:lang w:val="en-US"/>
              </w:rPr>
              <w:instrText xml:space="preserve"> ADDIN ZOTERO_ITEM CSL_CITATION {"citationID":"ZUufN45V","properties":{"formattedCitation":"(18\\uc0\\u8211{}20)","plainCitation":"(18–20)","noteIndex":0},"citationItems":[{"id":211,"uris":["http://zotero.org/users/local/YWW7uJeE/items/SFETXEQ5"],"itemData":{"id":211,"type":"article-journal","container-title":"Molecular Psychiatry","DOI":"10.1038/mp.2017.183","ISSN":"1359-4184, 1476-5578","issue":"11","journalAbbreviation":"Mol Psychiatry","language":"en","page":"1531-1538","source":"DOI.org (Crossref)","title":"Quantification of brain cholinergic denervation in Alzheimer’s disease using PET imaging with [18F]-FEOBV","volume":"22","author":[{"family":"Aghourian","given":"M"},{"family":"Legault-Denis","given":"C"},{"family":"Soucy","given":"J-P"},{"family":"Rosa-Neto","given":"P"},{"family":"Gauthier","given":"S"},{"family":"Kostikov","given":"A"},{"family":"Gravel","given":"P"},{"family":"Bédard","given":"M-A"}],"issued":{"date-parts":[["2017",11]]}}},{"id":212,"uris":["http://zotero.org/users/local/YWW7uJeE/items/K97PWFPE"],"itemData":{"id":212,"type":"article-journal","container-title":"Sleep Medicine","DOI":"10.1016/j.sleep.2018.12.020","ISSN":"13899457","journalAbbreviation":"Sleep Medicine","language":"en","page":"35-41","source":"DOI.org (Crossref)","title":"Brain cholinergic alterations in idiopathic REM sleep behaviour disorder: a PET imaging study with 18F-FEOBV","title-short":"Brain cholinergic alterations in idiopathic REM sleep behaviour disorder","volume":"58","author":[{"family":"Bedard","given":"Marc-Andre"},{"family":"Aghourian","given":"Meghmik"},{"family":"Legault-Denis","given":"Camille"},{"family":"Postuma","given":"Ronald B."},{"family":"Soucy","given":"Jean-Paul"},{"family":"Gagnon","given":"Jean-François"},{"family":"Pelletier","given":"Amélie"},{"family":"Montplaisir","given":"Jacques"}],"issued":{"date-parts":[["2019",6]]}}},{"id":213,"uris":["http://zotero.org/users/local/YWW7uJeE/items/F84VL3SP"],"itemData":{"id":213,"type":"article-journal","abstract":"Abstract\n            Neurotransmitter receptors support the propagation of signals in the human brain. How receptor systems are situated within macro-scale neuroanatomy and how they shape emergent function remain poorly understood, and there exists no comprehensive atlas of receptors. Here we collate positron emission tomography data from more than 1,200 healthy individuals to construct a whole-brain three-dimensional normative atlas of 19 receptors and transporters across nine different neurotransmitter systems. We found that receptor profiles align with structural connectivity and mediate function, including neurophysiological oscillatory dynamics and resting-state hemodynamic functional connectivity. Using the Neurosynth cognitive atlas, we uncovered a topographic gradient of overlapping receptor distributions that separates extrinsic and intrinsic psychological processes. Finally, we found both expected and novel associations between receptor distributions and cortical abnormality patterns across 13 disorders. We replicated all findings in an independently collected autoradiography dataset. This work demonstrates how chemoarchitecture shapes brain structure and function, providing a new direction for studying multi-scale brain organization.","container-title":"Nature Neuroscience","DOI":"10.1038/s41593-022-01186-3","ISSN":"1097-6256, 1546-1726","issue":"11","journalAbbreviation":"Nat Neurosci","language":"en","page":"1569-1581","source":"DOI.org (Crossref)","title":"Mapping neurotransmitter systems to the structural and functional organization of the human neocortex","volume":"25","author":[{"family":"Hansen","given":"Justine Y."},{"family":"Shafiei","given":"Golia"},{"family":"Markello","given":"Ross D."},{"family":"Smart","given":"Kelly"},{"family":"Cox","given":"Sylvia M. L."},{"family":"Nørgaard","given":"Martin"},{"family":"Beliveau","given":"Vincent"},{"family":"Wu","given":"Yanjun"},{"family":"Gallezot","given":"Jean-Dominique"},{"family":"Aumont","given":"Étienne"},{"family":"Servaes","given":"Stijn"},{"family":"Scala","given":"Stephanie G."},{"family":"DuBois","given":"Jonathan M."},{"family":"Wainstein","given":"Gabriel"},{"family":"Bezgin","given":"Gleb"},{"family":"Funck","given":"Thomas"},{"family":"Schmitz","given":"Taylor W."},{"family":"Spreng","given":"R. Nathan"},{"family":"Galovic","given":"Marian"},{"family":"Koepp","given":"Matthias J."},{"family":"Duncan","given":"John S."},{"family":"Coles","given":"Jonathan P."},{"family":"Fryer","given":"Tim D."},{"family":"Aigbirhio","given":"Franklin I."},{"family":"McGinnity","given":"Colm J."},{"family":"Hammers","given":"Alexander"},{"family":"Soucy","given":"Jean-Paul"},{"family":"Baillet","given":"Sylvain"},{"family":"Guimond","given":"Synthia"},{"family":"Hietala","given":"Jarmo"},{"family":"Bedard","given":"Marc-André"},{"family":"Leyton","given":"Marco"},{"family":"Kobayashi","given":"Eliane"},{"family":"Rosa-Neto","given":"Pedro"},{"family":"Ganz","given":"Melanie"},{"family":"Knudsen","given":"Gitte M."},{"family":"Palomero-Gallagher","given":"Nicola"},{"family":"Shine","given":"James M."},{"family":"Carson","given":"Richard E."},{"family":"Tuominen","given":"Lauri"},{"family":"Dagher","given":"Alain"},{"family":"Misic","given":"Bratislav"}],"issued":{"date-parts":[["2022",11]]}}}],"schema":"https://github.com/citation-style-language/schema/raw/master/csl-citation.json"} </w:instrText>
            </w:r>
            <w:r w:rsidRPr="00C10E32">
              <w:rPr>
                <w:rFonts w:ascii="Arial" w:hAnsi="Arial" w:cs="Arial"/>
                <w:sz w:val="24"/>
                <w:szCs w:val="24"/>
                <w:lang w:val="en-US"/>
              </w:rPr>
              <w:fldChar w:fldCharType="separate"/>
            </w:r>
            <w:r w:rsidR="003C6A19" w:rsidRPr="003C6A19">
              <w:rPr>
                <w:rFonts w:ascii="Arial" w:hAnsi="Arial" w:cs="Arial"/>
                <w:sz w:val="24"/>
                <w:szCs w:val="24"/>
              </w:rPr>
              <w:t>(18–20)</w:t>
            </w:r>
            <w:r w:rsidRPr="00C10E32">
              <w:rPr>
                <w:rFonts w:ascii="Arial" w:hAnsi="Arial" w:cs="Arial"/>
                <w:sz w:val="24"/>
                <w:szCs w:val="24"/>
                <w:lang w:val="en-US"/>
              </w:rPr>
              <w:fldChar w:fldCharType="end"/>
            </w:r>
            <w:r w:rsidRPr="00C10E32">
              <w:rPr>
                <w:rFonts w:ascii="Arial" w:hAnsi="Arial" w:cs="Arial"/>
                <w:sz w:val="24"/>
                <w:szCs w:val="24"/>
                <w:lang w:val="en-US"/>
              </w:rPr>
              <w:t xml:space="preserve">, M1 </w:t>
            </w:r>
            <w:r w:rsidRPr="00C10E32">
              <w:rPr>
                <w:rFonts w:ascii="Arial" w:hAnsi="Arial" w:cs="Arial"/>
                <w:sz w:val="24"/>
                <w:szCs w:val="24"/>
                <w:lang w:val="en-US"/>
              </w:rPr>
              <w:fldChar w:fldCharType="begin"/>
            </w:r>
            <w:r w:rsidR="003C6A19">
              <w:rPr>
                <w:rFonts w:ascii="Arial" w:hAnsi="Arial" w:cs="Arial"/>
                <w:sz w:val="24"/>
                <w:szCs w:val="24"/>
                <w:lang w:val="en-US"/>
              </w:rPr>
              <w:instrText xml:space="preserve"> ADDIN ZOTERO_ITEM CSL_CITATION {"citationID":"2zSZ7s1F","properties":{"formattedCitation":"(21)","plainCitation":"(21)","noteIndex":0},"citationItems":[{"id":237,"uris":["http://zotero.org/users/local/YWW7uJeE/items/S9SHD5W8"],"itemData":{"id":237,"type":"article-journal","container-title":"Journal of Nuclear Medicine","DOI":"10.2967/jnumed.120.246967","ISSN":"0161-5505, 2159-662X","issue":"4","journalAbbreviation":"J Nucl Med","language":"en","page":"553-560","source":"DOI.org (Crossref)","title":"First-in-Human Assessment of&lt;sup&gt;11&lt;/sup&gt; C-LSN3172176, an M1 Muscarinic Acetylcholine Receptor PET Radiotracer","volume":"62","author":[{"family":"Naganawa","given":"Mika"},{"family":"Nabulsi","given":"Nabeel"},{"family":"Henry","given":"Shannan"},{"family":"Matuskey","given":"David"},{"family":"Lin","given":"Shu-Fei"},{"family":"Slieker","given":"Lawrence"},{"family":"Schwarz","given":"Adam J."},{"family":"Kant","given":"Nancy"},{"family":"Jesudason","given":"Cynthia"},{"family":"Ruley","given":"Kevin"},{"family":"Navarro","given":"Antonio"},{"family":"Gao","given":"Hong"},{"family":"Ropchan","given":"Jim"},{"family":"Labaree","given":"David"},{"family":"Carson","given":"Richard E."},{"family":"Huang","given":"Yiyun"}],"issued":{"date-parts":[["2021",4]]}}}],"schema":"https://github.com/citation-style-language/schema/raw/master/csl-citation.json"} </w:instrText>
            </w:r>
            <w:r w:rsidRPr="00C10E32">
              <w:rPr>
                <w:rFonts w:ascii="Arial" w:hAnsi="Arial" w:cs="Arial"/>
                <w:sz w:val="24"/>
                <w:szCs w:val="24"/>
                <w:lang w:val="en-US"/>
              </w:rPr>
              <w:fldChar w:fldCharType="separate"/>
            </w:r>
            <w:r w:rsidR="003C6A19" w:rsidRPr="003C6A19">
              <w:rPr>
                <w:rFonts w:ascii="Arial" w:hAnsi="Arial" w:cs="Arial"/>
                <w:sz w:val="24"/>
              </w:rPr>
              <w:t>(21)</w:t>
            </w:r>
            <w:r w:rsidRPr="00C10E32">
              <w:rPr>
                <w:rFonts w:ascii="Arial" w:hAnsi="Arial" w:cs="Arial"/>
                <w:sz w:val="24"/>
                <w:szCs w:val="24"/>
                <w:lang w:val="en-US"/>
              </w:rPr>
              <w:fldChar w:fldCharType="end"/>
            </w:r>
            <w:r w:rsidRPr="00C10E32">
              <w:rPr>
                <w:rFonts w:ascii="Arial" w:hAnsi="Arial" w:cs="Arial"/>
                <w:sz w:val="24"/>
                <w:szCs w:val="24"/>
                <w:lang w:val="en-US"/>
              </w:rPr>
              <w:t xml:space="preserve">, a4b2 </w:t>
            </w:r>
            <w:r w:rsidRPr="00C10E32">
              <w:rPr>
                <w:rFonts w:ascii="Arial" w:hAnsi="Arial" w:cs="Arial"/>
                <w:sz w:val="24"/>
                <w:szCs w:val="24"/>
                <w:lang w:val="en-US"/>
              </w:rPr>
              <w:fldChar w:fldCharType="begin"/>
            </w:r>
            <w:r w:rsidR="003C6A19">
              <w:rPr>
                <w:rFonts w:ascii="Arial" w:hAnsi="Arial" w:cs="Arial"/>
                <w:sz w:val="24"/>
                <w:szCs w:val="24"/>
                <w:lang w:val="en-US"/>
              </w:rPr>
              <w:instrText xml:space="preserve"> ADDIN ZOTERO_ITEM CSL_CITATION {"citationID":"zfj3Hbyn","properties":{"formattedCitation":"(22)","plainCitation":"(22)","noteIndex":0},"citationItems":[{"id":238,"uris":["http://zotero.org/users/local/YWW7uJeE/items/A84JCEVE"],"itemData":{"id":238,"type":"article-journal","container-title":"NeuroImage","DOI":"10.1016/j.neuroimage.2016.07.026","ISSN":"10538119","journalAbbreviation":"NeuroImage","language":"en","page":"71-80","source":"DOI.org (Crossref)","title":"Imaging of cerebral α4β2* nicotinic acetylcholine receptors with (−)-[18F]Flubatine PET: Implementation of bolus plus constant infusion and sensitivity to acetylcholine in human brain","title-short":"Imaging of cerebral α4β2* nicotinic acetylcholine receptors with (−)-[18F]Flubatine PET","volume":"141","author":[{"family":"Hillmer","given":"A.T."},{"family":"Esterlis","given":"I."},{"family":"Gallezot","given":"J.D."},{"family":"Bois","given":"F."},{"family":"Zheng","given":"M.Q."},{"family":"Nabulsi","given":"N."},{"family":"Lin","given":"S.F."},{"family":"Papke","given":"R.L."},{"family":"Huang","given":"Y."},{"family":"Sabri","given":"O."},{"family":"Carson","given":"R.E."},{"family":"Cosgrove","given":"K.P."}],"issued":{"date-parts":[["2016",11]]}}}],"schema":"https://github.com/citation-style-language/schema/raw/master/csl-citation.json"} </w:instrText>
            </w:r>
            <w:r w:rsidRPr="00C10E32">
              <w:rPr>
                <w:rFonts w:ascii="Arial" w:hAnsi="Arial" w:cs="Arial"/>
                <w:sz w:val="24"/>
                <w:szCs w:val="24"/>
                <w:lang w:val="en-US"/>
              </w:rPr>
              <w:fldChar w:fldCharType="separate"/>
            </w:r>
            <w:r w:rsidR="003C6A19" w:rsidRPr="003C6A19">
              <w:rPr>
                <w:rFonts w:ascii="Arial" w:hAnsi="Arial" w:cs="Arial"/>
                <w:sz w:val="24"/>
              </w:rPr>
              <w:t>(22)</w:t>
            </w:r>
            <w:r w:rsidRPr="00C10E32">
              <w:rPr>
                <w:rFonts w:ascii="Arial" w:hAnsi="Arial" w:cs="Arial"/>
                <w:sz w:val="24"/>
                <w:szCs w:val="24"/>
                <w:lang w:val="en-US"/>
              </w:rPr>
              <w:fldChar w:fldCharType="end"/>
            </w:r>
          </w:p>
        </w:tc>
      </w:tr>
      <w:tr w:rsidR="00873F48" w:rsidRPr="00D07411" w:rsidTr="00FC7E6E">
        <w:tc>
          <w:tcPr>
            <w:tcW w:w="2309" w:type="pct"/>
            <w:tcBorders>
              <w:top w:val="nil"/>
              <w:bottom w:val="nil"/>
              <w:right w:val="nil"/>
            </w:tcBorders>
          </w:tcPr>
          <w:p w:rsidR="00873F48" w:rsidRPr="00D07411" w:rsidRDefault="00873F48" w:rsidP="00FC7E6E">
            <w:pPr>
              <w:ind w:firstLine="0"/>
              <w:rPr>
                <w:rFonts w:ascii="Arial" w:hAnsi="Arial" w:cs="Arial"/>
                <w:lang w:val="en-US"/>
              </w:rPr>
            </w:pPr>
            <w:r>
              <w:rPr>
                <w:rFonts w:ascii="Arial" w:hAnsi="Arial" w:cs="Arial"/>
                <w:lang w:val="en-US"/>
              </w:rPr>
              <w:t>dopamine</w:t>
            </w:r>
          </w:p>
        </w:tc>
        <w:tc>
          <w:tcPr>
            <w:tcW w:w="2691" w:type="pct"/>
            <w:tcBorders>
              <w:top w:val="nil"/>
              <w:left w:val="nil"/>
              <w:bottom w:val="nil"/>
              <w:right w:val="nil"/>
            </w:tcBorders>
          </w:tcPr>
          <w:p w:rsidR="00873F48" w:rsidRPr="00D07411" w:rsidRDefault="00873F48" w:rsidP="00FC7E6E">
            <w:pPr>
              <w:ind w:firstLine="0"/>
              <w:rPr>
                <w:rFonts w:ascii="Arial" w:hAnsi="Arial" w:cs="Arial"/>
                <w:lang w:val="en-US"/>
              </w:rPr>
            </w:pPr>
            <w:r w:rsidRPr="00C10E32">
              <w:rPr>
                <w:rFonts w:ascii="Arial" w:hAnsi="Arial" w:cs="Arial"/>
                <w:sz w:val="24"/>
                <w:szCs w:val="24"/>
                <w:lang w:val="en-US"/>
              </w:rPr>
              <w:t xml:space="preserve">D2 </w:t>
            </w:r>
            <w:r w:rsidRPr="00C10E32">
              <w:rPr>
                <w:rFonts w:ascii="Arial" w:hAnsi="Arial" w:cs="Arial"/>
                <w:sz w:val="24"/>
                <w:szCs w:val="24"/>
                <w:lang w:val="en-US"/>
              </w:rPr>
              <w:fldChar w:fldCharType="begin"/>
            </w:r>
            <w:r w:rsidR="003C6A19">
              <w:rPr>
                <w:rFonts w:ascii="Arial" w:hAnsi="Arial" w:cs="Arial"/>
                <w:sz w:val="24"/>
                <w:szCs w:val="24"/>
                <w:lang w:val="en-US"/>
              </w:rPr>
              <w:instrText xml:space="preserve"> ADDIN ZOTERO_ITEM CSL_CITATION {"citationID":"o34Zo1s9","properties":{"formattedCitation":"(23\\uc0\\u8211{}27)","plainCitation":"(23–27)","noteIndex":0},"citationItems":[{"id":215,"uris":["http://zotero.org/users/local/YWW7uJeE/items/MILE6E5A"],"itemData":{"id":215,"type":"article-journal","container-title":"NeuroImage","DOI":"10.1016/j.neuroimage.2022.119149","ISSN":"10538119","journalAbbreviation":"NeuroImage","language":"en","page":"119149","source":"DOI.org (Crossref)","title":"Atlas of type 2 dopamine receptors in the human brain: Age and sex dependent variability in a large PET cohort","title-short":"Atlas of type 2 dopamine receptors in the human brain","volume":"255","author":[{"family":"Malén","given":"Tuulia"},{"family":"Karjalainen","given":"Tomi"},{"family":"Isojärvi","given":"Janne"},{"family":"Vehtari","given":"Aki"},{"family":"Bürkner","given":"Paul-Christian"},{"family":"Putkinen","given":"Vesa"},{"family":"Kaasinen","given":"Valtteri"},{"family":"Hietala","given":"Jarmo"},{"family":"Nuutila","given":"Pirjo"},{"family":"Rinne","given":"Juha"},{"family":"Nummenmaa","given":"Lauri"}],"issued":{"date-parts":[["2022",7]]}}},{"id":218,"uris":["http://zotero.org/users/local/YWW7uJeE/items/XC5T5SNJ"],"itemData":{"id":218,"type":"article-journal","abstract":"Detecting fluctuations in synaptic dopamine levels in extrastriatal brain regions with [\n              11\n              C]FLB 457 and positron emission tomography (PET) is a valuable tool for studying dopaminergic dysfunction in psychiatric disorders. The evaluation of reference region modeling approaches would eliminate the need to obtain arterial input function data. Our goal was to explore the use of reference region models to estimate amphetamine-induced changes in [\n              11\n              C]FLB 457 dopamine D2/D3 binding. Six healthy tobacco smokers were imaged with [\n              11\n              C]FLB 457 at baseline and at 3 hours after amphetamine (0.4  to 0.5 mg/kg, per os) administration. Simplified reference tissue models, SRTM and SRTM2, were evaluated against the 2-tissue compartmental model (2TC) to estimate [\n              11\n              C]FLB 457 binding in extrastriatal regions of interest (ROIs), using the cerebellum as a reference region. No changes in distribution volume were observed in the cerebellum between scan conditions. SRTM and SRTM2 underestimated binding, compared with 2TC, in ROIs by 26% and 9%, respectively, with consistent bias between the baseline and postamphetamine scans. Postamphetamine, [\n              11\n              C]FLB 457 binding significantly decreased across several brain regions as measured with SRTM and SRTM2; no significant change was detected with 2TC. These data support the sensitivity of [\n              11\n              C]FLB 457 for measuring amphetamine-induced dopamine release in extrastriatal regions with SRTM and SRTM2.","container-title":"Journal of Cerebral Blood Flow &amp; Metabolism","DOI":"10.1038/jcbfm.2014.237","ISSN":"0271-678X, 1559-7016","issue":"4","journalAbbreviation":"J Cereb Blood Flow Metab","language":"en","page":"623-629","source":"DOI.org (Crossref)","title":"Reference Region Modeling Approaches for Amphetamine Challenge Studies with [&lt;sup&gt;11&lt;/sup&gt; C]FLB 457 and PET","volume":"35","author":[{"family":"Sandiego","given":"Christine M"},{"family":"Gallezot","given":"Jean-Dominique"},{"family":"Lim","given":"Keunpoong"},{"family":"Ropchan","given":"Jim"},{"family":"Lin","given":"Shu-fei"},{"family":"Gao","given":"Hong"},{"family":"Morris","given":"Evan D"},{"family":"Cosgrove","given":"Kelly P"}],"issued":{"date-parts":[["2015",4]]}}},{"id":217,"uris":["http://zotero.org/users/local/YWW7uJeE/items/SKSPVYXT"],"itemData":{"id":217,"type":"article-journal","abstract":"The relatively modest spatial resolution of positron emission tomography (PET) increases the likelihood of partial volume effects such that binding potential (BP\n              ND\n              ) may be underestimated. Given structural grey matter losses across adulthood, partial volume effects may be even more problematic in older age leading to overestimation of adult age differences. Here we examined the effects of partial volume correction (PVC) in two studies from different sites using different high-affinity D2-like radioligands (18 F-Fallypride, 11C-FLB457) and different PET camera resolutions (</w:instrText>
            </w:r>
            <w:r w:rsidR="003C6A19">
              <w:rPr>
                <w:rFonts w:ascii="Cambria Math" w:hAnsi="Cambria Math" w:cs="Cambria Math"/>
                <w:sz w:val="24"/>
                <w:szCs w:val="24"/>
                <w:lang w:val="en-US"/>
              </w:rPr>
              <w:instrText>∼</w:instrText>
            </w:r>
            <w:r w:rsidR="003C6A19">
              <w:rPr>
                <w:rFonts w:ascii="Arial" w:hAnsi="Arial" w:cs="Arial"/>
                <w:sz w:val="24"/>
                <w:szCs w:val="24"/>
                <w:lang w:val="en-US"/>
              </w:rPr>
              <w:instrText xml:space="preserve">5 mm, 2.5 mm). Results across both data sets revealed that PVC increased estimated BP\n              ND\n              and reduced, though did not eliminate, age effects on BP\n              ND\n              . As expected, the effects of PVC were smaller in higher compared to lower resolution data. Analyses using uncorrected data that controlled for grey matter volume in each region of interest approximated PVC corrected data for some but not all regions. Overall, the findings suggest that PVC increases estimated BP\n              ND\n              in general and reduces adult age differences especially when using lower resolution cameras. The findings suggest that the past 30 years of research on dopamine receptor availability, for which very few studies use PVC, may overestimate effects of aging on dopamine receptor availability.","container-title":"Journal of Cerebral Blood Flow &amp; Metabolism","DOI":"10.1177/0271678X17737693","ISSN":"0271-678X, 1559-7016","issue":"5","journalAbbreviation":"J Cereb Blood Flow Metab","language":"en","page":"822-833","source":"DOI.org (Crossref)","title":"Partial-volume correction increases estimated dopamine D2-like receptor binding potential and reduces adult age differences","volume":"39","author":[{"family":"Smith","given":"Christopher T"},{"family":"Crawford","given":"Jennifer L"},{"family":"Dang","given":"Linh C"},{"family":"Seaman","given":"Kendra L"},{"family":"San Juan","given":"M Danica"},{"family":"Vijay","given":"Aishwarya"},{"family":"Katz","given":"Daniel T"},{"family":"Matuskey","given":"David"},{"family":"Cowan","given":"Ronald L"},{"family":"Morris","given":"Evan D"},{"family":"Zald","given":"David H"},{"family":"Samanez-Larkin","given":"Gregory R"}],"issued":{"date-parts":[["2019",5]]}}},{"id":216,"uris":["http://zotero.org/users/local/YWW7uJeE/items/ME5C7P9I"],"itemData":{"id":216,"type":"article-journal","abstract":"Abstract\n            \n              The neurobiological traits that confer risk for addictions remain poorly understood. However, dopaminergic function throughout the prefrontal cortex, limbic system, and upper brainstem has been implicated in behavioral features that influence addiction vulnerability, including poor impulse control, and altered sensitivity to rewards and punishments (i.e., externalizing features). To test these associations in humans, we measured type-2/3 dopamine receptor (DA\n              2/3\n              R) availability in youth at high vs. low risk for substance use disorders (SUDs). In this study,\n              N\n               = 58 youth (18.5 ± 0.6 years) were recruited from cohorts that have been followed since birth. Participants with either high (high EXT;\n              N\n               = 27; 16 F/11 M) or low pre-existing externalizing traits (low EXT;\n              N\n               = 31; 20 F/11 M) underwent a 90-min positron emission tomography [\n              18\n              F]fallypride scan, and completed the Barratt Impulsiveness Scale (BIS-11), Substance Use Risk Profile scale (SURPS), and Sensitivity to Punishment (SP) and Sensitivity to Reward (SR) questionnaire. We found that high vs. low EXT trait participants reported elevated substance use, BIS-11, SR, and SURPS impulsivity scores, had a greater prevalence of psychiatric disorders, and exhibited higher [\n              18\n              F]fallypride binding potential (BP\n              ND\n              ) values in prefrontal, limbic and paralimbic regions, even when controlling for substance use. Group differences were not evident in midbrain dopamine cell body regions, but, across all participants, low midbrain BP\n              ND\n              values were associated with low SP scores. Together, the results suggest that altered DA\n              2/3\n              R availability in terminal extra-striatal and dopamine cell body regions might constitute biological vulnerability traits, generating an EXT trajectory for addictions with and without co-occurring alterations in punishment sensitivity (i.e., an internalizing feature).","container-title":"Neuropsychopharmacology","DOI":"10.1038/s41386-020-0662-7","ISSN":"0893-133X, 1740-634X","issue":"9","journalAbbreviation":"Neuropsychopharmacol.","language":"en","page":"1498-1505","source":"DOI.org (Crossref)","title":"Extra-striatal D2/3 receptor availability in youth at risk for addiction","volume":"45","author":[{"family":"Jaworska","given":"Natalia"},{"family":"Cox","given":"Sylvia M. L."},{"family":"Tippler","given":"Maria"},{"family":"Castellanos-Ryan","given":"Natalie"},{"family":"Benkelfat","given":"Chawki"},{"family":"Parent","given":"Sophie"},{"family":"Dagher","given":"Alain"},{"family":"Vitaro","given":"Frank"},{"family":"Boivin","given":"Michel"},{"family":"Pihl","given":"Robert O."},{"family":"Côté","given":"Sylvana M."},{"family":"Tremblay","given":"Richard E."},{"family":"Séguin","given":"Jean R."},{"family":"Leyton","given":"Marco"}],"issued":{"date-parts":[["2020",8]]}}},{"id":214,"uris":["http://zotero.org/users/local/YWW7uJeE/items/C9JJR5MK"],"itemData":{"id":214,"type":"article-journal","abstract":"We measured the long-term test–retest reliability of [\n              11\n              C]raclopride binding in striatal subregions, the thalamus and the cortex using the bolus-plus-infusion method and a high-resolution positron emission scanner. Seven healthy male volunteers underwent two positron emission tomography (PET) [\n              11\n              C]raclopride assessments, with a 5-week retest interval. D\n              2/3\n              receptor availability was quantified as binding potential using the simplified reference tissue model. Absolute variability (VAR) and intraclass correlation coefficient (ICC) values indicated very good reproducibility for the striatum and were 4.5%/0.82, 3.9%/0.83, and 3.9%/0.82, for the caudate nucleus, putamen, and ventral striatum, respectively. Thalamic reliability was also very good, with VAR of 3.7% and ICC of 0.92. Test-retest data for cortical areas showed good to moderate reproducibility (6.1% to 13.1%). Our results are in line with previous test–retest studies of [\n              11\n              C]raclopride binding in the striatum. A novel finding is the relatively low variability of [\n              11\n              C]raclopride binding, providing suggestive evidence that extrastriatal D\n              2/3\n              binding can be studied in vivo with [\n              11\n              C]raclopride PET to be verified in future studies.","container-title":"Journal of Cerebral Blood Flow &amp; Metabolism","DOI":"10.1038/jcbfm.2015.53","ISSN":"0271-678X, 1559-7016","issue":"7","journalAbbreviation":"J Cereb Blood Flow Metab","language":"en","page":"1199-1205","source":"DOI.org (Crossref)","title":"Long-Term Test–Retest Reliability of Striatal and Extrastriatal Dopamine D&lt;sub&gt;2/3&lt;/sub&gt; Receptor Binding: Study with [&lt;sup&gt;11&lt;/sup&gt; C]Raclopride and High-Resolution PET","title-short":"Long-Term Test–Retest Reliability of Striatal and Extrastriatal Dopamine D&lt;sub&gt;2/3&lt;/sub&gt; Receptor Binding","volume":"35","author":[{"family":"Alakurtti","given":"Kati"},{"family":"Johansson","given":"Jarkko J"},{"family":"Joutsa","given":"Juho"},{"family":"Laine","given":"Matti"},{"family":"Bäckman","given":"Lars"},{"family":"Nyberg","given":"Lars"},{"family":"Rinne","given":"Juha O"}],"issued":{"date-parts":[["2015",7]]}}}],"schema":"https://github.com/citation-style-language/schema/raw/master/csl-citation.json"} </w:instrText>
            </w:r>
            <w:r w:rsidRPr="00C10E32">
              <w:rPr>
                <w:rFonts w:ascii="Arial" w:hAnsi="Arial" w:cs="Arial"/>
                <w:sz w:val="24"/>
                <w:szCs w:val="24"/>
                <w:lang w:val="en-US"/>
              </w:rPr>
              <w:fldChar w:fldCharType="separate"/>
            </w:r>
            <w:r w:rsidR="003C6A19" w:rsidRPr="003C6A19">
              <w:rPr>
                <w:rFonts w:ascii="Arial" w:hAnsi="Arial" w:cs="Arial"/>
                <w:sz w:val="24"/>
                <w:szCs w:val="24"/>
              </w:rPr>
              <w:t>(23–27)</w:t>
            </w:r>
            <w:r w:rsidRPr="00C10E32">
              <w:rPr>
                <w:rFonts w:ascii="Arial" w:hAnsi="Arial" w:cs="Arial"/>
                <w:sz w:val="24"/>
                <w:szCs w:val="24"/>
                <w:lang w:val="en-US"/>
              </w:rPr>
              <w:fldChar w:fldCharType="end"/>
            </w:r>
            <w:r w:rsidRPr="00C10E32">
              <w:rPr>
                <w:rFonts w:ascii="Arial" w:hAnsi="Arial" w:cs="Arial"/>
                <w:sz w:val="24"/>
                <w:szCs w:val="24"/>
              </w:rPr>
              <w:t xml:space="preserve">, DAT </w:t>
            </w:r>
            <w:r w:rsidRPr="00C10E32">
              <w:rPr>
                <w:rFonts w:ascii="Arial" w:hAnsi="Arial" w:cs="Arial"/>
                <w:sz w:val="24"/>
                <w:szCs w:val="24"/>
                <w:lang w:val="en-US"/>
              </w:rPr>
              <w:fldChar w:fldCharType="begin"/>
            </w:r>
            <w:r w:rsidR="003C6A19">
              <w:rPr>
                <w:rFonts w:ascii="Arial" w:hAnsi="Arial" w:cs="Arial"/>
                <w:sz w:val="24"/>
                <w:szCs w:val="24"/>
              </w:rPr>
              <w:instrText xml:space="preserve"> ADDIN ZOTERO_ITEM CSL_CITATION {"citationID":"v44GlS0e","properties":{"formattedCitation":"(28,29)","plainCitation":"(28,29)","noteIndex":0},"citationItems":[{"id":219,"uris":["http://zotero.org/users/local/YWW7uJeE/items/IS7HRERP"],"itemData":{"id":219,"type":"article-journal","abstract":"Abstract\n            \n              Application of metabolic magnetic resonance imaging measures such as cerebral blood flow in translational medicine is limited by the unknown link of observed alterations to specific neurophysiological processes. In particular, the sensitivity of cerebral blood flow to activity changes in specific neurotransmitter systems remains unclear. We address this question by probing cerebral blood flow in healthy volunteers using seven established drugs with known dopaminergic, serotonergic, glutamatergic and GABAergic mechanisms of action. We use a novel framework aimed at disentangling the observed effects to contribution from underlying neurotransmitter systems. We find for all evaluated compounds a reliable spatial link of respective cerebral blood flow changes with underlying neurotransmitter receptor densities corresponding to their primary mechanisms of action. The strength of these associations with receptor density is mediated by respective drug affinities. These findings suggest that cerebral blood flow is a sensitive brain-wide\n              in-vivo\n              assay of metabolic demands across a variety of neurotransmitter systems in humans.","container-title":"Scientific Reports","DOI":"10.1038/s41598-018-22444-0","ISSN":"2045-2322","issue":"1","journalAbbreviation":"Sci Rep","language":"en","page":"4074","source":"DOI.org (Crossref)","title":"Cerebral blood flow predicts differential neurotransmitter activity","volume":"8","author":[{"family":"Dukart","given":"Juergen"},{"family":"Holiga","given":"Štefan"},{"family":"Chatham","given":"Christopher"},{"family":"Hawkins","given":"Peter"},{"family":"Forsyth","given":"Anna"},{"family":"McMillan","given":"Rebecca"},{"family":"Myers","given":"Jim"},{"family":"Lingford-Hughes","given":"Anne R"},{"family":"Nutt","given":"David J"},{"family":"Merlo-Pich","given":"Emilio"},{"family":"Risterucci","given":"Celine"},{"family":"Boak","given":"Lauren"},{"family":"Umbricht","given":"Daniel"},{"family":"Schobel","given":"Scott"},{"family":"Liu","given":"Thomas"},{"family":"Mehta","given":"Mitul A"},{"family":"Zelaya","given":"Fernando O"},{"family":"Williams","given":"Steve C"},{"family":"Brown","given":"Gregory"},{"family":"Paulus","given":"Martin"},{"family":"Honey","given":"Garry D"},{"family":"Muthukumaraswamy","given":"Suresh"},{"family":"Hipp","given":"Joerg"},{"family":"Bertolino","given":"Alessandro"},{"family":"Sambataro","given":"Fabio"}],"issued":{"date-parts":[["2018",3,6]]}}},{"id":230,"uris":["http://zotero.org/users/local/YWW7uJeE/items/GZ8SVTPZ"],"itemData":{"id":230,"type":"article-journal","container-title":"Journal of Nuclear Medicine","DOI":"10.2967/jnumed.111.101626","ISSN":"0161-5505, 2159-662X","issue":"7","journalAbbreviation":"J Nucl Med","language":"en","page":"1065-1073","source":"DOI.org (Crossref)","title":"Quantification of Dopamine Transporter in Human Brain Using PET with&lt;sup&gt;18&lt;/sup&gt; F-FE-PE2I","volume":"53","author":[{"family":"Sasaki","given":"Takeshi"},{"family":"Ito","given":"Hiroshi"},{"family":"Kimura","given":"Yasuyuki"},{"family":"Arakawa","given":"Ryosuke"},{"family":"Takano","given":"Harumasa"},{"family":"Seki","given":"Chie"},{"family":"Kodaka","given":"Fumitoshi"},{"family":"Fujie","given":"Saori"},{"family":"Takahata","given":"Keisuke"},{"family":"Nogami","given":"Tsuyoshi"},{"family":"Suzuki","given":"Masayuki"},{"family":"Fujiwara","given":"Hironobu"},{"family":"Takahashi","given":"Hidehiko"},{"family":"Nakao","given":"Ryuji"},{"family":"Fukumura","given":"Toshimitsu"},{"family":"Varrone","given":"Andrea"},{"family":"Halldin","given":"Christer"},{"family":"Nishikawa","given":"Toru"},{"family":"Suhara","given":"Tetsuya"}],"issued":{"date-parts":[["2012",7]]}}}],"schema":"https://github.com/citation-style-language/schema/raw/master/csl-citation.json"} </w:instrText>
            </w:r>
            <w:r w:rsidRPr="00C10E32">
              <w:rPr>
                <w:rFonts w:ascii="Arial" w:hAnsi="Arial" w:cs="Arial"/>
                <w:sz w:val="24"/>
                <w:szCs w:val="24"/>
                <w:lang w:val="en-US"/>
              </w:rPr>
              <w:fldChar w:fldCharType="separate"/>
            </w:r>
            <w:r w:rsidR="003C6A19" w:rsidRPr="003C6A19">
              <w:rPr>
                <w:rFonts w:ascii="Arial" w:hAnsi="Arial" w:cs="Arial"/>
                <w:sz w:val="24"/>
              </w:rPr>
              <w:t>(28,29)</w:t>
            </w:r>
            <w:r w:rsidRPr="00C10E32">
              <w:rPr>
                <w:rFonts w:ascii="Arial" w:hAnsi="Arial" w:cs="Arial"/>
                <w:sz w:val="24"/>
                <w:szCs w:val="24"/>
                <w:lang w:val="en-US"/>
              </w:rPr>
              <w:fldChar w:fldCharType="end"/>
            </w:r>
            <w:r w:rsidRPr="00C10E32">
              <w:rPr>
                <w:rFonts w:ascii="Arial" w:hAnsi="Arial" w:cs="Arial"/>
                <w:sz w:val="24"/>
                <w:szCs w:val="24"/>
              </w:rPr>
              <w:t xml:space="preserve">, D1 </w:t>
            </w:r>
            <w:r w:rsidRPr="00C10E32">
              <w:rPr>
                <w:rFonts w:ascii="Arial" w:hAnsi="Arial" w:cs="Arial"/>
                <w:sz w:val="24"/>
                <w:szCs w:val="24"/>
                <w:lang w:val="en-US"/>
              </w:rPr>
              <w:fldChar w:fldCharType="begin"/>
            </w:r>
            <w:r w:rsidR="003C6A19">
              <w:rPr>
                <w:rFonts w:ascii="Arial" w:hAnsi="Arial" w:cs="Arial"/>
                <w:sz w:val="24"/>
                <w:szCs w:val="24"/>
              </w:rPr>
              <w:instrText xml:space="preserve"> ADDIN ZOTERO_ITEM CSL_CITATION {"citationID":"Wu1VuZkG","properties":{"formattedCitation":"(30)","plainCitation":"(30)","noteIndex":0},"citationItems":[{"id":220,"uris":["http://zotero.org/users/local/YWW7uJeE/items/UW9RS3P9"],"itemData":{"id":220,"type":"article-journal","container-title":"European Journal of Nuclear Medicine and Molecular Imaging","DOI":"10.1007/s00259-017-3645-0","ISSN":"1619-7070, 1619-7089","issue":"6","journalAbbreviation":"Eur J Nucl Med Mol Imaging","language":"en","page":"1025-1032","source":"DOI.org (Crossref)","title":"Test–retest measurements of dopamine D1-type receptors using simultaneous PET/MRI imaging","volume":"44","author":[{"family":"Kaller","given":"Simon"},{"family":"Rullmann","given":"Michael"},{"family":"Patt","given":"Marianne"},{"family":"Becker","given":"Georg-Alexander"},{"family":"Luthardt","given":"Julia"},{"family":"Girbardt","given":"Johanna"},{"family":"Meyer","given":"Philipp M."},{"family":"Werner","given":"Peter"},{"family":"Barthel","given":"Henryk"},{"family":"Bresch","given":"Anke"},{"family":"Fritz","given":"Thomas H."},{"family":"Hesse","given":"Swen"},{"family":"Sabri","given":"Osama"}],"issued":{"date-parts":[["2017",6]]}}}],"schema":"https://github.com/citation-style-language/schema/raw/master/csl-citation.json"} </w:instrText>
            </w:r>
            <w:r w:rsidRPr="00C10E32">
              <w:rPr>
                <w:rFonts w:ascii="Arial" w:hAnsi="Arial" w:cs="Arial"/>
                <w:sz w:val="24"/>
                <w:szCs w:val="24"/>
                <w:lang w:val="en-US"/>
              </w:rPr>
              <w:fldChar w:fldCharType="separate"/>
            </w:r>
            <w:r w:rsidR="003C6A19" w:rsidRPr="003C6A19">
              <w:rPr>
                <w:rFonts w:ascii="Arial" w:hAnsi="Arial" w:cs="Arial"/>
                <w:sz w:val="24"/>
              </w:rPr>
              <w:t>(30)</w:t>
            </w:r>
            <w:r w:rsidRPr="00C10E32">
              <w:rPr>
                <w:rFonts w:ascii="Arial" w:hAnsi="Arial" w:cs="Arial"/>
                <w:sz w:val="24"/>
                <w:szCs w:val="24"/>
                <w:lang w:val="en-US"/>
              </w:rPr>
              <w:fldChar w:fldCharType="end"/>
            </w:r>
          </w:p>
        </w:tc>
      </w:tr>
      <w:tr w:rsidR="00873F48" w:rsidRPr="00D07411" w:rsidTr="00FC7E6E">
        <w:tc>
          <w:tcPr>
            <w:tcW w:w="2309" w:type="pct"/>
            <w:tcBorders>
              <w:top w:val="nil"/>
              <w:bottom w:val="nil"/>
              <w:right w:val="nil"/>
            </w:tcBorders>
          </w:tcPr>
          <w:p w:rsidR="00873F48" w:rsidRPr="00D07411" w:rsidRDefault="00873F48" w:rsidP="00FC7E6E">
            <w:pPr>
              <w:ind w:firstLine="0"/>
              <w:rPr>
                <w:rFonts w:ascii="Arial" w:hAnsi="Arial" w:cs="Arial"/>
                <w:lang w:val="en-US"/>
              </w:rPr>
            </w:pPr>
            <w:r>
              <w:rPr>
                <w:rFonts w:ascii="Arial" w:hAnsi="Arial" w:cs="Arial"/>
                <w:lang w:val="en-US"/>
              </w:rPr>
              <w:t>cannabinoid</w:t>
            </w:r>
          </w:p>
        </w:tc>
        <w:tc>
          <w:tcPr>
            <w:tcW w:w="2691" w:type="pct"/>
            <w:tcBorders>
              <w:top w:val="nil"/>
              <w:left w:val="nil"/>
              <w:bottom w:val="nil"/>
              <w:right w:val="nil"/>
            </w:tcBorders>
          </w:tcPr>
          <w:p w:rsidR="00873F48" w:rsidRPr="00D07411" w:rsidRDefault="00873F48" w:rsidP="00FC7E6E">
            <w:pPr>
              <w:ind w:firstLine="0"/>
              <w:rPr>
                <w:rFonts w:ascii="Arial" w:hAnsi="Arial" w:cs="Arial"/>
                <w:lang w:val="en-US"/>
              </w:rPr>
            </w:pPr>
            <w:r w:rsidRPr="008E4C0E">
              <w:rPr>
                <w:rFonts w:ascii="Arial" w:hAnsi="Arial" w:cs="Arial"/>
                <w:sz w:val="24"/>
                <w:szCs w:val="24"/>
                <w:lang w:val="en-US"/>
              </w:rPr>
              <w:t xml:space="preserve">CB1 </w:t>
            </w:r>
            <w:r w:rsidRPr="00C10E32">
              <w:rPr>
                <w:rFonts w:ascii="Arial" w:hAnsi="Arial" w:cs="Arial"/>
                <w:sz w:val="24"/>
                <w:szCs w:val="24"/>
                <w:lang w:val="en-US"/>
              </w:rPr>
              <w:fldChar w:fldCharType="begin"/>
            </w:r>
            <w:r w:rsidR="003C6A19">
              <w:rPr>
                <w:rFonts w:ascii="Arial" w:hAnsi="Arial" w:cs="Arial"/>
                <w:sz w:val="24"/>
                <w:szCs w:val="24"/>
                <w:lang w:val="en-US"/>
              </w:rPr>
              <w:instrText xml:space="preserve"> ADDIN ZOTERO_ITEM CSL_CITATION {"citationID":"euM1Nd0W","properties":{"formattedCitation":"(31,32)","plainCitation":"(31,32)","noteIndex":0},"citationItems":[{"id":221,"uris":["http://zotero.org/users/local/YWW7uJeE/items/6CFQJTJ5"],"itemData":{"id":221,"type":"article-journal","container-title":"NeuroImage","DOI":"10.1016/j.neuroimage.2018.10.013","ISSN":"10538119","journalAbbreviation":"NeuroImage","language":"en","page":"834-842","source":"DOI.org (Crossref)","title":"Sex difference in brain CB1 receptor availability in man","volume":"184","author":[{"family":"Laurikainen","given":"Heikki"},{"family":"Tuominen","given":"Lauri"},{"family":"Tikka","given":"Maria"},{"family":"Merisaari","given":"Harri"},{"family":"Armio","given":"Reetta-Liina"},{"family":"Sormunen","given":"Elina"},{"family":"Borgan","given":"Faith"},{"family":"Veronese","given":"Mattia"},{"family":"Howes","given":"Oliver"},{"family":"Haaparanta-Solin","given":"Merja"},{"family":"Solin","given":"Olof"},{"family":"Hietala","given":"Jarmo"}],"issued":{"date-parts":[["2019",1]]}}},{"id":229,"uris":["http://zotero.org/users/local/YWW7uJeE/items/VMQABB4S"],"itemData":{"id":229,"type":"article-journal","abstract":"The Radiotracer [\n              11\n              C]OMAR was developed for positron emission tomography (PET) imaging of cannabinoid type-1 receptors (CB1R). The objectives of the present study were to evaluate kinetic analysis methods, determine test–retest reliability, and assess gender differences in receptor availability. Dynamic PET data were acquired in 10 human subjects, and analyzed with one-tissue (1T) and two-tissue (2T) compartment models and by the Logan and multilinear analysis (MA1) methods to estimate regional volume of distribution ( V\n              T\n              ). The 2T model inclusive of a vascular component (2T\n              V\n              ) and MA1 were the preferred techniques. Test–retest reliability of V\n              T\n              was good (mean absolute deviation ~ 9%; intraclass correlation coefficient ~ 0.7). Tracer parent fraction in plasma was lower in women ( P &lt; 0.0001). Cerebral uptake normalized by body weight and injected dose was higher in men by 17% ( P &lt; 0.0001), but V\n              T\n              was significantly greater in women by 23% ( P &lt; 0.0001). These findings show that [\n              11\n              C]OMAR binding can be reliably quantified by the 2T model or MA1 method and demonstrate the utility of this tracer for in vivo imaging of CB1R. In addition, results from the present study indicate that gender difference in receptor binding should be taken into consideration when [\n              11\n              C]OMAR is used to quantify CB1R availability in neuropsychiatric disorders.","container-title":"Journal of Cerebral Blood Flow &amp; Metabolism","DOI":"10.1038/jcbfm.2015.46","ISSN":"0271-678X, 1559-7016","issue":"8","journalAbbreviation":"J Cereb Blood Flow Metab","language":"en","page":"1313-1322","source":"DOI.org (Crossref)","title":"Imaging the Cannabinoid CB1 Receptor in Humans with [&lt;sup&gt;11&lt;/sup&gt; C] OMAR: Assessment of Kinetic Analysis Methods, Test–Retest Reproducibility, and Gender Differences","title-short":"Imaging the Cannabinoid CB1 Receptor in Humans with [&lt;sup&gt;11&lt;/sup&gt; C] OMAR","volume":"35","author":[{"family":"Normandin","given":"Marc D"},{"family":"Zheng","given":"Ming-Qiang"},{"family":"Lin","given":"Kuo-Shyan"},{"family":"Mason","given":"N Scott"},{"family":"Lin","given":"Shu-Fei"},{"family":"Ropchan","given":"Jim"},{"family":"Labaree","given":"David"},{"family":"Henry","given":"Shannan"},{"family":"Williams","given":"Wendol A"},{"family":"Carson","given":"Richard E"},{"family":"Neumeister","given":"Alexander"},{"family":"Huang","given":"Yiyun"}],"issued":{"date-parts":[["2015",8]]}}}],"schema":"https://github.com/citation-style-language/schema/raw/master/csl-citation.json"} </w:instrText>
            </w:r>
            <w:r w:rsidRPr="00C10E32">
              <w:rPr>
                <w:rFonts w:ascii="Arial" w:hAnsi="Arial" w:cs="Arial"/>
                <w:sz w:val="24"/>
                <w:szCs w:val="24"/>
                <w:lang w:val="en-US"/>
              </w:rPr>
              <w:fldChar w:fldCharType="separate"/>
            </w:r>
            <w:r w:rsidR="003C6A19" w:rsidRPr="003C6A19">
              <w:rPr>
                <w:rFonts w:ascii="Arial" w:hAnsi="Arial" w:cs="Arial"/>
                <w:sz w:val="24"/>
              </w:rPr>
              <w:t>(31,32)</w:t>
            </w:r>
            <w:r w:rsidRPr="00C10E32">
              <w:rPr>
                <w:rFonts w:ascii="Arial" w:hAnsi="Arial" w:cs="Arial"/>
                <w:sz w:val="24"/>
                <w:szCs w:val="24"/>
                <w:lang w:val="en-US"/>
              </w:rPr>
              <w:fldChar w:fldCharType="end"/>
            </w:r>
          </w:p>
        </w:tc>
      </w:tr>
      <w:tr w:rsidR="00873F48" w:rsidRPr="00D07411" w:rsidTr="00FC7E6E">
        <w:trPr>
          <w:trHeight w:val="354"/>
        </w:trPr>
        <w:tc>
          <w:tcPr>
            <w:tcW w:w="2309" w:type="pct"/>
            <w:tcBorders>
              <w:top w:val="nil"/>
              <w:bottom w:val="nil"/>
              <w:right w:val="nil"/>
            </w:tcBorders>
          </w:tcPr>
          <w:p w:rsidR="00873F48" w:rsidRPr="00D07411" w:rsidRDefault="00873F48" w:rsidP="00FC7E6E">
            <w:pPr>
              <w:ind w:firstLine="0"/>
              <w:rPr>
                <w:rFonts w:ascii="Arial" w:hAnsi="Arial" w:cs="Arial"/>
                <w:lang w:val="en-US"/>
              </w:rPr>
            </w:pPr>
            <w:r>
              <w:rPr>
                <w:rFonts w:ascii="Arial" w:hAnsi="Arial" w:cs="Arial"/>
                <w:lang w:val="en-US"/>
              </w:rPr>
              <w:t>opioid</w:t>
            </w:r>
          </w:p>
        </w:tc>
        <w:tc>
          <w:tcPr>
            <w:tcW w:w="2691" w:type="pct"/>
            <w:tcBorders>
              <w:top w:val="nil"/>
              <w:left w:val="nil"/>
              <w:bottom w:val="nil"/>
              <w:right w:val="nil"/>
            </w:tcBorders>
          </w:tcPr>
          <w:p w:rsidR="00873F48" w:rsidRPr="00D07411" w:rsidRDefault="00873F48" w:rsidP="00FC7E6E">
            <w:pPr>
              <w:ind w:firstLine="0"/>
              <w:rPr>
                <w:rFonts w:ascii="Arial" w:hAnsi="Arial" w:cs="Arial"/>
                <w:lang w:val="en-US"/>
              </w:rPr>
            </w:pPr>
            <w:r w:rsidRPr="008E4C0E">
              <w:rPr>
                <w:rFonts w:ascii="Arial" w:hAnsi="Arial" w:cs="Arial"/>
                <w:sz w:val="24"/>
                <w:szCs w:val="24"/>
                <w:lang w:val="en-US"/>
              </w:rPr>
              <w:t xml:space="preserve">KOR </w:t>
            </w:r>
            <w:r w:rsidRPr="00C10E32">
              <w:rPr>
                <w:rFonts w:ascii="Arial" w:hAnsi="Arial" w:cs="Arial"/>
                <w:sz w:val="24"/>
                <w:szCs w:val="24"/>
              </w:rPr>
              <w:fldChar w:fldCharType="begin"/>
            </w:r>
            <w:r w:rsidR="003C6A19">
              <w:rPr>
                <w:rFonts w:ascii="Arial" w:hAnsi="Arial" w:cs="Arial"/>
                <w:sz w:val="24"/>
                <w:szCs w:val="24"/>
                <w:lang w:val="en-US"/>
              </w:rPr>
              <w:instrText xml:space="preserve"> ADDIN ZOTERO_ITEM CSL_CITATION {"citationID":"dnZSEP7j","properties":{"formattedCitation":"(33)","plainCitation":"(33)","noteIndex":0},"citationItems":[{"id":222,"uris":["http://zotero.org/users/local/YWW7uJeE/items/4CTDRQQN"],"itemData":{"id":222,"type":"article-journal","container-title":"Neuropsychopharmacology","DOI":"10.1038/s41386-018-0199-1","ISSN":"0893-133X, 1740-634X","issue":"13","journalAbbreviation":"Neuropsychopharmacol","language":"en","page":"2539-2547","source":"DOI.org (Crossref)","title":"PET imaging reveals lower kappa opioid receptor availability in alcoholics but no effect of age","volume":"43","author":[{"family":"Vijay","given":"Aishwarya"},{"family":"Cavallo","given":"Dana"},{"family":"Goldberg","given":"Alissa"},{"family":"De Laat","given":"Bart"},{"family":"Nabulsi","given":"Nabeel"},{"family":"Huang","given":"Yiyun"},{"family":"Krishnan-Sarin","given":"Suchitra"},{"family":"Morris","given":"Evan D."}],"issued":{"date-parts":[["2018",12]]}}}],"schema":"https://github.com/citation-style-language/schema/raw/master/csl-citation.json"} </w:instrText>
            </w:r>
            <w:r w:rsidRPr="00C10E32">
              <w:rPr>
                <w:rFonts w:ascii="Arial" w:hAnsi="Arial" w:cs="Arial"/>
                <w:sz w:val="24"/>
                <w:szCs w:val="24"/>
              </w:rPr>
              <w:fldChar w:fldCharType="separate"/>
            </w:r>
            <w:r w:rsidR="003C6A19" w:rsidRPr="003C6A19">
              <w:rPr>
                <w:rFonts w:ascii="Arial" w:hAnsi="Arial" w:cs="Arial"/>
                <w:sz w:val="24"/>
              </w:rPr>
              <w:t>(33)</w:t>
            </w:r>
            <w:r w:rsidRPr="00C10E32">
              <w:rPr>
                <w:rFonts w:ascii="Arial" w:hAnsi="Arial" w:cs="Arial"/>
                <w:sz w:val="24"/>
                <w:szCs w:val="24"/>
              </w:rPr>
              <w:fldChar w:fldCharType="end"/>
            </w:r>
            <w:r w:rsidRPr="008E4C0E">
              <w:rPr>
                <w:rFonts w:ascii="Arial" w:hAnsi="Arial" w:cs="Arial"/>
                <w:sz w:val="24"/>
                <w:szCs w:val="24"/>
                <w:lang w:val="en-US"/>
              </w:rPr>
              <w:t xml:space="preserve">, MOR </w:t>
            </w:r>
            <w:r w:rsidRPr="00C10E32">
              <w:rPr>
                <w:rFonts w:ascii="Arial" w:hAnsi="Arial" w:cs="Arial"/>
                <w:sz w:val="24"/>
                <w:szCs w:val="24"/>
                <w:lang w:val="en-US"/>
              </w:rPr>
              <w:fldChar w:fldCharType="begin"/>
            </w:r>
            <w:r w:rsidR="003C6A19">
              <w:rPr>
                <w:rFonts w:ascii="Arial" w:hAnsi="Arial" w:cs="Arial"/>
                <w:sz w:val="24"/>
                <w:szCs w:val="24"/>
                <w:lang w:val="en-US"/>
              </w:rPr>
              <w:instrText xml:space="preserve"> ADDIN ZOTERO_ITEM CSL_CITATION {"citationID":"k3gV9QWr","properties":{"formattedCitation":"(34,35)","plainCitation":"(34,35)","noteIndex":0},"citationItems":[{"id":224,"uris":["http://zotero.org/users/local/YWW7uJeE/items/V3FBG9VZ"],"itemData":{"id":224,"type":"article-journal","container-title":"NeuroImage","DOI":"10.1016/j.neuroimage.2020.116922","ISSN":"10538119","journalAbbreviation":"NeuroImage","language":"en","page":"116922","source":"DOI.org (Crossref)","title":"Interindividual variability and lateralization of μ-opioid receptors in the human brain","volume":"217","author":[{"family":"Kantonen","given":"Tatu"},{"family":"Karjalainen","given":"Tomi"},{"family":"Isojärvi","given":"Janne"},{"family":"Nuutila","given":"Pirjo"},{"family":"Tuisku","given":"Jouni"},{"family":"Rinne","given":"Juha"},{"family":"Hietala","given":"Jarmo"},{"family":"Kaasinen","given":"Valtteri"},{"family":"Kalliokoski","given":"Kari"},{"family":"Scheinin","given":"Harry"},{"family":"Hirvonen","given":"Jussi"},{"family":"Vehtari","given":"Aki"},{"family":"Nummenmaa","given":"Lauri"}],"issued":{"date-parts":[["2020",8]]}}},{"id":223,"uris":["http://zotero.org/users/local/YWW7uJeE/items/DSPKSZK7"],"itemData":{"id":223,"type":"article-journal","container-title":"Biological Psychiatry: Cognitive Neuroscience and Neuroimaging","DOI":"10.1016/j.bpsc.2020.10.013","ISSN":"24519022","issue":"3","journalAbbreviation":"Biological Psychiatry: Cognitive Neuroscience and Neuroimaging","language":"en","page":"360-369","source":"DOI.org (Crossref)","title":"Adult Attachment System Links With Brain Mu Opioid Receptor Availability In Vivo","volume":"6","author":[{"family":"Turtonen","given":"Otto"},{"family":"Saarinen","given":"Aino"},{"family":"Nummenmaa","given":"Lauri"},{"family":"Tuominen","given":"Lauri"},{"family":"Tikka","given":"Maria"},{"family":"Armio","given":"Reetta-Liina"},{"family":"Hautamäki","given":"Airi"},{"family":"Laurikainen","given":"Heikki"},{"family":"Raitakari","given":"Olli"},{"family":"Keltikangas-Järvinen","given":"Liisa"},{"family":"Hietala","given":"Jarmo"}],"issued":{"date-parts":[["2021",3]]}}}],"schema":"https://github.com/citation-style-language/schema/raw/master/csl-citation.json"} </w:instrText>
            </w:r>
            <w:r w:rsidRPr="00C10E32">
              <w:rPr>
                <w:rFonts w:ascii="Arial" w:hAnsi="Arial" w:cs="Arial"/>
                <w:sz w:val="24"/>
                <w:szCs w:val="24"/>
                <w:lang w:val="en-US"/>
              </w:rPr>
              <w:fldChar w:fldCharType="separate"/>
            </w:r>
            <w:r w:rsidR="003C6A19" w:rsidRPr="003C6A19">
              <w:rPr>
                <w:rFonts w:ascii="Arial" w:hAnsi="Arial" w:cs="Arial"/>
                <w:sz w:val="24"/>
              </w:rPr>
              <w:t>(34,35)</w:t>
            </w:r>
            <w:r w:rsidRPr="00C10E32">
              <w:rPr>
                <w:rFonts w:ascii="Arial" w:hAnsi="Arial" w:cs="Arial"/>
                <w:sz w:val="24"/>
                <w:szCs w:val="24"/>
                <w:lang w:val="en-US"/>
              </w:rPr>
              <w:fldChar w:fldCharType="end"/>
            </w:r>
          </w:p>
        </w:tc>
      </w:tr>
      <w:tr w:rsidR="00873F48" w:rsidRPr="00D07411" w:rsidTr="00FC7E6E">
        <w:tc>
          <w:tcPr>
            <w:tcW w:w="2309" w:type="pct"/>
            <w:tcBorders>
              <w:top w:val="nil"/>
              <w:bottom w:val="nil"/>
              <w:right w:val="nil"/>
            </w:tcBorders>
          </w:tcPr>
          <w:p w:rsidR="00873F48" w:rsidRPr="00D07411" w:rsidRDefault="00873F48" w:rsidP="00FC7E6E">
            <w:pPr>
              <w:ind w:firstLine="0"/>
              <w:rPr>
                <w:rFonts w:ascii="Arial" w:hAnsi="Arial" w:cs="Arial"/>
                <w:lang w:val="en-US"/>
              </w:rPr>
            </w:pPr>
            <w:r>
              <w:rPr>
                <w:rFonts w:ascii="Arial" w:hAnsi="Arial" w:cs="Arial"/>
                <w:lang w:val="en-US"/>
              </w:rPr>
              <w:lastRenderedPageBreak/>
              <w:t>glutamate</w:t>
            </w:r>
          </w:p>
        </w:tc>
        <w:tc>
          <w:tcPr>
            <w:tcW w:w="2691" w:type="pct"/>
            <w:tcBorders>
              <w:top w:val="nil"/>
              <w:left w:val="nil"/>
              <w:bottom w:val="nil"/>
              <w:right w:val="nil"/>
            </w:tcBorders>
          </w:tcPr>
          <w:p w:rsidR="00873F48" w:rsidRPr="00D07411" w:rsidRDefault="00873F48" w:rsidP="00FC7E6E">
            <w:pPr>
              <w:ind w:firstLine="0"/>
              <w:rPr>
                <w:rFonts w:ascii="Arial" w:hAnsi="Arial" w:cs="Arial"/>
                <w:lang w:val="en-US"/>
              </w:rPr>
            </w:pPr>
            <w:r w:rsidRPr="00C10E32">
              <w:rPr>
                <w:rFonts w:ascii="Arial" w:hAnsi="Arial" w:cs="Arial"/>
                <w:sz w:val="24"/>
                <w:szCs w:val="24"/>
                <w:lang w:val="en-US"/>
              </w:rPr>
              <w:t xml:space="preserve">mGlur5 </w:t>
            </w:r>
            <w:r w:rsidRPr="00C10E32">
              <w:rPr>
                <w:rFonts w:ascii="Arial" w:hAnsi="Arial" w:cs="Arial"/>
                <w:sz w:val="24"/>
                <w:szCs w:val="24"/>
                <w:lang w:val="en-US"/>
              </w:rPr>
              <w:fldChar w:fldCharType="begin"/>
            </w:r>
            <w:r w:rsidR="003C6A19">
              <w:rPr>
                <w:rFonts w:ascii="Arial" w:hAnsi="Arial" w:cs="Arial"/>
                <w:sz w:val="24"/>
                <w:szCs w:val="24"/>
                <w:lang w:val="en-US"/>
              </w:rPr>
              <w:instrText xml:space="preserve"> ADDIN ZOTERO_ITEM CSL_CITATION {"citationID":"FjIPqvPS","properties":{"formattedCitation":"(20,36,37)","plainCitation":"(20,36,37)","noteIndex":0},"citationItems":[{"id":213,"uris":["http://zotero.org/users/local/YWW7uJeE/items/F84VL3SP"],"itemData":{"id":213,"type":"article-journal","abstract":"Abstract\n            Neurotransmitter receptors support the propagation of signals in the human brain. How receptor systems are situated within macro-scale neuroanatomy and how they shape emergent function remain poorly understood, and there exists no comprehensive atlas of receptors. Here we collate positron emission tomography data from more than 1,200 healthy individuals to construct a whole-brain three-dimensional normative atlas of 19 receptors and transporters across nine different neurotransmitter systems. We found that receptor profiles align with structural connectivity and mediate function, including neurophysiological oscillatory dynamics and resting-state hemodynamic functional connectivity. Using the Neurosynth cognitive atlas, we uncovered a topographic gradient of overlapping receptor distributions that separates extrinsic and intrinsic psychological processes. Finally, we found both expected and novel associations between receptor distributions and cortical abnormality patterns across 13 disorders. We replicated all findings in an independently collected autoradiography dataset. This work demonstrates how chemoarchitecture shapes brain structure and function, providing a new direction for studying multi-scale brain organization.","container-title":"Nature Neuroscience","DOI":"10.1038/s41593-022-01186-3","ISSN":"1097-6256, 1546-1726","issue":"11","journalAbbreviation":"Nat Neurosci","language":"en","page":"1569-1581","source":"DOI.org (Crossref)","title":"Mapping neurotransmitter systems to the structural and functional organization of the human neocortex","volume":"25","author":[{"family":"Hansen","given":"Justine Y."},{"family":"Shafiei","given":"Golia"},{"family":"Markello","given":"Ross D."},{"family":"Smart","given":"Kelly"},{"family":"Cox","given":"Sylvia M. L."},{"family":"Nørgaard","given":"Martin"},{"family":"Beliveau","given":"Vincent"},{"family":"Wu","given":"Yanjun"},{"family":"Gallezot","given":"Jean-Dominique"},{"family":"Aumont","given":"Étienne"},{"family":"Servaes","given":"Stijn"},{"family":"Scala","given":"Stephanie G."},{"family":"DuBois","given":"Jonathan M."},{"family":"Wainstein","given":"Gabriel"},{"family":"Bezgin","given":"Gleb"},{"family":"Funck","given":"Thomas"},{"family":"Schmitz","given":"Taylor W."},{"family":"Spreng","given":"R. Nathan"},{"family":"Galovic","given":"Marian"},{"family":"Koepp","given":"Matthias J."},{"family":"Duncan","given":"John S."},{"family":"Coles","given":"Jonathan P."},{"family":"Fryer","given":"Tim D."},{"family":"Aigbirhio","given":"Franklin I."},{"family":"McGinnity","given":"Colm J."},{"family":"Hammers","given":"Alexander"},{"family":"Soucy","given":"Jean-Paul"},{"family":"Baillet","given":"Sylvain"},{"family":"Guimond","given":"Synthia"},{"family":"Hietala","given":"Jarmo"},{"family":"Bedard","given":"Marc-André"},{"family":"Leyton","given":"Marco"},{"family":"Kobayashi","given":"Eliane"},{"family":"Rosa-Neto","given":"Pedro"},{"family":"Ganz","given":"Melanie"},{"family":"Knudsen","given":"Gitte M."},{"family":"Palomero-Gallagher","given":"Nicola"},{"family":"Shine","given":"James M."},{"family":"Carson","given":"Richard E."},{"family":"Tuominen","given":"Lauri"},{"family":"Dagher","given":"Alain"},{"family":"Misic","given":"Bratislav"}],"issued":{"date-parts":[["2022",11]]}}},{"id":225,"uris":["http://zotero.org/users/local/YWW7uJeE/items/GZM6M2EI"],"itemData":{"id":225,"type":"article-journal","container-title":"European Journal of Nuclear Medicine and Molecular Imaging","DOI":"10.1007/s00259-015-3167-6","ISSN":"1619-7070, 1619-7089","issue":"1","journalAbbreviation":"Eur J Nucl Med Mol Imaging","language":"en","page":"152-162","source":"DOI.org (Crossref)","title":"Characterization of age/sex and the regional distribution of mGluR5 availability in the healthy human brain measured by high-resolution [11C]ABP688 PET","volume":"43","author":[{"family":"DuBois","given":"Jonathan M."},{"family":"Rousset","given":"Olivier G."},{"family":"Rowley","given":"Jared"},{"family":"Porras-Betancourt","given":"Manuel"},{"family":"Reader","given":"Andrew J."},{"family":"Labbe","given":"Aurelie"},{"family":"Massarweh","given":"Gassan"},{"family":"Soucy","given":"Jean-Paul"},{"family":"Rosa-Neto","given":"Pedro"},{"family":"Kobayashi","given":"Eliane"}],"issued":{"date-parts":[["2016",1]]}}},{"id":226,"uris":["http://zotero.org/users/local/YWW7uJeE/items/97RNHHRI"],"itemData":{"id":226,"type":"article-journal","container-title":"European Journal of Nuclear Medicine and Molecular Imaging","DOI":"10.1007/s00259-018-4252-4","ISSN":"1619-7070, 1619-7089","issue":"5","journalAbbreviation":"Eur J Nucl Med Mol Imaging","language":"en","page":"1179-1183","source":"DOI.org (Crossref)","title":"Sex differences in [11C]ABP688 binding: a positron emission tomography study of mGlu5 receptors","title-short":"Sex differences in [11C]ABP688 binding","volume":"46","author":[{"family":"Smart","given":"Kelly"},{"family":"Cox","given":"Sylvia M. L."},{"family":"Scala","given":"Stephanie G."},{"family":"Tippler","given":"Maria"},{"family":"Jaworska","given":"Natalia"},{"family":"Boivin","given":"Michel"},{"family":"Séguin","given":"Jean R."},{"family":"Benkelfat","given":"Chawki"},{"family":"Leyton","given":"Marco"}],"issued":{"date-parts":[["2019",5]]}}}],"schema":"https://github.com/citation-style-language/schema/raw/master/csl-citation.json"} </w:instrText>
            </w:r>
            <w:r w:rsidRPr="00C10E32">
              <w:rPr>
                <w:rFonts w:ascii="Arial" w:hAnsi="Arial" w:cs="Arial"/>
                <w:sz w:val="24"/>
                <w:szCs w:val="24"/>
                <w:lang w:val="en-US"/>
              </w:rPr>
              <w:fldChar w:fldCharType="separate"/>
            </w:r>
            <w:r w:rsidR="003C6A19" w:rsidRPr="003C6A19">
              <w:rPr>
                <w:rFonts w:ascii="Arial" w:hAnsi="Arial" w:cs="Arial"/>
                <w:sz w:val="24"/>
              </w:rPr>
              <w:t>(20,36,37)</w:t>
            </w:r>
            <w:r w:rsidRPr="00C10E32">
              <w:rPr>
                <w:rFonts w:ascii="Arial" w:hAnsi="Arial" w:cs="Arial"/>
                <w:sz w:val="24"/>
                <w:szCs w:val="24"/>
                <w:lang w:val="en-US"/>
              </w:rPr>
              <w:fldChar w:fldCharType="end"/>
            </w:r>
            <w:r w:rsidRPr="00C10E32">
              <w:rPr>
                <w:rFonts w:ascii="Arial" w:hAnsi="Arial" w:cs="Arial"/>
                <w:sz w:val="24"/>
                <w:szCs w:val="24"/>
                <w:lang w:val="en-US"/>
              </w:rPr>
              <w:t xml:space="preserve"> , NMDA </w:t>
            </w:r>
            <w:r w:rsidRPr="00C10E32">
              <w:rPr>
                <w:rFonts w:ascii="Arial" w:hAnsi="Arial" w:cs="Arial"/>
                <w:sz w:val="24"/>
                <w:szCs w:val="24"/>
                <w:lang w:val="en-US"/>
              </w:rPr>
              <w:fldChar w:fldCharType="begin"/>
            </w:r>
            <w:r w:rsidR="003C6A19">
              <w:rPr>
                <w:rFonts w:ascii="Arial" w:hAnsi="Arial" w:cs="Arial"/>
                <w:sz w:val="24"/>
                <w:szCs w:val="24"/>
                <w:lang w:val="en-US"/>
              </w:rPr>
              <w:instrText xml:space="preserve"> ADDIN ZOTERO_ITEM CSL_CITATION {"citationID":"s5DxF7cu","properties":{"formattedCitation":"(20)","plainCitation":"(20)","noteIndex":0},"citationItems":[{"id":213,"uris":["http://zotero.org/users/local/YWW7uJeE/items/F84VL3SP"],"itemData":{"id":213,"type":"article-journal","abstract":"Abstract\n            Neurotransmitter receptors support the propagation of signals in the human brain. How receptor systems are situated within macro-scale neuroanatomy and how they shape emergent function remain poorly understood, and there exists no comprehensive atlas of receptors. Here we collate positron emission tomography data from more than 1,200 healthy individuals to construct a whole-brain three-dimensional normative atlas of 19 receptors and transporters across nine different neurotransmitter systems. We found that receptor profiles align with structural connectivity and mediate function, including neurophysiological oscillatory dynamics and resting-state hemodynamic functional connectivity. Using the Neurosynth cognitive atlas, we uncovered a topographic gradient of overlapping receptor distributions that separates extrinsic and intrinsic psychological processes. Finally, we found both expected and novel associations between receptor distributions and cortical abnormality patterns across 13 disorders. We replicated all findings in an independently collected autoradiography dataset. This work demonstrates how chemoarchitecture shapes brain structure and function, providing a new direction for studying multi-scale brain organization.","container-title":"Nature Neuroscience","DOI":"10.1038/s41593-022-01186-3","ISSN":"1097-6256, 1546-1726","issue":"11","journalAbbreviation":"Nat Neurosci","language":"en","page":"1569-1581","source":"DOI.org (Crossref)","title":"Mapping neurotransmitter systems to the structural and functional organization of the human neocortex","volume":"25","author":[{"family":"Hansen","given":"Justine Y."},{"family":"Shafiei","given":"Golia"},{"family":"Markello","given":"Ross D."},{"family":"Smart","given":"Kelly"},{"family":"Cox","given":"Sylvia M. L."},{"family":"Nørgaard","given":"Martin"},{"family":"Beliveau","given":"Vincent"},{"family":"Wu","given":"Yanjun"},{"family":"Gallezot","given":"Jean-Dominique"},{"family":"Aumont","given":"Étienne"},{"family":"Servaes","given":"Stijn"},{"family":"Scala","given":"Stephanie G."},{"family":"DuBois","given":"Jonathan M."},{"family":"Wainstein","given":"Gabriel"},{"family":"Bezgin","given":"Gleb"},{"family":"Funck","given":"Thomas"},{"family":"Schmitz","given":"Taylor W."},{"family":"Spreng","given":"R. Nathan"},{"family":"Galovic","given":"Marian"},{"family":"Koepp","given":"Matthias J."},{"family":"Duncan","given":"John S."},{"family":"Coles","given":"Jonathan P."},{"family":"Fryer","given":"Tim D."},{"family":"Aigbirhio","given":"Franklin I."},{"family":"McGinnity","given":"Colm J."},{"family":"Hammers","given":"Alexander"},{"family":"Soucy","given":"Jean-Paul"},{"family":"Baillet","given":"Sylvain"},{"family":"Guimond","given":"Synthia"},{"family":"Hietala","given":"Jarmo"},{"family":"Bedard","given":"Marc-André"},{"family":"Leyton","given":"Marco"},{"family":"Kobayashi","given":"Eliane"},{"family":"Rosa-Neto","given":"Pedro"},{"family":"Ganz","given":"Melanie"},{"family":"Knudsen","given":"Gitte M."},{"family":"Palomero-Gallagher","given":"Nicola"},{"family":"Shine","given":"James M."},{"family":"Carson","given":"Richard E."},{"family":"Tuominen","given":"Lauri"},{"family":"Dagher","given":"Alain"},{"family":"Misic","given":"Bratislav"}],"issued":{"date-parts":[["2022",11]]}}}],"schema":"https://github.com/citation-style-language/schema/raw/master/csl-citation.json"} </w:instrText>
            </w:r>
            <w:r w:rsidRPr="00C10E32">
              <w:rPr>
                <w:rFonts w:ascii="Arial" w:hAnsi="Arial" w:cs="Arial"/>
                <w:sz w:val="24"/>
                <w:szCs w:val="24"/>
                <w:lang w:val="en-US"/>
              </w:rPr>
              <w:fldChar w:fldCharType="separate"/>
            </w:r>
            <w:r w:rsidR="003C6A19" w:rsidRPr="003C6A19">
              <w:rPr>
                <w:rFonts w:ascii="Arial" w:hAnsi="Arial" w:cs="Arial"/>
                <w:sz w:val="24"/>
              </w:rPr>
              <w:t>(20)</w:t>
            </w:r>
            <w:r w:rsidRPr="00C10E32">
              <w:rPr>
                <w:rFonts w:ascii="Arial" w:hAnsi="Arial" w:cs="Arial"/>
                <w:sz w:val="24"/>
                <w:szCs w:val="24"/>
                <w:lang w:val="en-US"/>
              </w:rPr>
              <w:fldChar w:fldCharType="end"/>
            </w:r>
          </w:p>
        </w:tc>
      </w:tr>
      <w:tr w:rsidR="00873F48" w:rsidRPr="00D07411" w:rsidTr="00FC7E6E">
        <w:tc>
          <w:tcPr>
            <w:tcW w:w="2309" w:type="pct"/>
            <w:tcBorders>
              <w:top w:val="nil"/>
              <w:bottom w:val="nil"/>
              <w:right w:val="nil"/>
            </w:tcBorders>
          </w:tcPr>
          <w:p w:rsidR="00873F48" w:rsidRPr="00D07411" w:rsidRDefault="00873F48" w:rsidP="00FC7E6E">
            <w:pPr>
              <w:ind w:firstLine="0"/>
              <w:rPr>
                <w:rFonts w:ascii="Arial" w:hAnsi="Arial" w:cs="Arial"/>
                <w:lang w:val="en-US"/>
              </w:rPr>
            </w:pPr>
            <w:r>
              <w:rPr>
                <w:rFonts w:ascii="Arial" w:hAnsi="Arial" w:cs="Arial"/>
                <w:lang w:val="en-US"/>
              </w:rPr>
              <w:t>serotonin</w:t>
            </w:r>
          </w:p>
        </w:tc>
        <w:tc>
          <w:tcPr>
            <w:tcW w:w="2691" w:type="pct"/>
            <w:tcBorders>
              <w:top w:val="nil"/>
              <w:left w:val="nil"/>
              <w:bottom w:val="nil"/>
              <w:right w:val="nil"/>
            </w:tcBorders>
          </w:tcPr>
          <w:p w:rsidR="00873F48" w:rsidRPr="00D07411" w:rsidRDefault="00873F48" w:rsidP="00FC7E6E">
            <w:pPr>
              <w:ind w:firstLine="0"/>
              <w:rPr>
                <w:rFonts w:ascii="Arial" w:hAnsi="Arial" w:cs="Arial"/>
                <w:lang w:val="en-US"/>
              </w:rPr>
            </w:pPr>
            <w:r w:rsidRPr="00C10E32">
              <w:rPr>
                <w:rFonts w:ascii="Arial" w:hAnsi="Arial" w:cs="Arial"/>
                <w:sz w:val="24"/>
                <w:szCs w:val="24"/>
                <w:lang w:val="en-US"/>
              </w:rPr>
              <w:t xml:space="preserve">5Ht1a </w:t>
            </w:r>
            <w:r w:rsidRPr="00C10E32">
              <w:rPr>
                <w:rFonts w:ascii="Arial" w:hAnsi="Arial" w:cs="Arial"/>
                <w:sz w:val="24"/>
                <w:szCs w:val="24"/>
                <w:lang w:val="en-US"/>
              </w:rPr>
              <w:fldChar w:fldCharType="begin"/>
            </w:r>
            <w:r w:rsidR="003C6A19">
              <w:rPr>
                <w:rFonts w:ascii="Arial" w:hAnsi="Arial" w:cs="Arial"/>
                <w:sz w:val="24"/>
                <w:szCs w:val="24"/>
                <w:lang w:val="en-US"/>
              </w:rPr>
              <w:instrText xml:space="preserve"> ADDIN ZOTERO_ITEM CSL_CITATION {"citationID":"vipfQWXb","properties":{"formattedCitation":"(38,39)","plainCitation":"(38,39)","noteIndex":0},"citationItems":[{"id":227,"uris":["http://zotero.org/users/local/YWW7uJeE/items/DIH2AFIZ"],"itemData":{"id":227,"type":"article-journal","container-title":"NeuroImage","DOI":"10.1016/j.neuroimage.2012.07.001","ISSN":"10538119","issue":"1","journalAbbreviation":"NeuroImage","language":"en","license":"https://www.elsevier.com/tdm/userlicense/1.0/","page":"447-459","source":"DOI.org (Crossref)","title":"Normative database of the serotonergic system in healthy subjects using multi-tracer PET","volume":"63","author":[{"family":"Savli","given":"Markus"},{"family":"Bauer","given":"Andreas"},{"family":"Mitterhauser","given":"Markus"},{"family":"Ding","given":"Yu-Shin"},{"family":"Hahn","given":"Andreas"},{"family":"Kroll","given":"Tina"},{"family":"Neumeister","given":"Alexander"},{"family":"Haeusler","given":"Daniela"},{"family":"Ungersboeck","given":"Johanna"},{"family":"Henry","given":"Shannan"},{"family":"Isfahani","given":"Sanaz Attaripour"},{"family":"Rattay","given":"Frank"},{"family":"Wadsak","given":"Wolfgang"},{"family":"Kasper","given":"Siegfried"},{"family":"Lanzenberger","given":"Rupert"}],"issued":{"date-parts":[["2012",10]]}}},{"id":231,"uris":["http://zotero.org/users/local/YWW7uJeE/items/WSBBCQIV"],"itemData":{"id":231,"type":"article-journal","abstract":"The serotonin (5-hydroxytryptamine, 5-HT) system modulates many important brain functions and is critically involved in many neuropsychiatric disorders. Here, we present a high-resolution, multidimensional,\n              in vivo\n              atlas of four of the human brain's 5-HT receptors (5-HT\n              1A\n              , 5-HT\n              1B\n              , 5-HT\n              2A\n              , and 5-HT\n              4\n              ) and the 5-HT transporter (5-HTT). The atlas is created from molecular and structural high-resolution neuroimaging data consisting of positron emission tomography (PET) and magnetic resonance imaging (MRI) scans acquired in a total of 210 healthy individuals. Comparison of the regional PET binding measures with postmortem human brain autoradiography outcomes showed a high correlation for the five 5-HT targets and this enabled us to transform the atlas to represent protein densities (in picomoles per milliliter). We also assessed the regional association between protein concentration and mRNA expression in the human brain by comparing the 5-HT density across the atlas with data from the Allen Human Brain atlas and identified receptor- and transporter-specific associations that show the regional relation between the two measures. Together, these data provide unparalleled insight into the serotonin system of the human brain.\n            \n            \n              SIGNIFICANCE STATEMENT\n              We present a high-resolution positron emission tomography (PET)- and magnetic resonance imaging-based human brain atlas of important serotonin receptors and the transporter. The regional PET-derived binding measures correlate strongly with the corresponding autoradiography protein levels. The strong correlation enables the transformation of the PET-derived human brain atlas into a protein density map of the serotonin (5-hydroxytryptamine, 5-HT) system. Next, we compared the regional receptor/transporter protein densities with mRNA levels and uncovered unique associations between protein expression and density at high detail. This new\n              in vivo\n              neuroimaging atlas of the 5-HT system not only provides insight in the human brain's regional protein synthesis, transport, and density, but also represents a valuable source of information for the neuroscience community as a comparative instrument to assess brain disorders.","container-title":"The Journal of Neuroscience","DOI":"10.1523/JNEUROSCI.2830-16.2016","ISSN":"0270-6474, 1529-2401","issue":"1","journalAbbreviation":"J. Neurosci.","language":"en","license":"https://creativecommons.org/licenses/by-nc-sa/4.0/","page":"120-128","source":"DOI.org (Crossref)","title":"A High-Resolution &lt;i&gt;In Vivo&lt;/i&gt; Atlas of the Human Brain's Serotonin System","volume":"37","author":[{"family":"Beliveau","given":"Vincent"},{"family":"Ganz","given":"Melanie"},{"family":"Feng","given":"Ling"},{"family":"Ozenne","given":"Brice"},{"family":"Højgaard","given":"Liselotte"},{"family":"Fisher","given":"Patrick M."},{"family":"Svarer","given":"Claus"},{"family":"Greve","given":"Douglas N."},{"family":"Knudsen","given":"Gitte M."}],"issued":{"date-parts":[["2017",1,4]]}}}],"schema":"https://github.com/citation-style-language/schema/raw/master/csl-citation.json"} </w:instrText>
            </w:r>
            <w:r w:rsidRPr="00C10E32">
              <w:rPr>
                <w:rFonts w:ascii="Arial" w:hAnsi="Arial" w:cs="Arial"/>
                <w:sz w:val="24"/>
                <w:szCs w:val="24"/>
                <w:lang w:val="en-US"/>
              </w:rPr>
              <w:fldChar w:fldCharType="separate"/>
            </w:r>
            <w:r w:rsidR="003C6A19" w:rsidRPr="003C6A19">
              <w:rPr>
                <w:rFonts w:ascii="Arial" w:hAnsi="Arial" w:cs="Arial"/>
                <w:sz w:val="24"/>
              </w:rPr>
              <w:t>(38,39)</w:t>
            </w:r>
            <w:r w:rsidRPr="00C10E32">
              <w:rPr>
                <w:rFonts w:ascii="Arial" w:hAnsi="Arial" w:cs="Arial"/>
                <w:sz w:val="24"/>
                <w:szCs w:val="24"/>
                <w:lang w:val="en-US"/>
              </w:rPr>
              <w:fldChar w:fldCharType="end"/>
            </w:r>
            <w:r w:rsidRPr="00C10E32">
              <w:rPr>
                <w:rFonts w:ascii="Arial" w:hAnsi="Arial" w:cs="Arial"/>
                <w:sz w:val="24"/>
                <w:szCs w:val="24"/>
                <w:lang w:val="en-US"/>
              </w:rPr>
              <w:t xml:space="preserve">, 5Ht1b </w:t>
            </w:r>
            <w:r w:rsidRPr="00C10E32">
              <w:rPr>
                <w:rFonts w:ascii="Arial" w:hAnsi="Arial" w:cs="Arial"/>
                <w:sz w:val="24"/>
                <w:szCs w:val="24"/>
                <w:lang w:val="en-US"/>
              </w:rPr>
              <w:fldChar w:fldCharType="begin"/>
            </w:r>
            <w:r w:rsidR="003C6A19">
              <w:rPr>
                <w:rFonts w:ascii="Arial" w:hAnsi="Arial" w:cs="Arial"/>
                <w:sz w:val="24"/>
                <w:szCs w:val="24"/>
                <w:lang w:val="en-US"/>
              </w:rPr>
              <w:instrText xml:space="preserve"> ADDIN ZOTERO_ITEM CSL_CITATION {"citationID":"gd164DS9","properties":{"formattedCitation":"(38\\uc0\\u8211{}40)","plainCitation":"(38–40)","noteIndex":0},"citationItems":[{"id":227,"uris":["http://zotero.org/users/local/YWW7uJeE/items/DIH2AFIZ"],"itemData":{"id":227,"type":"article-journal","container-title":"NeuroImage","DOI":"10.1016/j.neuroimage.2012.07.001","ISSN":"10538119","issue":"1","journalAbbreviation":"NeuroImage","language":"en","license":"https://www.elsevier.com/tdm/userlicense/1.0/","page":"447-459","source":"DOI.org (Crossref)","title":"Normative database of the serotonergic system in healthy subjects using multi-tracer PET","volume":"63","author":[{"family":"Savli","given":"Markus"},{"family":"Bauer","given":"Andreas"},{"family":"Mitterhauser","given":"Markus"},{"family":"Ding","given":"Yu-Shin"},{"family":"Hahn","given":"Andreas"},{"family":"Kroll","given":"Tina"},{"family":"Neumeister","given":"Alexander"},{"family":"Haeusler","given":"Daniela"},{"family":"Ungersboeck","given":"Johanna"},{"family":"Henry","given":"Shannan"},{"family":"Isfahani","given":"Sanaz Attaripour"},{"family":"Rattay","given":"Frank"},{"family":"Wadsak","given":"Wolfgang"},{"family":"Kasper","given":"Siegfried"},{"family":"Lanzenberger","given":"Rupert"}],"issued":{"date-parts":[["2012",10]]}}},{"id":231,"uris":["http://zotero.org/users/local/YWW7uJeE/items/WSBBCQIV"],"itemData":{"id":231,"type":"article-journal","abstract":"The serotonin (5-hydroxytryptamine, 5-HT) system modulates many important brain functions and is critically involved in many neuropsychiatric disorders. Here, we present a high-resolution, multidimensional,\n              in vivo\n              atlas of four of the human brain's 5-HT receptors (5-HT\n              1A\n              , 5-HT\n              1B\n              , 5-HT\n              2A\n              , and 5-HT\n              4\n              ) and the 5-HT transporter (5-HTT). The atlas is created from molecular and structural high-resolution neuroimaging data consisting of positron emission tomography (PET) and magnetic resonance imaging (MRI) scans acquired in a total of 210 healthy individuals. Comparison of the regional PET binding measures with postmortem human brain autoradiography outcomes showed a high correlation for the five 5-HT targets and this enabled us to transform the atlas to represent protein densities (in picomoles per milliliter). We also assessed the regional association between protein concentration and mRNA expression in the human brain by comparing the 5-HT density across the atlas with data from the Allen Human Brain atlas and identified receptor- and transporter-specific associations that show the regional relation between the two measures. Together, these data provide unparalleled insight into the serotonin system of the human brain.\n            \n            \n              SIGNIFICANCE STATEMENT\n              We present a high-resolution positron emission tomography (PET)- and magnetic resonance imaging-based human brain atlas of important serotonin receptors and the transporter. The regional PET-derived binding measures correlate strongly with the corresponding autoradiography protein levels. The strong correlation enables the transformation of the PET-derived human brain atlas into a protein density map of the serotonin (5-hydroxytryptamine, 5-HT) system. Next, we compared the regional receptor/transporter protein densities with mRNA levels and uncovered unique associations between protein expression and density at high detail. This new\n              in vivo\n              neuroimaging atlas of the 5-HT system not only provides insight in the human brain's regional protein synthesis, transport, and density, but also represents a valuable source of information for the neuroscience community as a comparative instrument to assess brain disorders.","container-title":"The Journal of Neuroscience","DOI":"10.1523/JNEUROSCI.2830-16.2016","ISSN":"0270-6474, 1529-2401","issue":"1","journalAbbreviation":"J. Neurosci.","language":"en","license":"https://creativecommons.org/licenses/by-nc-sa/4.0/","page":"120-128","source":"DOI.org (Crossref)","title":"A High-Resolution &lt;i&gt;In Vivo&lt;/i&gt; Atlas of the Human Brain's Serotonin System","volume":"37","author":[{"family":"Beliveau","given":"Vincent"},{"family":"Ganz","given":"Melanie"},{"family":"Feng","given":"Ling"},{"family":"Ozenne","given":"Brice"},{"family":"Højgaard","given":"Liselotte"},{"family":"Fisher","given":"Patrick M."},{"family":"Svarer","given":"Claus"},{"family":"Greve","given":"Douglas N."},{"family":"Knudsen","given":"Gitte M."}],"issued":{"date-parts":[["2017",1,4]]}}},{"id":228,"uris":["http://zotero.org/users/local/YWW7uJeE/items/CIERTTUJ"],"itemData":{"id":228,"type":"article-journal","abstract":"[\n              11\n              C]P943 is a new radioligand recently developed to image and quantify serotonin 5-Hydroxytryptamine (5-HT\n              1B\n              ) receptors with positron emission tomography (PET). The purpose of this study was to evaluate [\n              11\n              C]P943 for this application in humans, and to determine the most suitable quantification method. Positron emission tomography data and arterial input function measurements were acquired in a cohort of 32 human subjects. Using arterial input functions, compartmental modeling, the Logan graphical analysis, and the multilinear method MA1 were tested. Both the two tissue-compartment model and MA1 provided good fits of the PET data and reliable distribution volume estimates. Using the cerebellum as a reference region, BP\n              ND\n              binding potential estimates were computed. [\n              11\n              C]P943 BP\n              ND\n              estimates were significantly correlated with in vitro measurements of the density of 5-HT\n              1B\n              receptors, with highest values in the occipital cortex and pallidum. To evaluate noninvasive methods, two- and three-parameter graphical analyses, Simplified Reference Tissue Models (SRTM and SRTM2), and Multilinear Reference Tissue Models (MRTM and MRTM2) were tested. The MRTM2 model provided the best correlation with MA1 binding-potential estimates. Parametric images of the volume of distribution or binding potential of [\n              11\n              C]P943 could be computed using both MA1 and MRTM2. The results show that [\n              11\n              C]P943 provides quantitative measurements of 5-HT\n              1B\n              binding potential.","container-title":"Journal of Cerebral Blood Flow &amp; Metabolism","DOI":"10.1038/jcbfm.2009.195","ISSN":"0271-678X, 1559-7016","issue":"1","journalAbbreviation":"J Cereb Blood Flow Metab","language":"en","license":"https://journals.sagepub.com/page/policies/text-and-data-mining-license","page":"196-210","source":"DOI.org (Crossref)","title":"Kinetic Modeling of the Serotonin 5-HT&lt;sub&gt;1B&lt;/sub&gt; Receptor Radioligand [&lt;sup&gt;11&lt;/sup&gt; C]P943 in Humans","volume":"30","author":[{"family":"Gallezot","given":"Jean-Dominique"},{"family":"Nabulsi","given":"Nabeel"},{"family":"Neumeister","given":"Alexander"},{"family":"Planeta-Wilson","given":"Beata"},{"family":"Williams","given":"Wendol A"},{"family":"Singhal","given":"Tarun"},{"family":"Kim","given":"Sunhee"},{"family":"Maguire","given":"R Paul"},{"family":"McCarthy","given":"Timothy"},{"family":"Frost","given":"J James"},{"family":"Huang","given":"Yiyun"},{"family":"Ding","given":"Yu-Shin"},{"family":"Carson","given":"Richard E"}],"issued":{"date-parts":[["2010",1]]}}}],"schema":"https://github.com/citation-style-language/schema/raw/master/csl-citation.json"} </w:instrText>
            </w:r>
            <w:r w:rsidRPr="00C10E32">
              <w:rPr>
                <w:rFonts w:ascii="Arial" w:hAnsi="Arial" w:cs="Arial"/>
                <w:sz w:val="24"/>
                <w:szCs w:val="24"/>
                <w:lang w:val="en-US"/>
              </w:rPr>
              <w:fldChar w:fldCharType="separate"/>
            </w:r>
            <w:r w:rsidR="003C6A19" w:rsidRPr="003C6A19">
              <w:rPr>
                <w:rFonts w:ascii="Arial" w:hAnsi="Arial" w:cs="Arial"/>
                <w:sz w:val="24"/>
                <w:szCs w:val="24"/>
              </w:rPr>
              <w:t>(38–40)</w:t>
            </w:r>
            <w:r w:rsidRPr="00C10E32">
              <w:rPr>
                <w:rFonts w:ascii="Arial" w:hAnsi="Arial" w:cs="Arial"/>
                <w:sz w:val="24"/>
                <w:szCs w:val="24"/>
                <w:lang w:val="en-US"/>
              </w:rPr>
              <w:fldChar w:fldCharType="end"/>
            </w:r>
            <w:r w:rsidRPr="00C10E32">
              <w:rPr>
                <w:rFonts w:ascii="Arial" w:hAnsi="Arial" w:cs="Arial"/>
                <w:sz w:val="24"/>
                <w:szCs w:val="24"/>
                <w:lang w:val="en-US"/>
              </w:rPr>
              <w:t xml:space="preserve">, 5HTT </w:t>
            </w:r>
            <w:r w:rsidRPr="00C10E32">
              <w:rPr>
                <w:rFonts w:ascii="Arial" w:hAnsi="Arial" w:cs="Arial"/>
                <w:sz w:val="24"/>
                <w:szCs w:val="24"/>
                <w:lang w:val="en-US"/>
              </w:rPr>
              <w:fldChar w:fldCharType="begin"/>
            </w:r>
            <w:r w:rsidR="003C6A19">
              <w:rPr>
                <w:rFonts w:ascii="Arial" w:hAnsi="Arial" w:cs="Arial"/>
                <w:sz w:val="24"/>
                <w:szCs w:val="24"/>
                <w:lang w:val="en-US"/>
              </w:rPr>
              <w:instrText xml:space="preserve"> ADDIN ZOTERO_ITEM CSL_CITATION {"citationID":"Ty8d2L2J","properties":{"formattedCitation":"(38,39,41)","plainCitation":"(38,39,41)","noteIndex":0},"citationItems":[{"id":227,"uris":["http://zotero.org/users/local/YWW7uJeE/items/DIH2AFIZ"],"itemData":{"id":227,"type":"article-journal","container-title":"NeuroImage","DOI":"10.1016/j.neuroimage.2012.07.001","ISSN":"10538119","issue":"1","journalAbbreviation":"NeuroImage","language":"en","license":"https://www.elsevier.com/tdm/userlicense/1.0/","page":"447-459","source":"DOI.org (Crossref)","title":"Normative database of the serotonergic system in healthy subjects using multi-tracer PET","volume":"63","author":[{"family":"Savli","given":"Markus"},{"family":"Bauer","given":"Andreas"},{"family":"Mitterhauser","given":"Markus"},{"family":"Ding","given":"Yu-Shin"},{"family":"Hahn","given":"Andreas"},{"family":"Kroll","given":"Tina"},{"family":"Neumeister","given":"Alexander"},{"family":"Haeusler","given":"Daniela"},{"family":"Ungersboeck","given":"Johanna"},{"family":"Henry","given":"Shannan"},{"family":"Isfahani","given":"Sanaz Attaripour"},{"family":"Rattay","given":"Frank"},{"family":"Wadsak","given":"Wolfgang"},{"family":"Kasper","given":"Siegfried"},{"family":"Lanzenberger","given":"Rupert"}],"issued":{"date-parts":[["2012",10]]}}},{"id":231,"uris":["http://zotero.org/users/local/YWW7uJeE/items/WSBBCQIV"],"itemData":{"id":231,"type":"article-journal","abstract":"The serotonin (5-hydroxytryptamine, 5-HT) system modulates many important brain functions and is critically involved in many neuropsychiatric disorders. Here, we present a high-resolution, multidimensional,\n              in vivo\n              atlas of four of the human brain's 5-HT receptors (5-HT\n              1A\n              , 5-HT\n              1B\n              , 5-HT\n              2A\n              , and 5-HT\n              4\n              ) and the 5-HT transporter (5-HTT). The atlas is created from molecular and structural high-resolution neuroimaging data consisting of positron emission tomography (PET) and magnetic resonance imaging (MRI) scans acquired in a total of 210 healthy individuals. Comparison of the regional PET binding measures with postmortem human brain autoradiography outcomes showed a high correlation for the five 5-HT targets and this enabled us to transform the atlas to represent protein densities (in picomoles per milliliter). We also assessed the regional association between protein concentration and mRNA expression in the human brain by comparing the 5-HT density across the atlas with data from the Allen Human Brain atlas and identified receptor- and transporter-specific associations that show the regional relation between the two measures. Together, these data provide unparalleled insight into the serotonin system of the human brain.\n            \n            \n              SIGNIFICANCE STATEMENT\n              We present a high-resolution positron emission tomography (PET)- and magnetic resonance imaging-based human brain atlas of important serotonin receptors and the transporter. The regional PET-derived binding measures correlate strongly with the corresponding autoradiography protein levels. The strong correlation enables the transformation of the PET-derived human brain atlas into a protein density map of the serotonin (5-hydroxytryptamine, 5-HT) system. Next, we compared the regional receptor/transporter protein densities with mRNA levels and uncovered unique associations between protein expression and density at high detail. This new\n              in vivo\n              neuroimaging atlas of the 5-HT system not only provides insight in the human brain's regional protein synthesis, transport, and density, but also represents a valuable source of information for the neuroscience community as a comparative instrument to assess brain disorders.","container-title":"The Journal of Neuroscience","DOI":"10.1523/JNEUROSCI.2830-16.2016","ISSN":"0270-6474, 1529-2401","issue":"1","journalAbbreviation":"J. Neurosci.","language":"en","license":"https://creativecommons.org/licenses/by-nc-sa/4.0/","page":"120-128","source":"DOI.org (Crossref)","title":"A High-Resolution &lt;i&gt;In Vivo&lt;/i&gt; Atlas of the Human Brain's Serotonin System","volume":"37","author":[{"family":"Beliveau","given":"Vincent"},{"family":"Ganz","given":"Melanie"},{"family":"Feng","given":"Ling"},{"family":"Ozenne","given":"Brice"},{"family":"Højgaard","given":"Liselotte"},{"family":"Fisher","given":"Patrick M."},{"family":"Svarer","given":"Claus"},{"family":"Greve","given":"Douglas N."},{"family":"Knudsen","given":"Gitte M."}],"issued":{"date-parts":[["2017",1,4]]}}},{"id":239,"uris":["http://zotero.org/users/local/YWW7uJeE/items/EW8A9MHT"],"itemData":{"id":239,"type":"article-journal","container-title":"NeuroImage","DOI":"10.1016/j.neuroimage.2016.03.019","ISSN":"10538119","journalAbbreviation":"NeuroImage","language":"en","page":"313-320","source":"DOI.org (Crossref)","title":"Mapping the distribution of serotonin transporter in the human brainstem with high-resolution PET: Validation using postmortem autoradiography data","title-short":"Mapping the distribution of serotonin transporter in the human brainstem with high-resolution PET","volume":"133","author":[{"family":"Fazio","given":"P."},{"family":"Schain","given":"M."},{"family":"Varnäs","given":"K."},{"family":"Halldin","given":"C."},{"family":"Farde","given":"L."},{"family":"Varrone","given":"A."}],"issued":{"date-parts":[["2016",6]]}}}],"schema":"https://github.com/citation-style-language/schema/raw/master/csl-citation.json"} </w:instrText>
            </w:r>
            <w:r w:rsidRPr="00C10E32">
              <w:rPr>
                <w:rFonts w:ascii="Arial" w:hAnsi="Arial" w:cs="Arial"/>
                <w:sz w:val="24"/>
                <w:szCs w:val="24"/>
                <w:lang w:val="en-US"/>
              </w:rPr>
              <w:fldChar w:fldCharType="separate"/>
            </w:r>
            <w:r w:rsidR="003C6A19" w:rsidRPr="003C6A19">
              <w:rPr>
                <w:rFonts w:ascii="Arial" w:hAnsi="Arial" w:cs="Arial"/>
                <w:sz w:val="24"/>
              </w:rPr>
              <w:t>(38,39,41)</w:t>
            </w:r>
            <w:r w:rsidRPr="00C10E32">
              <w:rPr>
                <w:rFonts w:ascii="Arial" w:hAnsi="Arial" w:cs="Arial"/>
                <w:sz w:val="24"/>
                <w:szCs w:val="24"/>
                <w:lang w:val="en-US"/>
              </w:rPr>
              <w:fldChar w:fldCharType="end"/>
            </w:r>
            <w:r w:rsidRPr="00C10E32">
              <w:rPr>
                <w:rFonts w:ascii="Arial" w:hAnsi="Arial" w:cs="Arial"/>
                <w:sz w:val="24"/>
                <w:szCs w:val="24"/>
                <w:lang w:val="en-US"/>
              </w:rPr>
              <w:t xml:space="preserve">, 5Ht2a </w:t>
            </w:r>
            <w:r w:rsidRPr="00C10E32">
              <w:rPr>
                <w:rFonts w:ascii="Arial" w:hAnsi="Arial" w:cs="Arial"/>
                <w:sz w:val="24"/>
                <w:szCs w:val="24"/>
                <w:lang w:val="en-US"/>
              </w:rPr>
              <w:fldChar w:fldCharType="begin"/>
            </w:r>
            <w:r w:rsidR="003C6A19">
              <w:rPr>
                <w:rFonts w:ascii="Arial" w:hAnsi="Arial" w:cs="Arial"/>
                <w:sz w:val="24"/>
                <w:szCs w:val="24"/>
                <w:lang w:val="en-US"/>
              </w:rPr>
              <w:instrText xml:space="preserve"> ADDIN ZOTERO_ITEM CSL_CITATION {"citationID":"COsJ6gNA","properties":{"formattedCitation":"(38,39)","plainCitation":"(38,39)","noteIndex":0},"citationItems":[{"id":227,"uris":["http://zotero.org/users/local/YWW7uJeE/items/DIH2AFIZ"],"itemData":{"id":227,"type":"article-journal","container-title":"NeuroImage","DOI":"10.1016/j.neuroimage.2012.07.001","ISSN":"10538119","issue":"1","journalAbbreviation":"NeuroImage","language":"en","license":"https://www.elsevier.com/tdm/userlicense/1.0/","page":"447-459","source":"DOI.org (Crossref)","title":"Normative database of the serotonergic system in healthy subjects using multi-tracer PET","volume":"63","author":[{"family":"Savli","given":"Markus"},{"family":"Bauer","given":"Andreas"},{"family":"Mitterhauser","given":"Markus"},{"family":"Ding","given":"Yu-Shin"},{"family":"Hahn","given":"Andreas"},{"family":"Kroll","given":"Tina"},{"family":"Neumeister","given":"Alexander"},{"family":"Haeusler","given":"Daniela"},{"family":"Ungersboeck","given":"Johanna"},{"family":"Henry","given":"Shannan"},{"family":"Isfahani","given":"Sanaz Attaripour"},{"family":"Rattay","given":"Frank"},{"family":"Wadsak","given":"Wolfgang"},{"family":"Kasper","given":"Siegfried"},{"family":"Lanzenberger","given":"Rupert"}],"issued":{"date-parts":[["2012",10]]}}},{"id":231,"uris":["http://zotero.org/users/local/YWW7uJeE/items/WSBBCQIV"],"itemData":{"id":231,"type":"article-journal","abstract":"The serotonin (5-hydroxytryptamine, 5-HT) system modulates many important brain functions and is critically involved in many neuropsychiatric disorders. Here, we present a high-resolution, multidimensional,\n              in vivo\n              atlas of four of the human brain's 5-HT receptors (5-HT\n              1A\n              , 5-HT\n              1B\n              , 5-HT\n              2A\n              , and 5-HT\n              4\n              ) and the 5-HT transporter (5-HTT). The atlas is created from molecular and structural high-resolution neuroimaging data consisting of positron emission tomography (PET) and magnetic resonance imaging (MRI) scans acquired in a total of 210 healthy individuals. Comparison of the regional PET binding measures with postmortem human brain autoradiography outcomes showed a high correlation for the five 5-HT targets and this enabled us to transform the atlas to represent protein densities (in picomoles per milliliter). We also assessed the regional association between protein concentration and mRNA expression in the human brain by comparing the 5-HT density across the atlas with data from the Allen Human Brain atlas and identified receptor- and transporter-specific associations that show the regional relation between the two measures. Together, these data provide unparalleled insight into the serotonin system of the human brain.\n            \n            \n              SIGNIFICANCE STATEMENT\n              We present a high-resolution positron emission tomography (PET)- and magnetic resonance imaging-based human brain atlas of important serotonin receptors and the transporter. The regional PET-derived binding measures correlate strongly with the corresponding autoradiography protein levels. The strong correlation enables the transformation of the PET-derived human brain atlas into a protein density map of the serotonin (5-hydroxytryptamine, 5-HT) system. Next, we compared the regional receptor/transporter protein densities with mRNA levels and uncovered unique associations between protein expression and density at high detail. This new\n              in vivo\n              neuroimaging atlas of the 5-HT system not only provides insight in the human brain's regional protein synthesis, transport, and density, but also represents a valuable source of information for the neuroscience community as a comparative instrument to assess brain disorders.","container-title":"The Journal of Neuroscience","DOI":"10.1523/JNEUROSCI.2830-16.2016","ISSN":"0270-6474, 1529-2401","issue":"1","journalAbbreviation":"J. Neurosci.","language":"en","license":"https://creativecommons.org/licenses/by-nc-sa/4.0/","page":"120-128","source":"DOI.org (Crossref)","title":"A High-Resolution &lt;i&gt;In Vivo&lt;/i&gt; Atlas of the Human Brain's Serotonin System","volume":"37","author":[{"family":"Beliveau","given":"Vincent"},{"family":"Ganz","given":"Melanie"},{"family":"Feng","given":"Ling"},{"family":"Ozenne","given":"Brice"},{"family":"Højgaard","given":"Liselotte"},{"family":"Fisher","given":"Patrick M."},{"family":"Svarer","given":"Claus"},{"family":"Greve","given":"Douglas N."},{"family":"Knudsen","given":"Gitte M."}],"issued":{"date-parts":[["2017",1,4]]}}}],"schema":"https://github.com/citation-style-language/schema/raw/master/csl-citation.json"} </w:instrText>
            </w:r>
            <w:r w:rsidRPr="00C10E32">
              <w:rPr>
                <w:rFonts w:ascii="Arial" w:hAnsi="Arial" w:cs="Arial"/>
                <w:sz w:val="24"/>
                <w:szCs w:val="24"/>
                <w:lang w:val="en-US"/>
              </w:rPr>
              <w:fldChar w:fldCharType="separate"/>
            </w:r>
            <w:r w:rsidR="003C6A19" w:rsidRPr="003C6A19">
              <w:rPr>
                <w:rFonts w:ascii="Arial" w:hAnsi="Arial" w:cs="Arial"/>
                <w:sz w:val="24"/>
              </w:rPr>
              <w:t>(38,39)</w:t>
            </w:r>
            <w:r w:rsidRPr="00C10E32">
              <w:rPr>
                <w:rFonts w:ascii="Arial" w:hAnsi="Arial" w:cs="Arial"/>
                <w:sz w:val="24"/>
                <w:szCs w:val="24"/>
                <w:lang w:val="en-US"/>
              </w:rPr>
              <w:fldChar w:fldCharType="end"/>
            </w:r>
            <w:r w:rsidRPr="00C10E32">
              <w:rPr>
                <w:rFonts w:ascii="Arial" w:hAnsi="Arial" w:cs="Arial"/>
                <w:sz w:val="24"/>
                <w:szCs w:val="24"/>
                <w:lang w:val="en-US"/>
              </w:rPr>
              <w:t xml:space="preserve">, 5Ht6 </w:t>
            </w:r>
            <w:r w:rsidRPr="00C10E32">
              <w:rPr>
                <w:rFonts w:ascii="Arial" w:hAnsi="Arial" w:cs="Arial"/>
                <w:sz w:val="24"/>
                <w:szCs w:val="24"/>
                <w:lang w:val="en-US"/>
              </w:rPr>
              <w:fldChar w:fldCharType="begin"/>
            </w:r>
            <w:r w:rsidR="003C6A19">
              <w:rPr>
                <w:rFonts w:ascii="Arial" w:hAnsi="Arial" w:cs="Arial"/>
                <w:sz w:val="24"/>
                <w:szCs w:val="24"/>
                <w:lang w:val="en-US"/>
              </w:rPr>
              <w:instrText xml:space="preserve"> ADDIN ZOTERO_ITEM CSL_CITATION {"citationID":"RkEUG07R","properties":{"formattedCitation":"(42)","plainCitation":"(42)","noteIndex":0},"citationItems":[{"id":232,"uris":["http://zotero.org/users/local/YWW7uJeE/items/KMVCIJLU"],"itemData":{"id":232,"type":"article-journal","container-title":"Journal of Nuclear Medicine","DOI":"10.2967/jnumed.117.206516","ISSN":"0161-5505, 2159-662X","issue":"9","journalAbbreviation":"J Nucl Med","language":"en","page":"1445-1450","source":"DOI.org (Crossref)","title":"Age-Related Change in 5-HT&lt;sub&gt;6&lt;/sub&gt; Receptor Availability in Healthy Male Volunteers Measured with&lt;sup&gt;11&lt;/sup&gt; C-GSK215083 PET","volume":"59","author":[{"family":"Radhakrishnan","given":"Rajiv"},{"family":"Nabulsi","given":"Nabeel"},{"family":"Gaiser","given":"Edward"},{"family":"Gallezot","given":"Jean-Dominique"},{"family":"Henry","given":"Shannan"},{"family":"Planeta","given":"Beata"},{"family":"Lin","given":"Shu-fei"},{"family":"Ropchan","given":"Jim"},{"family":"Williams","given":"Wendol"},{"family":"Morris","given":"Evan"},{"family":"D’Souza","given":"Deepak Cyril"},{"family":"Huang","given":"Yiyun"},{"family":"Carson","given":"Richard E."},{"family":"Matuskey","given":"David"}],"issued":{"date-parts":[["2018",9]]}}}],"schema":"https://github.com/citation-style-language/schema/raw/master/csl-citation.json"} </w:instrText>
            </w:r>
            <w:r w:rsidRPr="00C10E32">
              <w:rPr>
                <w:rFonts w:ascii="Arial" w:hAnsi="Arial" w:cs="Arial"/>
                <w:sz w:val="24"/>
                <w:szCs w:val="24"/>
                <w:lang w:val="en-US"/>
              </w:rPr>
              <w:fldChar w:fldCharType="separate"/>
            </w:r>
            <w:r w:rsidR="003C6A19" w:rsidRPr="003C6A19">
              <w:rPr>
                <w:rFonts w:ascii="Arial" w:hAnsi="Arial" w:cs="Arial"/>
                <w:sz w:val="24"/>
              </w:rPr>
              <w:t>(42)</w:t>
            </w:r>
            <w:r w:rsidRPr="00C10E32">
              <w:rPr>
                <w:rFonts w:ascii="Arial" w:hAnsi="Arial" w:cs="Arial"/>
                <w:sz w:val="24"/>
                <w:szCs w:val="24"/>
                <w:lang w:val="en-US"/>
              </w:rPr>
              <w:fldChar w:fldCharType="end"/>
            </w:r>
            <w:r w:rsidRPr="00C10E32">
              <w:rPr>
                <w:rFonts w:ascii="Arial" w:hAnsi="Arial" w:cs="Arial"/>
                <w:sz w:val="24"/>
                <w:szCs w:val="24"/>
                <w:lang w:val="en-US"/>
              </w:rPr>
              <w:t xml:space="preserve">, 5Ht4 </w:t>
            </w:r>
            <w:r w:rsidRPr="00C10E32">
              <w:rPr>
                <w:rFonts w:ascii="Arial" w:hAnsi="Arial" w:cs="Arial"/>
                <w:sz w:val="24"/>
                <w:szCs w:val="24"/>
                <w:lang w:val="en-US"/>
              </w:rPr>
              <w:fldChar w:fldCharType="begin"/>
            </w:r>
            <w:r w:rsidR="003C6A19">
              <w:rPr>
                <w:rFonts w:ascii="Arial" w:hAnsi="Arial" w:cs="Arial"/>
                <w:sz w:val="24"/>
                <w:szCs w:val="24"/>
                <w:lang w:val="en-US"/>
              </w:rPr>
              <w:instrText xml:space="preserve"> ADDIN ZOTERO_ITEM CSL_CITATION {"citationID":"BxvM1KKC","properties":{"formattedCitation":"(39)","plainCitation":"(39)","noteIndex":0},"citationItems":[{"id":231,"uris":["http://zotero.org/users/local/YWW7uJeE/items/WSBBCQIV"],"itemData":{"id":231,"type":"article-journal","abstract":"The serotonin (5-hydroxytryptamine, 5-HT) system modulates many important brain functions and is critically involved in many neuropsychiatric disorders. Here, we present a high-resolution, multidimensional,\n              in vivo\n              atlas of four of the human brain's 5-HT receptors (5-HT\n              1A\n              , 5-HT\n              1B\n              , 5-HT\n              2A\n              , and 5-HT\n              4\n              ) and the 5-HT transporter (5-HTT). The atlas is created from molecular and structural high-resolution neuroimaging data consisting of positron emission tomography (PET) and magnetic resonance imaging (MRI) scans acquired in a total of 210 healthy individuals. Comparison of the regional PET binding measures with postmortem human brain autoradiography outcomes showed a high correlation for the five 5-HT targets and this enabled us to transform the atlas to represent protein densities (in picomoles per milliliter). We also assessed the regional association between protein concentration and mRNA expression in the human brain by comparing the 5-HT density across the atlas with data from the Allen Human Brain atlas and identified receptor- and transporter-specific associations that show the regional relation between the two measures. Together, these data provide unparalleled insight into the serotonin system of the human brain.\n            \n            \n              SIGNIFICANCE STATEMENT\n              We present a high-resolution positron emission tomography (PET)- and magnetic resonance imaging-based human brain atlas of important serotonin receptors and the transporter. The regional PET-derived binding measures correlate strongly with the corresponding autoradiography protein levels. The strong correlation enables the transformation of the PET-derived human brain atlas into a protein density map of the serotonin (5-hydroxytryptamine, 5-HT) system. Next, we compared the regional receptor/transporter protein densities with mRNA levels and uncovered unique associations between protein expression and density at high detail. This new\n              in vivo\n              neuroimaging atlas of the 5-HT system not only provides insight in the human brain's regional protein synthesis, transport, and density, but also represents a valuable source of information for the neuroscience community as a comparative instrument to assess brain disorders.","container-title":"The Journal of Neuroscience","DOI":"10.1523/JNEUROSCI.2830-16.2016","ISSN":"0270-6474, 1529-2401","issue":"1","journalAbbreviation":"J. Neurosci.","language":"en","license":"https://creativecommons.org/licenses/by-nc-sa/4.0/","page":"120-128","source":"DOI.org (Crossref)","title":"A High-Resolution &lt;i&gt;In Vivo&lt;/i&gt; Atlas of the Human Brain's Serotonin System","volume":"37","author":[{"family":"Beliveau","given":"Vincent"},{"family":"Ganz","given":"Melanie"},{"family":"Feng","given":"Ling"},{"family":"Ozenne","given":"Brice"},{"family":"Højgaard","given":"Liselotte"},{"family":"Fisher","given":"Patrick M."},{"family":"Svarer","given":"Claus"},{"family":"Greve","given":"Douglas N."},{"family":"Knudsen","given":"Gitte M."}],"issued":{"date-parts":[["2017",1,4]]}}}],"schema":"https://github.com/citation-style-language/schema/raw/master/csl-citation.json"} </w:instrText>
            </w:r>
            <w:r w:rsidRPr="00C10E32">
              <w:rPr>
                <w:rFonts w:ascii="Arial" w:hAnsi="Arial" w:cs="Arial"/>
                <w:sz w:val="24"/>
                <w:szCs w:val="24"/>
                <w:lang w:val="en-US"/>
              </w:rPr>
              <w:fldChar w:fldCharType="separate"/>
            </w:r>
            <w:r w:rsidR="003C6A19" w:rsidRPr="003C6A19">
              <w:rPr>
                <w:rFonts w:ascii="Arial" w:hAnsi="Arial" w:cs="Arial"/>
                <w:sz w:val="24"/>
              </w:rPr>
              <w:t>(39)</w:t>
            </w:r>
            <w:r w:rsidRPr="00C10E32">
              <w:rPr>
                <w:rFonts w:ascii="Arial" w:hAnsi="Arial" w:cs="Arial"/>
                <w:sz w:val="24"/>
                <w:szCs w:val="24"/>
                <w:lang w:val="en-US"/>
              </w:rPr>
              <w:fldChar w:fldCharType="end"/>
            </w:r>
          </w:p>
        </w:tc>
      </w:tr>
      <w:tr w:rsidR="00873F48" w:rsidRPr="00D07411" w:rsidTr="00FC7E6E">
        <w:tc>
          <w:tcPr>
            <w:tcW w:w="2309" w:type="pct"/>
            <w:tcBorders>
              <w:top w:val="nil"/>
              <w:bottom w:val="nil"/>
              <w:right w:val="nil"/>
            </w:tcBorders>
          </w:tcPr>
          <w:p w:rsidR="00873F48" w:rsidRPr="00D07411" w:rsidRDefault="00873F48" w:rsidP="00FC7E6E">
            <w:pPr>
              <w:ind w:firstLine="0"/>
              <w:rPr>
                <w:rFonts w:ascii="Arial" w:hAnsi="Arial" w:cs="Arial"/>
                <w:lang w:val="en-US"/>
              </w:rPr>
            </w:pPr>
            <w:r>
              <w:rPr>
                <w:rFonts w:ascii="Arial" w:hAnsi="Arial" w:cs="Arial"/>
                <w:lang w:val="en-US"/>
              </w:rPr>
              <w:t>GABA</w:t>
            </w:r>
          </w:p>
        </w:tc>
        <w:tc>
          <w:tcPr>
            <w:tcW w:w="2691" w:type="pct"/>
            <w:tcBorders>
              <w:top w:val="nil"/>
              <w:left w:val="nil"/>
              <w:bottom w:val="nil"/>
              <w:right w:val="nil"/>
            </w:tcBorders>
          </w:tcPr>
          <w:p w:rsidR="00873F48" w:rsidRPr="00D07411" w:rsidRDefault="00873F48" w:rsidP="00FC7E6E">
            <w:pPr>
              <w:ind w:firstLine="0"/>
              <w:rPr>
                <w:rFonts w:ascii="Arial" w:hAnsi="Arial" w:cs="Arial"/>
                <w:lang w:val="en-US"/>
              </w:rPr>
            </w:pPr>
            <w:r w:rsidRPr="008E4C0E">
              <w:rPr>
                <w:rFonts w:ascii="Arial" w:hAnsi="Arial" w:cs="Arial"/>
                <w:sz w:val="24"/>
                <w:szCs w:val="24"/>
              </w:rPr>
              <w:t xml:space="preserve">GABAa </w:t>
            </w:r>
            <w:r w:rsidRPr="00C10E32">
              <w:rPr>
                <w:rFonts w:ascii="Arial" w:hAnsi="Arial" w:cs="Arial"/>
                <w:sz w:val="24"/>
                <w:szCs w:val="24"/>
                <w:lang w:val="en-US"/>
              </w:rPr>
              <w:fldChar w:fldCharType="begin"/>
            </w:r>
            <w:r w:rsidR="003C6A19">
              <w:rPr>
                <w:rFonts w:ascii="Arial" w:hAnsi="Arial" w:cs="Arial"/>
                <w:sz w:val="24"/>
                <w:szCs w:val="24"/>
              </w:rPr>
              <w:instrText xml:space="preserve"> ADDIN ZOTERO_ITEM CSL_CITATION {"citationID":"WDDjkYvg","properties":{"formattedCitation":"(28,43)","plainCitation":"(28,43)","noteIndex":0},"citationItems":[{"id":219,"uris":["http://zotero.org/users/local/YWW7uJeE/items/IS7HRERP"],"itemData":{"id":219,"type":"article-journal","abstract":"Abstract\n            \n              Application of metabolic magnetic resonance imaging measures such as cerebral blood flow in translational medicine is limited by the unknown link of observed alterations to specific neurophysiological processes. In particular, the sensitivity of cerebral blood flow to activity changes in specific neurotransmitter systems remains unclear. We address this question by probing cerebral blood flow in healthy volunteers using seven established drugs with known dopaminergic, serotonergic, glutamatergic and GABAergic mechanisms of action. We use a novel framework aimed at disentangling the observed effects to contribution from underlying neurotransmitter systems. We find for all evaluated compounds a reliable spatial link of respective cerebral blood flow changes with underlying neurotransmitter receptor densities corresponding to their primary mechanisms of action. The strength of these associations with receptor density is mediated by respective drug affinities. These findings suggest that cerebral blood flow is a sensitive brain-wide\n              in-vivo\n              assay of metabolic demands across a variety of neurotransmitter systems in humans.","container-title":"Scientific Reports","DOI":"10.1038/s41598-018-22444-0","ISSN":"2045-2322","issue":"1","journalAbbreviation":"Sci Rep","language":"en","page":"4074","source":"DOI.org (Crossref)","title":"Cerebral blood flow predicts differential neurotransmitter activity","volume":"8","author":[{"family":"Dukart","given":"Juergen"},{"family":"Holiga","given":"Štefan"},{"family":"Chatham","given":"Christopher"},{"family":"Hawkins","given":"Peter"},{"family":"Forsyth","given":"Anna"},{"family":"McMillan","given":"Rebecca"},{"family":"Myers","given":"Jim"},{"family":"Lingford-Hughes","given":"Anne R"},{"family":"Nutt","given":"David J"},{"family":"Merlo-Pich","given":"Emilio"},{"family":"Risterucci","given":"Celine"},{"family":"Boak","given":"Lauren"},{"family":"Umbricht","given":"Daniel"},{"family":"Schobel","given":"Scott"},{"family":"Liu","given":"Thomas"},{"family":"Mehta","given":"Mitul A"},{"family":"Zelaya","given":"Fernando O"},{"family":"Williams","given":"Steve C"},{"family":"Brown","given":"Gregory"},{"family":"Paulus","given":"Martin"},{"family":"Honey","given":"Garry D"},{"family":"Muthukumaraswamy","given":"Suresh"},{"family":"Hipp","given":"Joerg"},{"family":"Bertolino","given":"Alessandro"},{"family":"Sambataro","given":"Fabio"}],"issued":{"date-parts":[["2018",3,6]]}}},{"id":233,"uris":["http://zotero.org/users/local/YWW7uJeE/items/7CZLZVQH"],"itemData":{"id":233,"type":"article-journal","container-title":"NeuroImage","DOI":"10.1016/j.neuroimage.2021.117878","ISSN":"10538119","journalAbbreviation":"NeuroImage","language":"en","page":"117878","source":"DOI.org (Crossref)","title":"A high-resolution in vivo atlas of the human brain's benzodiazepine binding site of GABAA receptors","volume":"232","author":[{"family":"Nørgaard","given":"Martin"},{"family":"Beliveau","given":"Vincent"},{"family":"Ganz","given":"Melanie"},{"family":"Svarer","given":"Claus"},{"family":"Pinborg","given":"Lars H"},{"family":"Keller","given":"Sune H"},{"family":"Jensen","given":"Peter S"},{"family":"Greve","given":"Douglas N."},{"family":"Knudsen","given":"Gitte M."}],"issued":{"date-parts":[["2021",5]]}}}],"schema":"https://github.com/citation-style-language/schema/raw/master/csl-citation.json"} </w:instrText>
            </w:r>
            <w:r w:rsidRPr="00C10E32">
              <w:rPr>
                <w:rFonts w:ascii="Arial" w:hAnsi="Arial" w:cs="Arial"/>
                <w:sz w:val="24"/>
                <w:szCs w:val="24"/>
                <w:lang w:val="en-US"/>
              </w:rPr>
              <w:fldChar w:fldCharType="separate"/>
            </w:r>
            <w:r w:rsidR="003C6A19" w:rsidRPr="003C6A19">
              <w:rPr>
                <w:rFonts w:ascii="Arial" w:hAnsi="Arial" w:cs="Arial"/>
                <w:sz w:val="24"/>
              </w:rPr>
              <w:t>(28,43)</w:t>
            </w:r>
            <w:r w:rsidRPr="00C10E32">
              <w:rPr>
                <w:rFonts w:ascii="Arial" w:hAnsi="Arial" w:cs="Arial"/>
                <w:sz w:val="24"/>
                <w:szCs w:val="24"/>
                <w:lang w:val="en-US"/>
              </w:rPr>
              <w:fldChar w:fldCharType="end"/>
            </w:r>
            <w:r w:rsidRPr="008E4C0E">
              <w:rPr>
                <w:rFonts w:ascii="Arial" w:hAnsi="Arial" w:cs="Arial"/>
                <w:sz w:val="24"/>
                <w:szCs w:val="24"/>
              </w:rPr>
              <w:t xml:space="preserve">, GABAa alpha 5 subunit </w:t>
            </w:r>
            <w:r w:rsidRPr="00C10E32">
              <w:rPr>
                <w:rFonts w:ascii="Arial" w:hAnsi="Arial" w:cs="Arial"/>
                <w:sz w:val="24"/>
                <w:szCs w:val="24"/>
                <w:lang w:val="en-US"/>
              </w:rPr>
              <w:fldChar w:fldCharType="begin"/>
            </w:r>
            <w:r w:rsidR="003C6A19">
              <w:rPr>
                <w:rFonts w:ascii="Arial" w:hAnsi="Arial" w:cs="Arial"/>
                <w:sz w:val="24"/>
                <w:szCs w:val="24"/>
              </w:rPr>
              <w:instrText xml:space="preserve"> ADDIN ZOTERO_ITEM CSL_CITATION {"citationID":"nVs6FD7j","properties":{"formattedCitation":"(44)","plainCitation":"(44)","noteIndex":0},"citationItems":[{"id":241,"uris":["http://zotero.org/users/local/YWW7uJeE/items/FPPPRMME"],"itemData":{"id":241,"type":"article-journal","abstract":"Abstract\n            \n              Diverse GABAergic interneuron networks orchestrate information processing in the brain. Understanding the principles underlying the organisation of this system in the human brain, and whether these principles are reflected by available non-invasive in vivo neuroimaging methods, is crucial for the study of GABAergic neurotransmission. Here, we use human gene expression data and state-of-the-art imaging transcriptomics to uncover co-expression patterns between genes encoding GABA\n              A\n              receptor subunits and inhibitory interneuron subtype-specific markers, and their association with binding patterns of the gold-standard GABA PET radiotracers [\n              11\n              C]Ro15-4513 and [\n              11\n              C]flumazenil. We found that the inhibitory interneuron marker somatostatin covaries with GABA\n              A\n              receptor-subunit genes\n              GABRA5\n              and\n              GABRA2\n              , and that their distribution followed [\n              11\n              C]Ro15-4513 binding. In contrast, the inhibitory interneuron marker parvalbumin covaried with GABA\n              A\n              receptor-subunit genes\n              GABRA1\n              ,\n              GABRB2\n              and\n              GABRG2\n              , and their distribution tracked [\n              11\n              C]flumazenil binding. Our findings indicate that existing PET radiotracers may provide complementary information about key components of the GABAergic system.","container-title":"Communications Biology","DOI":"10.1038/s42003-022-03268-1","ISSN":"2399-3642","issue":"1","journalAbbreviation":"Commun Biol","language":"en","page":"372","source":"DOI.org (Crossref)","title":"Cellular and molecular signatures of in vivo imaging measures of GABAergic neurotransmission in the human brain","volume":"5","author":[{"family":"Lukow","given":"Paulina Barbara"},{"family":"Martins","given":"Daniel"},{"family":"Veronese","given":"Mattia"},{"family":"Vernon","given":"Anthony Christopher"},{"family":"McGuire","given":"Philip"},{"family":"Turkheimer","given":"Federico Edoardo"},{"family":"Modinos","given":"Gemma"}],"issued":{"date-parts":[["2022",4,19]]}}}],"schema":"https://github.com/citation-style-language/schema/raw/master/csl-citation.json"} </w:instrText>
            </w:r>
            <w:r w:rsidRPr="00C10E32">
              <w:rPr>
                <w:rFonts w:ascii="Arial" w:hAnsi="Arial" w:cs="Arial"/>
                <w:sz w:val="24"/>
                <w:szCs w:val="24"/>
                <w:lang w:val="en-US"/>
              </w:rPr>
              <w:fldChar w:fldCharType="separate"/>
            </w:r>
            <w:r w:rsidR="003C6A19" w:rsidRPr="003C6A19">
              <w:rPr>
                <w:rFonts w:ascii="Arial" w:hAnsi="Arial" w:cs="Arial"/>
                <w:sz w:val="24"/>
              </w:rPr>
              <w:t>(44)</w:t>
            </w:r>
            <w:r w:rsidRPr="00C10E32">
              <w:rPr>
                <w:rFonts w:ascii="Arial" w:hAnsi="Arial" w:cs="Arial"/>
                <w:sz w:val="24"/>
                <w:szCs w:val="24"/>
                <w:lang w:val="en-US"/>
              </w:rPr>
              <w:fldChar w:fldCharType="end"/>
            </w:r>
          </w:p>
        </w:tc>
      </w:tr>
      <w:tr w:rsidR="00873F48" w:rsidRPr="00D07411" w:rsidTr="00FC7E6E">
        <w:tc>
          <w:tcPr>
            <w:tcW w:w="2309" w:type="pct"/>
            <w:tcBorders>
              <w:top w:val="nil"/>
              <w:bottom w:val="nil"/>
              <w:right w:val="nil"/>
            </w:tcBorders>
          </w:tcPr>
          <w:p w:rsidR="00873F48" w:rsidRPr="00D07411" w:rsidRDefault="00873F48" w:rsidP="00FC7E6E">
            <w:pPr>
              <w:ind w:firstLine="0"/>
              <w:rPr>
                <w:rFonts w:ascii="Arial" w:hAnsi="Arial" w:cs="Arial"/>
                <w:lang w:val="en-US"/>
              </w:rPr>
            </w:pPr>
            <w:r>
              <w:rPr>
                <w:rFonts w:ascii="Arial" w:hAnsi="Arial" w:cs="Arial"/>
                <w:lang w:val="en-US"/>
              </w:rPr>
              <w:t>norepinephrene</w:t>
            </w:r>
          </w:p>
        </w:tc>
        <w:tc>
          <w:tcPr>
            <w:tcW w:w="2691" w:type="pct"/>
            <w:tcBorders>
              <w:top w:val="nil"/>
              <w:left w:val="nil"/>
              <w:bottom w:val="nil"/>
              <w:right w:val="nil"/>
            </w:tcBorders>
          </w:tcPr>
          <w:p w:rsidR="00873F48" w:rsidRPr="00D07411" w:rsidRDefault="00873F48" w:rsidP="00FC7E6E">
            <w:pPr>
              <w:ind w:firstLine="0"/>
              <w:rPr>
                <w:rFonts w:ascii="Arial" w:hAnsi="Arial" w:cs="Arial"/>
                <w:lang w:val="en-US"/>
              </w:rPr>
            </w:pPr>
            <w:r w:rsidRPr="008E4C0E">
              <w:rPr>
                <w:rFonts w:ascii="Arial" w:hAnsi="Arial" w:cs="Arial"/>
                <w:sz w:val="24"/>
                <w:szCs w:val="24"/>
                <w:lang w:val="en-US"/>
              </w:rPr>
              <w:t xml:space="preserve">NET </w:t>
            </w:r>
            <w:r w:rsidRPr="00C10E32">
              <w:rPr>
                <w:rFonts w:ascii="Arial" w:hAnsi="Arial" w:cs="Arial"/>
                <w:sz w:val="24"/>
                <w:szCs w:val="24"/>
                <w:lang w:val="en-US"/>
              </w:rPr>
              <w:fldChar w:fldCharType="begin"/>
            </w:r>
            <w:r w:rsidR="003C6A19">
              <w:rPr>
                <w:rFonts w:ascii="Arial" w:hAnsi="Arial" w:cs="Arial"/>
                <w:sz w:val="24"/>
                <w:szCs w:val="24"/>
                <w:lang w:val="en-US"/>
              </w:rPr>
              <w:instrText xml:space="preserve"> ADDIN ZOTERO_ITEM CSL_CITATION {"citationID":"ByXfwdRO","properties":{"formattedCitation":"(45,46)","plainCitation":"(45,46)","noteIndex":0},"citationItems":[{"id":235,"uris":["http://zotero.org/users/local/YWW7uJeE/items/YDK4FUUT"],"itemData":{"id":235,"type":"article-journal","container-title":"European Journal of Nuclear Medicine and Molecular Imaging","DOI":"10.1007/s00259-016-3590-3","ISSN":"1619-7070, 1619-7089","issue":"6","journalAbbreviation":"Eur J Nucl Med Mol Imaging","language":"en","page":"1056-1064","source":"DOI.org (Crossref)","title":"Central noradrenaline transporter availability in highly obese, non-depressed individuals","volume":"44","author":[{"family":"Hesse","given":"Swen"},{"family":"Becker","given":"Georg-Alexander"},{"family":"Rullmann","given":"Michael"},{"family":"Bresch","given":"Anke"},{"family":"Luthardt","given":"Julia"},{"family":"Hankir","given":"Mohammed K."},{"family":"Zientek","given":"Franziska"},{"family":"Reißig","given":"Georg"},{"family":"Patt","given":"Marianne"},{"family":"Arelin","given":"Katrin"},{"family":"Lobsien","given":"Donald"},{"family":"Müller","given":"Ulrich"},{"family":"Baldofski","given":"S."},{"family":"Meyer","given":"Philipp M."},{"family":"Blüher","given":"Matthias"},{"family":"Fasshauer","given":"Mathias"},{"family":"Fenske","given":"Wiebke K."},{"family":"Stumvoll","given":"Michael"},{"family":"Hilbert","given":"Anja"},{"family":"Ding","given":"Yu-Shin"},{"family":"Sabri","given":"Osama"}],"issued":{"date-parts":[["2017",6]]}}},{"id":234,"uris":["http://zotero.org/users/local/YWW7uJeE/items/C7TSFKV6"],"itemData":{"id":234,"type":"article-journal","container-title":"Synapse","DOI":"10.1002/syn.20696","ISSN":"08874476, 10982396","issue":"1","journalAbbreviation":"Synapse","language":"en","license":"http://doi.wiley.com/10.1002/tdm_license_1.1","page":"30-38","source":"DOI.org (Crossref)","title":"PET imaging of the effects of age and cocaine on the norepinephrine transporter in the human brain using (S,S)-[&lt;sup&gt;11&lt;/sup&gt; C]O-methylreboxetine and HRRT","volume":"64","author":[{"family":"Ding","given":"Yu-Shin"},{"family":"Singhal","given":"Tarun"},{"family":"Planeta-Wilson","given":"Beata"},{"family":"Gallezot","given":"Jean-Dominique"},{"family":"Nabulsi","given":"Nabeel"},{"family":"Labaree","given":"David"},{"family":"Ropchan","given":"Jim"},{"family":"Henry","given":"Shannan"},{"family":"Williams","given":"Wendol"},{"family":"Carson","given":"Richard E."},{"family":"Neumeister","given":"Alexander"},{"family":"Malison","given":"Robert T."}],"issued":{"date-parts":[["2010",1]]}}}],"schema":"https://github.com/citation-style-language/schema/raw/master/csl-citation.json"} </w:instrText>
            </w:r>
            <w:r w:rsidRPr="00C10E32">
              <w:rPr>
                <w:rFonts w:ascii="Arial" w:hAnsi="Arial" w:cs="Arial"/>
                <w:sz w:val="24"/>
                <w:szCs w:val="24"/>
                <w:lang w:val="en-US"/>
              </w:rPr>
              <w:fldChar w:fldCharType="separate"/>
            </w:r>
            <w:r w:rsidR="003C6A19" w:rsidRPr="003C6A19">
              <w:rPr>
                <w:rFonts w:ascii="Arial" w:hAnsi="Arial" w:cs="Arial"/>
                <w:sz w:val="24"/>
              </w:rPr>
              <w:t>(45,46)</w:t>
            </w:r>
            <w:r w:rsidRPr="00C10E32">
              <w:rPr>
                <w:rFonts w:ascii="Arial" w:hAnsi="Arial" w:cs="Arial"/>
                <w:sz w:val="24"/>
                <w:szCs w:val="24"/>
                <w:lang w:val="en-US"/>
              </w:rPr>
              <w:fldChar w:fldCharType="end"/>
            </w:r>
          </w:p>
        </w:tc>
      </w:tr>
      <w:tr w:rsidR="00873F48" w:rsidRPr="00D07411" w:rsidTr="00FC7E6E">
        <w:tc>
          <w:tcPr>
            <w:tcW w:w="2309" w:type="pct"/>
            <w:tcBorders>
              <w:top w:val="nil"/>
              <w:bottom w:val="single" w:sz="4" w:space="0" w:color="auto"/>
              <w:right w:val="nil"/>
            </w:tcBorders>
          </w:tcPr>
          <w:p w:rsidR="00873F48" w:rsidRDefault="00873F48" w:rsidP="00FC7E6E">
            <w:pPr>
              <w:ind w:firstLine="0"/>
              <w:rPr>
                <w:rFonts w:ascii="Arial" w:hAnsi="Arial" w:cs="Arial"/>
                <w:lang w:val="en-US"/>
              </w:rPr>
            </w:pPr>
            <w:r w:rsidRPr="00C10E32">
              <w:rPr>
                <w:rFonts w:ascii="Arial" w:hAnsi="Arial" w:cs="Arial"/>
                <w:sz w:val="24"/>
                <w:szCs w:val="24"/>
                <w:lang w:val="en-US"/>
              </w:rPr>
              <w:t>histamine</w:t>
            </w:r>
          </w:p>
        </w:tc>
        <w:tc>
          <w:tcPr>
            <w:tcW w:w="2691" w:type="pct"/>
            <w:tcBorders>
              <w:top w:val="nil"/>
              <w:left w:val="nil"/>
              <w:bottom w:val="single" w:sz="4" w:space="0" w:color="auto"/>
              <w:right w:val="nil"/>
            </w:tcBorders>
          </w:tcPr>
          <w:p w:rsidR="00873F48" w:rsidRPr="008E4C0E" w:rsidRDefault="00873F48" w:rsidP="00FC7E6E">
            <w:pPr>
              <w:ind w:firstLine="0"/>
              <w:rPr>
                <w:rFonts w:ascii="Arial" w:hAnsi="Arial" w:cs="Arial"/>
                <w:sz w:val="24"/>
                <w:szCs w:val="24"/>
                <w:lang w:val="en-US"/>
              </w:rPr>
            </w:pPr>
            <w:r w:rsidRPr="008E4C0E">
              <w:rPr>
                <w:rFonts w:ascii="Arial" w:hAnsi="Arial" w:cs="Arial"/>
                <w:sz w:val="24"/>
                <w:szCs w:val="24"/>
                <w:lang w:val="en-US"/>
              </w:rPr>
              <w:t xml:space="preserve">H3 </w:t>
            </w:r>
            <w:r w:rsidRPr="00C10E32">
              <w:rPr>
                <w:rFonts w:ascii="Arial" w:hAnsi="Arial" w:cs="Arial"/>
                <w:sz w:val="24"/>
                <w:szCs w:val="24"/>
              </w:rPr>
              <w:fldChar w:fldCharType="begin"/>
            </w:r>
            <w:r w:rsidR="003C6A19">
              <w:rPr>
                <w:rFonts w:ascii="Arial" w:hAnsi="Arial" w:cs="Arial"/>
                <w:sz w:val="24"/>
                <w:szCs w:val="24"/>
                <w:lang w:val="en-US"/>
              </w:rPr>
              <w:instrText xml:space="preserve"> ADDIN ZOTERO_ITEM CSL_CITATION {"citationID":"1N1RQ34g","properties":{"formattedCitation":"(47)","plainCitation":"(47)","noteIndex":0},"citationItems":[{"id":236,"uris":["http://zotero.org/users/local/YWW7uJeE/items/Q2AMTD79"],"itemData":{"id":236,"type":"article-journal","abstract":"Measurements of drug occupancies using positron emission tomography (PET) can be biased if the radioligand concentration exceeds “tracer” levels. Negative bias would also arise in successive PET scans if clearance of the radioligand is slow, resulting in a carryover effect. We developed a method to (1) estimate the in vivo dissociation constant K\n              d\n              of a radioligand from PET studies displaying a non-tracer carryover (NTCO) effect and (2) correct the NTCO bias in occupancy studies taking into account the plasma concentration of the radioligand and its in vivo K\n              d\n              . This method was applied in a study of healthy human subjects with the histamine H\n              3\n              receptor radioligand [\n              11\n              C]GSK189254 to measure the PK-occupancy relationship of the H\n              3\n              antagonist PF-03654746. From three test/retest studies, [\n              11\n              C]GSK189254 K\n              d\n              was estimated to be 9.5 ± 5.9 pM. Oral administration of 0.1 to 4 mg of PF-03654746 resulted in occupancy estimates of 71%–97% and 30%–93% at 3 and 24 h post-drug, respectively. NTCO correction adjusted the occupancy estimates by 0%–15%. Analysis of the relationship between corrected occupancies and PF-03654746 plasma levels indicated that PF-03654746 can fully occupy H\n              3\n              binding sites ( RO\n              max\n               = 100%), and its IC\n              50\n              was estimated to be 0.144 ± 0.010 ng/mL. The uncorrected IC\n              50\n              was 26% higher.","container-title":"Journal of Cerebral Blood Flow &amp; Metabolism","DOI":"10.1177/0271678X16650697","ISSN":"0271-678X, 1559-7016","issue":"3","journalAbbreviation":"J Cereb Blood Flow Metab","language":"en","page":"1095-1107","source":"DOI.org (Crossref)","title":"Determination of receptor occupancy in the presence of mass dose: [&lt;sup&gt;11&lt;/sup&gt; C]GSK189254 PET imaging of histamine H&lt;sub&gt;3&lt;/sub&gt; receptor occupancy by PF-03654746","title-short":"Determination of receptor occupancy in the presence of mass dose","volume":"37","author":[{"family":"Gallezot","given":"Jean-Dominique"},{"family":"Planeta","given":"Beata"},{"family":"Nabulsi","given":"Nabeel"},{"family":"Palumbo","given":"Donna"},{"family":"Li","given":"Xiaoxi"},{"family":"Liu","given":"Jing"},{"family":"Rowinski","given":"Carolyn"},{"family":"Chidsey","given":"Kristin"},{"family":"Labaree","given":"David"},{"family":"Ropchan","given":"Jim"},{"family":"Lin","given":"Shu-Fei"},{"family":"Sawant-Basak","given":"Aarti"},{"family":"McCarthy","given":"Timothy J"},{"family":"Schmidt","given":"Anne W"},{"family":"Huang","given":"Yiyun"},{"family":"Carson","given":"Richard E"}],"issued":{"date-parts":[["2017",3]]}}}],"schema":"https://github.com/citation-style-language/schema/raw/master/csl-citation.json"} </w:instrText>
            </w:r>
            <w:r w:rsidRPr="00C10E32">
              <w:rPr>
                <w:rFonts w:ascii="Arial" w:hAnsi="Arial" w:cs="Arial"/>
                <w:sz w:val="24"/>
                <w:szCs w:val="24"/>
              </w:rPr>
              <w:fldChar w:fldCharType="separate"/>
            </w:r>
            <w:r w:rsidR="003C6A19" w:rsidRPr="003C6A19">
              <w:rPr>
                <w:rFonts w:ascii="Arial" w:hAnsi="Arial" w:cs="Arial"/>
                <w:sz w:val="24"/>
              </w:rPr>
              <w:t>(47)</w:t>
            </w:r>
            <w:r w:rsidRPr="00C10E32">
              <w:rPr>
                <w:rFonts w:ascii="Arial" w:hAnsi="Arial" w:cs="Arial"/>
                <w:sz w:val="24"/>
                <w:szCs w:val="24"/>
              </w:rPr>
              <w:fldChar w:fldCharType="end"/>
            </w:r>
          </w:p>
        </w:tc>
      </w:tr>
    </w:tbl>
    <w:p w:rsidR="00873F48" w:rsidRDefault="00873F48" w:rsidP="00873F48">
      <w:pPr>
        <w:ind w:firstLine="0"/>
        <w:rPr>
          <w:rFonts w:ascii="Arial" w:hAnsi="Arial" w:cs="Arial"/>
          <w:b/>
          <w:sz w:val="24"/>
          <w:szCs w:val="24"/>
          <w:lang w:val="en-US"/>
        </w:rPr>
      </w:pPr>
    </w:p>
    <w:p w:rsidR="00873F48" w:rsidRDefault="00873F48" w:rsidP="00873F48">
      <w:pPr>
        <w:ind w:firstLine="0"/>
        <w:rPr>
          <w:rFonts w:ascii="Arial" w:hAnsi="Arial" w:cs="Arial"/>
          <w:b/>
          <w:sz w:val="24"/>
          <w:szCs w:val="24"/>
          <w:lang w:val="en-US"/>
        </w:rPr>
      </w:pPr>
      <w:r w:rsidRPr="00C35169">
        <w:rPr>
          <w:rFonts w:ascii="Arial" w:hAnsi="Arial" w:cs="Arial"/>
          <w:b/>
          <w:sz w:val="24"/>
          <w:szCs w:val="24"/>
          <w:lang w:val="en-US"/>
        </w:rPr>
        <w:t>Supplementary Figures</w:t>
      </w:r>
    </w:p>
    <w:p w:rsidR="00873F48" w:rsidRDefault="00873F48" w:rsidP="00873F48">
      <w:pPr>
        <w:ind w:firstLine="0"/>
        <w:rPr>
          <w:rFonts w:ascii="Arial" w:hAnsi="Arial" w:cs="Arial"/>
          <w:b/>
          <w:sz w:val="24"/>
          <w:szCs w:val="24"/>
          <w:lang w:val="en-US"/>
        </w:rPr>
      </w:pPr>
      <w:r>
        <w:rPr>
          <w:noProof/>
        </w:rPr>
        <w:drawing>
          <wp:inline distT="0" distB="0" distL="0" distR="0" wp14:anchorId="45AFAE5C" wp14:editId="7FC0CEC4">
            <wp:extent cx="5178425" cy="5721985"/>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78425" cy="5721985"/>
                    </a:xfrm>
                    <a:prstGeom prst="rect">
                      <a:avLst/>
                    </a:prstGeom>
                    <a:noFill/>
                    <a:ln>
                      <a:noFill/>
                    </a:ln>
                  </pic:spPr>
                </pic:pic>
              </a:graphicData>
            </a:graphic>
          </wp:inline>
        </w:drawing>
      </w:r>
    </w:p>
    <w:p w:rsidR="00873F48" w:rsidRPr="00995FD9" w:rsidRDefault="00873F48" w:rsidP="00873F48">
      <w:pPr>
        <w:ind w:firstLine="0"/>
        <w:rPr>
          <w:rFonts w:ascii="Arial" w:hAnsi="Arial" w:cs="Arial"/>
          <w:sz w:val="24"/>
          <w:szCs w:val="24"/>
          <w:lang w:val="en-US"/>
        </w:rPr>
      </w:pPr>
      <w:r w:rsidRPr="00D07411">
        <w:rPr>
          <w:rFonts w:ascii="Arial" w:hAnsi="Arial" w:cs="Arial"/>
          <w:b/>
          <w:sz w:val="24"/>
          <w:szCs w:val="24"/>
          <w:lang w:val="en-US"/>
        </w:rPr>
        <w:t xml:space="preserve">Supplementary Figure </w:t>
      </w:r>
      <w:r>
        <w:rPr>
          <w:rFonts w:ascii="Arial" w:hAnsi="Arial" w:cs="Arial"/>
          <w:b/>
          <w:sz w:val="24"/>
          <w:szCs w:val="24"/>
          <w:lang w:val="en-US"/>
        </w:rPr>
        <w:t xml:space="preserve">1. </w:t>
      </w:r>
      <w:r w:rsidRPr="00995FD9">
        <w:rPr>
          <w:rFonts w:ascii="Arial" w:hAnsi="Arial" w:cs="Arial"/>
          <w:sz w:val="24"/>
          <w:szCs w:val="24"/>
          <w:lang w:val="en-US"/>
        </w:rPr>
        <w:t>Flow chart of exclusion of cases.</w:t>
      </w:r>
    </w:p>
    <w:p w:rsidR="00873F48" w:rsidRPr="00C35169" w:rsidRDefault="00873F48" w:rsidP="00873F48">
      <w:pPr>
        <w:ind w:firstLine="0"/>
        <w:rPr>
          <w:rFonts w:ascii="Arial" w:hAnsi="Arial" w:cs="Arial"/>
          <w:b/>
          <w:sz w:val="24"/>
          <w:szCs w:val="24"/>
          <w:lang w:val="en-US"/>
        </w:rPr>
      </w:pPr>
    </w:p>
    <w:p w:rsidR="00873F48" w:rsidRPr="00D07411" w:rsidRDefault="00873F48" w:rsidP="00873F48">
      <w:pPr>
        <w:ind w:firstLine="0"/>
        <w:rPr>
          <w:rFonts w:ascii="Arial" w:hAnsi="Arial" w:cs="Arial"/>
          <w:lang w:val="en-US"/>
        </w:rPr>
      </w:pPr>
    </w:p>
    <w:p w:rsidR="00873F48" w:rsidRDefault="00873F48" w:rsidP="00873F48">
      <w:pPr>
        <w:ind w:firstLine="0"/>
        <w:rPr>
          <w:rFonts w:ascii="Arial" w:hAnsi="Arial" w:cs="Arial"/>
          <w:b/>
          <w:sz w:val="24"/>
          <w:szCs w:val="24"/>
          <w:lang w:val="en-US"/>
        </w:rPr>
      </w:pPr>
    </w:p>
    <w:p w:rsidR="00873F48" w:rsidRDefault="00873F48" w:rsidP="00873F48">
      <w:pPr>
        <w:ind w:firstLine="0"/>
        <w:rPr>
          <w:rFonts w:ascii="Arial" w:hAnsi="Arial" w:cs="Arial"/>
          <w:b/>
          <w:sz w:val="24"/>
          <w:szCs w:val="24"/>
          <w:lang w:val="en-US"/>
        </w:rPr>
      </w:pPr>
      <w:r>
        <w:rPr>
          <w:noProof/>
        </w:rPr>
        <w:drawing>
          <wp:inline distT="0" distB="0" distL="0" distR="0" wp14:anchorId="22C9431F" wp14:editId="1E20B0F0">
            <wp:extent cx="5760720" cy="4927357"/>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927357"/>
                    </a:xfrm>
                    <a:prstGeom prst="rect">
                      <a:avLst/>
                    </a:prstGeom>
                    <a:noFill/>
                    <a:ln>
                      <a:noFill/>
                    </a:ln>
                  </pic:spPr>
                </pic:pic>
              </a:graphicData>
            </a:graphic>
          </wp:inline>
        </w:drawing>
      </w:r>
    </w:p>
    <w:p w:rsidR="00873F48" w:rsidRDefault="00873F48" w:rsidP="00873F48">
      <w:pPr>
        <w:ind w:firstLine="0"/>
        <w:rPr>
          <w:rFonts w:ascii="Arial" w:hAnsi="Arial" w:cs="Arial"/>
          <w:sz w:val="24"/>
          <w:szCs w:val="24"/>
          <w:lang w:val="en-US"/>
        </w:rPr>
      </w:pPr>
      <w:r w:rsidRPr="00D07411">
        <w:rPr>
          <w:rFonts w:ascii="Arial" w:hAnsi="Arial" w:cs="Arial"/>
          <w:b/>
          <w:sz w:val="24"/>
          <w:szCs w:val="24"/>
          <w:lang w:val="en-US"/>
        </w:rPr>
        <w:t xml:space="preserve">Supplementary Figure </w:t>
      </w:r>
      <w:r>
        <w:rPr>
          <w:rFonts w:ascii="Arial" w:hAnsi="Arial" w:cs="Arial"/>
          <w:b/>
          <w:sz w:val="24"/>
          <w:szCs w:val="24"/>
          <w:lang w:val="en-US"/>
        </w:rPr>
        <w:t>2</w:t>
      </w:r>
      <w:r w:rsidRPr="00D07411">
        <w:rPr>
          <w:rFonts w:ascii="Arial" w:hAnsi="Arial" w:cs="Arial"/>
          <w:b/>
          <w:sz w:val="24"/>
          <w:szCs w:val="24"/>
          <w:lang w:val="en-US"/>
        </w:rPr>
        <w:t xml:space="preserve">. </w:t>
      </w:r>
      <w:r w:rsidRPr="00D07411">
        <w:rPr>
          <w:rFonts w:ascii="Arial" w:hAnsi="Arial" w:cs="Arial"/>
          <w:sz w:val="24"/>
          <w:szCs w:val="24"/>
          <w:lang w:val="en-US"/>
        </w:rPr>
        <w:t>Reference gradients derived from mean FC healthy subjects. (A) Spatial topography of first and second gradient. (B) Gradient scores in the two-dimensional gradient space. (C) Variance explained by gradients. VN = visual network; SMN = somatomotor network; DAN = dorsal attention network; VAN = salience ventral attention network; LN = limbic network; CN = control network; DMN = default mode network.</w:t>
      </w:r>
    </w:p>
    <w:p w:rsidR="00873F48" w:rsidRPr="00D07411" w:rsidRDefault="00873F48" w:rsidP="00873F48">
      <w:pPr>
        <w:ind w:firstLine="0"/>
        <w:rPr>
          <w:rFonts w:ascii="Arial" w:hAnsi="Arial" w:cs="Arial"/>
          <w:color w:val="1F1F1F"/>
          <w:sz w:val="24"/>
          <w:szCs w:val="24"/>
          <w:lang w:val="en-US"/>
        </w:rPr>
      </w:pPr>
    </w:p>
    <w:p w:rsidR="00873F48" w:rsidRDefault="00873F48" w:rsidP="00873F48">
      <w:pPr>
        <w:ind w:firstLine="0"/>
        <w:rPr>
          <w:rFonts w:ascii="Arial" w:hAnsi="Arial" w:cs="Arial"/>
          <w:lang w:val="en-US"/>
        </w:rPr>
      </w:pPr>
      <w:r>
        <w:rPr>
          <w:noProof/>
        </w:rPr>
        <w:lastRenderedPageBreak/>
        <w:drawing>
          <wp:inline distT="0" distB="0" distL="0" distR="0" wp14:anchorId="6730B543" wp14:editId="52A6AF85">
            <wp:extent cx="5760720" cy="57607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873F48" w:rsidRPr="002749A3" w:rsidRDefault="00873F48" w:rsidP="00873F48">
      <w:pPr>
        <w:ind w:firstLine="0"/>
        <w:rPr>
          <w:rFonts w:ascii="Arial" w:hAnsi="Arial" w:cs="Arial"/>
          <w:sz w:val="24"/>
          <w:szCs w:val="24"/>
          <w:lang w:val="en-US"/>
        </w:rPr>
      </w:pPr>
      <w:r w:rsidRPr="002749A3">
        <w:rPr>
          <w:rFonts w:ascii="Arial" w:hAnsi="Arial" w:cs="Arial"/>
          <w:b/>
          <w:sz w:val="24"/>
          <w:szCs w:val="24"/>
          <w:lang w:val="en-US"/>
        </w:rPr>
        <w:t xml:space="preserve">Supplementary Figure 3. </w:t>
      </w:r>
      <w:r w:rsidRPr="002749A3">
        <w:rPr>
          <w:rFonts w:ascii="Arial" w:hAnsi="Arial" w:cs="Arial"/>
          <w:sz w:val="24"/>
          <w:szCs w:val="24"/>
          <w:lang w:val="en-US"/>
        </w:rPr>
        <w:t>Correlations of mean receptor maps with single datasets. Maps of the same neurotransmitter were averaged into a single mean neurotransmitter map. Each map is highly correlated with the mean map. Names indicate the dataset and the used tracer.</w:t>
      </w:r>
    </w:p>
    <w:p w:rsidR="00873F48" w:rsidRDefault="00873F48" w:rsidP="00873F48">
      <w:pPr>
        <w:ind w:firstLine="0"/>
        <w:rPr>
          <w:rFonts w:ascii="Arial" w:hAnsi="Arial" w:cs="Arial"/>
          <w:b/>
          <w:lang w:val="en-US"/>
        </w:rPr>
      </w:pPr>
    </w:p>
    <w:p w:rsidR="00873F48" w:rsidRDefault="00873F48" w:rsidP="00873F48">
      <w:pPr>
        <w:ind w:firstLine="0"/>
        <w:rPr>
          <w:rFonts w:ascii="Arial" w:hAnsi="Arial" w:cs="Arial"/>
          <w:b/>
          <w:lang w:val="en-US"/>
        </w:rPr>
      </w:pPr>
      <w:r>
        <w:rPr>
          <w:noProof/>
        </w:rPr>
        <w:lastRenderedPageBreak/>
        <w:drawing>
          <wp:inline distT="0" distB="0" distL="0" distR="0" wp14:anchorId="5FA85589" wp14:editId="57E648E7">
            <wp:extent cx="4825365" cy="347662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5365" cy="3476625"/>
                    </a:xfrm>
                    <a:prstGeom prst="rect">
                      <a:avLst/>
                    </a:prstGeom>
                    <a:noFill/>
                    <a:ln>
                      <a:noFill/>
                    </a:ln>
                  </pic:spPr>
                </pic:pic>
              </a:graphicData>
            </a:graphic>
          </wp:inline>
        </w:drawing>
      </w:r>
    </w:p>
    <w:p w:rsidR="00873F48" w:rsidRPr="002749A3" w:rsidRDefault="00873F48" w:rsidP="00873F48">
      <w:pPr>
        <w:ind w:firstLine="0"/>
        <w:rPr>
          <w:rFonts w:ascii="Arial" w:hAnsi="Arial" w:cs="Arial"/>
          <w:sz w:val="24"/>
          <w:szCs w:val="24"/>
          <w:lang w:val="en-US"/>
        </w:rPr>
      </w:pPr>
      <w:r w:rsidRPr="002749A3">
        <w:rPr>
          <w:rFonts w:ascii="Arial" w:hAnsi="Arial" w:cs="Arial"/>
          <w:b/>
          <w:sz w:val="24"/>
          <w:szCs w:val="24"/>
          <w:lang w:val="en-US"/>
        </w:rPr>
        <w:t>Supplementary Figure 4.</w:t>
      </w:r>
      <w:r w:rsidRPr="002749A3">
        <w:rPr>
          <w:rFonts w:ascii="Arial" w:hAnsi="Arial" w:cs="Arial"/>
          <w:i/>
          <w:sz w:val="24"/>
          <w:szCs w:val="24"/>
          <w:lang w:val="en-US"/>
        </w:rPr>
        <w:t xml:space="preserve"> </w:t>
      </w:r>
      <w:r w:rsidRPr="002749A3">
        <w:rPr>
          <w:rFonts w:ascii="Arial" w:hAnsi="Arial" w:cs="Arial"/>
          <w:sz w:val="24"/>
          <w:szCs w:val="24"/>
          <w:lang w:val="en-US"/>
        </w:rPr>
        <w:t>Correlation of CPZE and mean VAN values for ROP.</w:t>
      </w:r>
      <w:r w:rsidRPr="002749A3">
        <w:rPr>
          <w:rFonts w:ascii="Arial" w:hAnsi="Arial" w:cs="Arial"/>
          <w:i/>
          <w:sz w:val="24"/>
          <w:szCs w:val="24"/>
          <w:lang w:val="en-US"/>
        </w:rPr>
        <w:t xml:space="preserve"> r</w:t>
      </w:r>
      <w:r w:rsidRPr="002749A3">
        <w:rPr>
          <w:rFonts w:ascii="Arial" w:hAnsi="Arial" w:cs="Arial"/>
          <w:sz w:val="24"/>
          <w:szCs w:val="24"/>
          <w:lang w:val="en-US"/>
        </w:rPr>
        <w:t xml:space="preserve"> = -.04, </w:t>
      </w:r>
      <w:r w:rsidRPr="002749A3">
        <w:rPr>
          <w:rFonts w:ascii="Arial" w:hAnsi="Arial" w:cs="Arial"/>
          <w:i/>
          <w:sz w:val="24"/>
          <w:szCs w:val="24"/>
          <w:lang w:val="en-US"/>
        </w:rPr>
        <w:t>p</w:t>
      </w:r>
      <w:r w:rsidRPr="002749A3">
        <w:rPr>
          <w:rFonts w:ascii="Arial" w:hAnsi="Arial" w:cs="Arial"/>
          <w:sz w:val="24"/>
          <w:szCs w:val="24"/>
          <w:lang w:val="en-US"/>
        </w:rPr>
        <w:t xml:space="preserve"> = .581</w:t>
      </w:r>
      <w:r>
        <w:rPr>
          <w:rFonts w:ascii="Arial" w:hAnsi="Arial" w:cs="Arial"/>
          <w:sz w:val="24"/>
          <w:szCs w:val="24"/>
          <w:lang w:val="en-US"/>
        </w:rPr>
        <w:t>; 7 patients were excluded for this analysis because of depot medication.</w:t>
      </w:r>
    </w:p>
    <w:p w:rsidR="00873F48" w:rsidRDefault="00873F48" w:rsidP="00873F48">
      <w:pPr>
        <w:ind w:firstLine="0"/>
        <w:rPr>
          <w:rFonts w:ascii="Arial" w:hAnsi="Arial" w:cs="Arial"/>
          <w:b/>
          <w:lang w:val="en-US"/>
        </w:rPr>
      </w:pPr>
    </w:p>
    <w:p w:rsidR="00873F48" w:rsidRDefault="00873F48" w:rsidP="00873F48">
      <w:pPr>
        <w:ind w:firstLine="0"/>
        <w:rPr>
          <w:rFonts w:ascii="Arial" w:hAnsi="Arial" w:cs="Arial"/>
          <w:b/>
          <w:lang w:val="en-US"/>
        </w:rPr>
      </w:pPr>
    </w:p>
    <w:p w:rsidR="00873F48" w:rsidRDefault="00873F48" w:rsidP="00873F48">
      <w:pPr>
        <w:ind w:firstLine="0"/>
        <w:rPr>
          <w:rFonts w:ascii="Arial" w:hAnsi="Arial" w:cs="Arial"/>
          <w:b/>
          <w:lang w:val="en-US"/>
        </w:rPr>
      </w:pPr>
      <w:r>
        <w:rPr>
          <w:noProof/>
        </w:rPr>
        <w:lastRenderedPageBreak/>
        <w:drawing>
          <wp:inline distT="0" distB="0" distL="0" distR="0" wp14:anchorId="3887A17B" wp14:editId="464AC42D">
            <wp:extent cx="5760720" cy="5401146"/>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401146"/>
                    </a:xfrm>
                    <a:prstGeom prst="rect">
                      <a:avLst/>
                    </a:prstGeom>
                    <a:noFill/>
                    <a:ln>
                      <a:noFill/>
                    </a:ln>
                  </pic:spPr>
                </pic:pic>
              </a:graphicData>
            </a:graphic>
          </wp:inline>
        </w:drawing>
      </w:r>
    </w:p>
    <w:p w:rsidR="00873F48" w:rsidRPr="002749A3" w:rsidRDefault="00873F48" w:rsidP="00873F48">
      <w:pPr>
        <w:ind w:firstLine="0"/>
        <w:rPr>
          <w:rFonts w:ascii="Arial" w:hAnsi="Arial" w:cs="Arial"/>
          <w:sz w:val="24"/>
          <w:szCs w:val="24"/>
          <w:lang w:val="en-US"/>
        </w:rPr>
      </w:pPr>
      <w:r w:rsidRPr="002749A3">
        <w:rPr>
          <w:rFonts w:ascii="Arial" w:hAnsi="Arial" w:cs="Arial"/>
          <w:b/>
          <w:sz w:val="24"/>
          <w:szCs w:val="24"/>
          <w:lang w:val="en-US"/>
        </w:rPr>
        <w:t xml:space="preserve">Supplementary Figure 5. </w:t>
      </w:r>
      <w:r w:rsidRPr="002749A3">
        <w:rPr>
          <w:rFonts w:ascii="Arial" w:hAnsi="Arial" w:cs="Arial"/>
          <w:sz w:val="24"/>
          <w:szCs w:val="24"/>
          <w:lang w:val="en-US"/>
        </w:rPr>
        <w:t>Similarity of reference gradients with different thresholds.</w:t>
      </w:r>
      <w:r w:rsidRPr="00EB4FA8">
        <w:rPr>
          <w:rFonts w:ascii="Arial" w:hAnsi="Arial" w:cs="Arial"/>
          <w:sz w:val="24"/>
          <w:szCs w:val="24"/>
          <w:lang w:val="en-US"/>
        </w:rPr>
        <w:t xml:space="preserve"> </w:t>
      </w:r>
      <w:r>
        <w:rPr>
          <w:rFonts w:ascii="Arial" w:hAnsi="Arial" w:cs="Arial"/>
          <w:sz w:val="24"/>
          <w:szCs w:val="24"/>
          <w:lang w:val="en-US"/>
        </w:rPr>
        <w:t xml:space="preserve">(A) </w:t>
      </w:r>
      <w:r w:rsidRPr="00D07411">
        <w:rPr>
          <w:rFonts w:ascii="Arial" w:hAnsi="Arial" w:cs="Arial"/>
          <w:sz w:val="24"/>
          <w:szCs w:val="24"/>
          <w:lang w:val="en-US"/>
        </w:rPr>
        <w:t>Spatial topography of first and second gradient</w:t>
      </w:r>
      <w:r>
        <w:rPr>
          <w:rFonts w:ascii="Arial" w:hAnsi="Arial" w:cs="Arial"/>
          <w:sz w:val="24"/>
          <w:szCs w:val="24"/>
          <w:lang w:val="en-US"/>
        </w:rPr>
        <w:t xml:space="preserve"> computed with a threshold of retaining the 20% </w:t>
      </w:r>
      <w:r w:rsidRPr="002749A3">
        <w:rPr>
          <w:rFonts w:ascii="Arial" w:hAnsi="Arial" w:cs="Arial"/>
          <w:sz w:val="24"/>
          <w:szCs w:val="24"/>
          <w:lang w:val="en-US"/>
        </w:rPr>
        <w:t>strongest connections of the functional connectivity matrix before computing the affinity matrix.</w:t>
      </w:r>
      <w:r>
        <w:rPr>
          <w:rFonts w:ascii="Arial" w:hAnsi="Arial" w:cs="Arial"/>
          <w:sz w:val="24"/>
          <w:szCs w:val="24"/>
          <w:lang w:val="en-US"/>
        </w:rPr>
        <w:t xml:space="preserve"> (B)</w:t>
      </w:r>
      <w:r w:rsidRPr="002749A3">
        <w:rPr>
          <w:rFonts w:ascii="Arial" w:hAnsi="Arial" w:cs="Arial"/>
          <w:sz w:val="24"/>
          <w:szCs w:val="24"/>
          <w:lang w:val="en-US"/>
        </w:rPr>
        <w:t xml:space="preserve"> </w:t>
      </w:r>
      <w:r>
        <w:rPr>
          <w:rFonts w:ascii="Arial" w:hAnsi="Arial" w:cs="Arial"/>
          <w:sz w:val="24"/>
          <w:szCs w:val="24"/>
          <w:lang w:val="en-US"/>
        </w:rPr>
        <w:t xml:space="preserve">Correlations of gradients with 10% and 20% thresholds. </w:t>
      </w:r>
      <w:r w:rsidRPr="002749A3">
        <w:rPr>
          <w:rFonts w:ascii="Arial" w:hAnsi="Arial" w:cs="Arial"/>
          <w:sz w:val="24"/>
          <w:szCs w:val="24"/>
          <w:lang w:val="en-US"/>
        </w:rPr>
        <w:t>Reference gradients computed with the 20% threshold are switched in their order, but visual-to-sensorimotor gradients and sensory-to-association gradients show a high correspondence.</w:t>
      </w:r>
    </w:p>
    <w:p w:rsidR="00873F48" w:rsidRDefault="00873F48" w:rsidP="00873F48">
      <w:pPr>
        <w:ind w:firstLine="0"/>
        <w:rPr>
          <w:rFonts w:ascii="Arial" w:hAnsi="Arial" w:cs="Arial"/>
          <w:b/>
          <w:lang w:val="en-US"/>
        </w:rPr>
      </w:pPr>
    </w:p>
    <w:p w:rsidR="00873F48" w:rsidRDefault="00873F48" w:rsidP="00873F48">
      <w:pPr>
        <w:ind w:firstLine="0"/>
        <w:rPr>
          <w:rFonts w:ascii="Arial" w:hAnsi="Arial" w:cs="Arial"/>
          <w:b/>
          <w:lang w:val="en-US"/>
        </w:rPr>
      </w:pPr>
    </w:p>
    <w:p w:rsidR="00873F48" w:rsidRDefault="00873F48" w:rsidP="00873F48">
      <w:pPr>
        <w:ind w:firstLine="0"/>
        <w:rPr>
          <w:rFonts w:ascii="Arial" w:hAnsi="Arial" w:cs="Arial"/>
          <w:b/>
          <w:bCs/>
          <w:sz w:val="24"/>
          <w:szCs w:val="24"/>
          <w:lang w:val="en-US"/>
        </w:rPr>
      </w:pPr>
    </w:p>
    <w:p w:rsidR="00873F48" w:rsidRDefault="00873F48" w:rsidP="00873F48">
      <w:pPr>
        <w:ind w:firstLine="0"/>
        <w:rPr>
          <w:rFonts w:ascii="Arial" w:hAnsi="Arial" w:cs="Arial"/>
          <w:b/>
          <w:bCs/>
          <w:sz w:val="24"/>
          <w:szCs w:val="24"/>
          <w:lang w:val="en-US"/>
        </w:rPr>
      </w:pPr>
    </w:p>
    <w:p w:rsidR="00873F48" w:rsidRDefault="00873F48" w:rsidP="00873F48">
      <w:pPr>
        <w:ind w:firstLine="0"/>
        <w:rPr>
          <w:rFonts w:ascii="Arial" w:hAnsi="Arial" w:cs="Arial"/>
          <w:b/>
          <w:bCs/>
          <w:sz w:val="24"/>
          <w:szCs w:val="24"/>
          <w:lang w:val="en-US"/>
        </w:rPr>
      </w:pPr>
      <w:r>
        <w:rPr>
          <w:noProof/>
        </w:rPr>
        <w:lastRenderedPageBreak/>
        <w:drawing>
          <wp:inline distT="0" distB="0" distL="0" distR="0" wp14:anchorId="3D54B9AE" wp14:editId="76641F0D">
            <wp:extent cx="5760720" cy="4679808"/>
            <wp:effectExtent l="0" t="0" r="0" b="698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679808"/>
                    </a:xfrm>
                    <a:prstGeom prst="rect">
                      <a:avLst/>
                    </a:prstGeom>
                    <a:noFill/>
                    <a:ln>
                      <a:noFill/>
                    </a:ln>
                  </pic:spPr>
                </pic:pic>
              </a:graphicData>
            </a:graphic>
          </wp:inline>
        </w:drawing>
      </w:r>
    </w:p>
    <w:p w:rsidR="00873F48" w:rsidRDefault="00873F48" w:rsidP="00873F48">
      <w:pPr>
        <w:ind w:firstLine="0"/>
        <w:rPr>
          <w:rFonts w:ascii="Arial" w:hAnsi="Arial" w:cs="Arial"/>
          <w:color w:val="000000"/>
          <w:sz w:val="24"/>
          <w:szCs w:val="24"/>
          <w:lang w:val="en-US"/>
        </w:rPr>
      </w:pPr>
      <w:r>
        <w:rPr>
          <w:rFonts w:ascii="Arial" w:hAnsi="Arial" w:cs="Arial"/>
          <w:b/>
          <w:bCs/>
          <w:sz w:val="24"/>
          <w:szCs w:val="24"/>
          <w:lang w:val="en-US"/>
        </w:rPr>
        <w:t xml:space="preserve">Supplementary Figure 6. </w:t>
      </w:r>
      <w:r w:rsidRPr="00D11AA4">
        <w:rPr>
          <w:rFonts w:ascii="Arial" w:hAnsi="Arial" w:cs="Arial"/>
          <w:bCs/>
          <w:sz w:val="24"/>
          <w:szCs w:val="24"/>
          <w:lang w:val="en-US"/>
        </w:rPr>
        <w:t>Association of clinical variables with gradient measures for CHR-P patients.</w:t>
      </w:r>
      <w:r>
        <w:rPr>
          <w:rFonts w:ascii="Arial" w:eastAsia="Times New Roman" w:hAnsi="Arial" w:cs="Arial"/>
          <w:sz w:val="24"/>
          <w:szCs w:val="24"/>
          <w:lang w:val="en-US" w:eastAsia="de-DE"/>
        </w:rPr>
        <w:t xml:space="preserve"> Asterisks</w:t>
      </w:r>
      <w:r w:rsidRPr="00D07411">
        <w:rPr>
          <w:rFonts w:ascii="Arial" w:eastAsia="Times New Roman" w:hAnsi="Arial" w:cs="Arial"/>
          <w:sz w:val="24"/>
          <w:szCs w:val="24"/>
          <w:lang w:val="en-US" w:eastAsia="de-DE"/>
        </w:rPr>
        <w:t xml:space="preserve"> indicate significant </w:t>
      </w:r>
      <w:r>
        <w:rPr>
          <w:rFonts w:ascii="Arial" w:eastAsia="Times New Roman" w:hAnsi="Arial" w:cs="Arial"/>
          <w:sz w:val="24"/>
          <w:szCs w:val="24"/>
          <w:lang w:val="en-US" w:eastAsia="de-DE"/>
        </w:rPr>
        <w:t xml:space="preserve">correlations </w:t>
      </w:r>
      <w:r w:rsidRPr="00D07411">
        <w:rPr>
          <w:rFonts w:ascii="Arial" w:eastAsia="Times New Roman" w:hAnsi="Arial" w:cs="Arial"/>
          <w:sz w:val="24"/>
          <w:szCs w:val="24"/>
          <w:lang w:val="en-US" w:eastAsia="de-DE"/>
        </w:rPr>
        <w:t xml:space="preserve">after </w:t>
      </w:r>
      <w:r>
        <w:rPr>
          <w:rFonts w:ascii="Arial" w:eastAsia="Times New Roman" w:hAnsi="Arial" w:cs="Arial"/>
          <w:sz w:val="24"/>
          <w:szCs w:val="24"/>
          <w:lang w:val="en-US" w:eastAsia="de-DE"/>
        </w:rPr>
        <w:t>FDR-</w:t>
      </w:r>
      <w:r w:rsidRPr="00D07411">
        <w:rPr>
          <w:rFonts w:ascii="Arial" w:eastAsia="Times New Roman" w:hAnsi="Arial" w:cs="Arial"/>
          <w:sz w:val="24"/>
          <w:szCs w:val="24"/>
          <w:lang w:val="en-US" w:eastAsia="de-DE"/>
        </w:rPr>
        <w:t>correction</w:t>
      </w:r>
      <w:r>
        <w:rPr>
          <w:rFonts w:ascii="Arial" w:eastAsia="Times New Roman" w:hAnsi="Arial" w:cs="Arial"/>
          <w:sz w:val="24"/>
          <w:szCs w:val="24"/>
          <w:lang w:val="en-US" w:eastAsia="de-DE"/>
        </w:rPr>
        <w:t>; *</w:t>
      </w:r>
      <w:r w:rsidRPr="00D07411">
        <w:rPr>
          <w:rFonts w:ascii="Arial" w:eastAsia="Times New Roman" w:hAnsi="Arial" w:cs="Arial"/>
          <w:sz w:val="24"/>
          <w:szCs w:val="24"/>
          <w:lang w:val="en-US" w:eastAsia="de-DE"/>
        </w:rPr>
        <w:t xml:space="preserve"> </w:t>
      </w:r>
      <w:r w:rsidRPr="00D07411">
        <w:rPr>
          <w:rFonts w:ascii="Arial" w:eastAsia="Times New Roman" w:hAnsi="Arial" w:cs="Arial"/>
          <w:i/>
          <w:sz w:val="24"/>
          <w:szCs w:val="24"/>
          <w:lang w:val="en-US" w:eastAsia="de-DE"/>
        </w:rPr>
        <w:t>p</w:t>
      </w:r>
      <w:r w:rsidRPr="00D07411">
        <w:rPr>
          <w:rFonts w:ascii="Arial" w:eastAsia="Times New Roman" w:hAnsi="Arial" w:cs="Arial"/>
          <w:sz w:val="24"/>
          <w:szCs w:val="24"/>
          <w:vertAlign w:val="subscript"/>
          <w:lang w:val="en-US" w:eastAsia="de-DE"/>
        </w:rPr>
        <w:t>FDR</w:t>
      </w:r>
      <w:r w:rsidRPr="00D07411">
        <w:rPr>
          <w:rFonts w:ascii="Arial" w:eastAsia="Times New Roman" w:hAnsi="Arial" w:cs="Arial"/>
          <w:sz w:val="24"/>
          <w:szCs w:val="24"/>
          <w:lang w:val="en-US" w:eastAsia="de-DE"/>
        </w:rPr>
        <w:t xml:space="preserve"> &lt; .05.</w:t>
      </w:r>
      <w:r w:rsidRPr="00D07411">
        <w:rPr>
          <w:rFonts w:ascii="Arial" w:hAnsi="Arial" w:cs="Arial"/>
          <w:sz w:val="24"/>
          <w:szCs w:val="24"/>
          <w:lang w:val="en-US"/>
        </w:rPr>
        <w:t xml:space="preserve"> (A) Correlations of within-network dispersion with clinical variables. (B) Correlations of between-network dispersion with clinical variables. (C) Correlations of mean-network values of gradient 1 with clinical variables. (D) Correlations of mean-network values of gradient 2 with clinical variables. </w:t>
      </w:r>
      <w:r>
        <w:rPr>
          <w:rFonts w:ascii="Arial" w:hAnsi="Arial" w:cs="Arial"/>
          <w:color w:val="000000"/>
          <w:sz w:val="24"/>
          <w:szCs w:val="24"/>
          <w:lang w:val="en-US"/>
        </w:rPr>
        <w:t xml:space="preserve">Attn = attention; BDI = Becks Depression Inventory; </w:t>
      </w:r>
      <w:r w:rsidRPr="00D07411">
        <w:rPr>
          <w:rFonts w:ascii="Arial" w:hAnsi="Arial" w:cs="Arial"/>
          <w:color w:val="000000"/>
          <w:sz w:val="24"/>
          <w:szCs w:val="24"/>
          <w:lang w:val="en-US"/>
        </w:rPr>
        <w:t xml:space="preserve">CN = </w:t>
      </w:r>
      <w:r>
        <w:rPr>
          <w:rFonts w:ascii="Arial" w:hAnsi="Arial" w:cs="Arial"/>
          <w:color w:val="000000"/>
          <w:sz w:val="24"/>
          <w:szCs w:val="24"/>
          <w:lang w:val="en-US"/>
        </w:rPr>
        <w:t>c</w:t>
      </w:r>
      <w:r w:rsidRPr="00D07411">
        <w:rPr>
          <w:rFonts w:ascii="Arial" w:hAnsi="Arial" w:cs="Arial"/>
          <w:color w:val="000000"/>
          <w:sz w:val="24"/>
          <w:szCs w:val="24"/>
          <w:lang w:val="en-US"/>
        </w:rPr>
        <w:t>ontrol network;</w:t>
      </w:r>
      <w:r>
        <w:rPr>
          <w:rFonts w:ascii="Arial" w:hAnsi="Arial" w:cs="Arial"/>
          <w:color w:val="000000"/>
          <w:sz w:val="24"/>
          <w:szCs w:val="24"/>
          <w:lang w:val="en-US"/>
        </w:rPr>
        <w:t xml:space="preserve"> Cog total = cognition total score;</w:t>
      </w:r>
      <w:r w:rsidRPr="00D07411">
        <w:rPr>
          <w:rFonts w:ascii="Arial" w:hAnsi="Arial" w:cs="Arial"/>
          <w:color w:val="000000"/>
          <w:sz w:val="24"/>
          <w:szCs w:val="24"/>
          <w:lang w:val="en-US"/>
        </w:rPr>
        <w:t xml:space="preserve"> DAN = dorsal attention network; DMN = default-mode network; </w:t>
      </w:r>
      <w:r>
        <w:rPr>
          <w:rFonts w:ascii="Arial" w:hAnsi="Arial" w:cs="Arial"/>
          <w:color w:val="000000"/>
          <w:sz w:val="24"/>
          <w:szCs w:val="24"/>
          <w:lang w:val="en-US"/>
        </w:rPr>
        <w:t xml:space="preserve">GAF DI = Global Assessment of Functioning Disability; GAF S = Global Assessment of Functioning Symptoms; GF R = Global Functioning Role Scale; GF S = Global Functioning Social Scale; </w:t>
      </w:r>
      <w:r w:rsidRPr="00D07411">
        <w:rPr>
          <w:rFonts w:ascii="Arial" w:hAnsi="Arial" w:cs="Arial"/>
          <w:color w:val="000000"/>
          <w:sz w:val="24"/>
          <w:szCs w:val="24"/>
          <w:lang w:val="en-US"/>
        </w:rPr>
        <w:t xml:space="preserve">LN = limbic network; </w:t>
      </w:r>
      <w:r>
        <w:rPr>
          <w:rFonts w:ascii="Arial" w:hAnsi="Arial" w:cs="Arial"/>
          <w:color w:val="000000"/>
          <w:sz w:val="24"/>
          <w:szCs w:val="24"/>
          <w:lang w:val="en-US"/>
        </w:rPr>
        <w:t xml:space="preserve">Soc Cog = social cognition; SoP = speed of processing; </w:t>
      </w:r>
      <w:r w:rsidRPr="00D07411">
        <w:rPr>
          <w:rFonts w:ascii="Arial" w:hAnsi="Arial" w:cs="Arial"/>
          <w:color w:val="000000"/>
          <w:sz w:val="24"/>
          <w:szCs w:val="24"/>
          <w:lang w:val="en-US"/>
        </w:rPr>
        <w:t>SMN = somatomotor network; VAN = ventral attention network;</w:t>
      </w:r>
      <w:r>
        <w:rPr>
          <w:rFonts w:ascii="Arial" w:hAnsi="Arial" w:cs="Arial"/>
          <w:color w:val="000000"/>
          <w:sz w:val="24"/>
          <w:szCs w:val="24"/>
          <w:lang w:val="en-US"/>
        </w:rPr>
        <w:t xml:space="preserve"> VerLrn = verbal learning; </w:t>
      </w:r>
      <w:r w:rsidRPr="00D07411">
        <w:rPr>
          <w:rFonts w:ascii="Arial" w:hAnsi="Arial" w:cs="Arial"/>
          <w:color w:val="000000"/>
          <w:sz w:val="24"/>
          <w:szCs w:val="24"/>
          <w:lang w:val="en-US"/>
        </w:rPr>
        <w:t xml:space="preserve"> </w:t>
      </w:r>
      <w:r>
        <w:rPr>
          <w:rFonts w:ascii="Arial" w:hAnsi="Arial" w:cs="Arial"/>
          <w:color w:val="000000"/>
          <w:sz w:val="24"/>
          <w:szCs w:val="24"/>
          <w:lang w:val="en-US"/>
        </w:rPr>
        <w:t xml:space="preserve">VisDys = visual dysfunctions; </w:t>
      </w:r>
      <w:r w:rsidRPr="00D07411">
        <w:rPr>
          <w:rFonts w:ascii="Arial" w:hAnsi="Arial" w:cs="Arial"/>
          <w:color w:val="000000"/>
          <w:sz w:val="24"/>
          <w:szCs w:val="24"/>
          <w:lang w:val="en-US"/>
        </w:rPr>
        <w:t>VN = visual network</w:t>
      </w:r>
      <w:r>
        <w:rPr>
          <w:rFonts w:ascii="Arial" w:hAnsi="Arial" w:cs="Arial"/>
          <w:color w:val="000000"/>
          <w:sz w:val="24"/>
          <w:szCs w:val="24"/>
          <w:lang w:val="en-US"/>
        </w:rPr>
        <w:t>;</w:t>
      </w:r>
      <w:r w:rsidRPr="003E2F88">
        <w:rPr>
          <w:rFonts w:ascii="Arial" w:hAnsi="Arial" w:cs="Arial"/>
          <w:color w:val="000000"/>
          <w:sz w:val="24"/>
          <w:szCs w:val="24"/>
          <w:lang w:val="en-US"/>
        </w:rPr>
        <w:t xml:space="preserve"> </w:t>
      </w:r>
      <w:r>
        <w:rPr>
          <w:rFonts w:ascii="Arial" w:hAnsi="Arial" w:cs="Arial"/>
          <w:color w:val="000000"/>
          <w:sz w:val="24"/>
          <w:szCs w:val="24"/>
          <w:lang w:val="en-US"/>
        </w:rPr>
        <w:t>WM = working memory.</w:t>
      </w:r>
    </w:p>
    <w:p w:rsidR="00873F48" w:rsidRDefault="00873F48" w:rsidP="00873F48">
      <w:pPr>
        <w:ind w:firstLine="0"/>
        <w:rPr>
          <w:rFonts w:ascii="Arial" w:hAnsi="Arial" w:cs="Arial"/>
          <w:color w:val="000000"/>
          <w:sz w:val="24"/>
          <w:szCs w:val="24"/>
          <w:lang w:val="en-US"/>
        </w:rPr>
      </w:pPr>
    </w:p>
    <w:p w:rsidR="00873F48" w:rsidRDefault="00873F48" w:rsidP="00873F48">
      <w:pPr>
        <w:ind w:firstLine="0"/>
        <w:rPr>
          <w:rFonts w:ascii="Arial" w:hAnsi="Arial" w:cs="Arial"/>
          <w:b/>
          <w:lang w:val="en-US"/>
        </w:rPr>
      </w:pPr>
    </w:p>
    <w:p w:rsidR="00873F48" w:rsidRDefault="00873F48" w:rsidP="00873F48">
      <w:pPr>
        <w:ind w:firstLine="0"/>
        <w:rPr>
          <w:rFonts w:ascii="Arial" w:hAnsi="Arial" w:cs="Arial"/>
          <w:b/>
          <w:lang w:val="en-US"/>
        </w:rPr>
      </w:pPr>
    </w:p>
    <w:p w:rsidR="00873F48" w:rsidRDefault="00873F48" w:rsidP="00873F48">
      <w:pPr>
        <w:ind w:firstLine="0"/>
        <w:rPr>
          <w:rFonts w:ascii="Arial" w:hAnsi="Arial" w:cs="Arial"/>
          <w:b/>
          <w:bCs/>
          <w:sz w:val="24"/>
          <w:szCs w:val="24"/>
          <w:lang w:val="en-US"/>
        </w:rPr>
      </w:pPr>
    </w:p>
    <w:p w:rsidR="00873F48" w:rsidRDefault="00873F48" w:rsidP="00873F48">
      <w:pPr>
        <w:ind w:firstLine="0"/>
        <w:rPr>
          <w:rFonts w:ascii="Arial" w:hAnsi="Arial" w:cs="Arial"/>
          <w:b/>
          <w:bCs/>
          <w:sz w:val="24"/>
          <w:szCs w:val="24"/>
          <w:lang w:val="en-US"/>
        </w:rPr>
      </w:pPr>
      <w:r>
        <w:rPr>
          <w:noProof/>
        </w:rPr>
        <w:drawing>
          <wp:inline distT="0" distB="0" distL="0" distR="0" wp14:anchorId="7A082390" wp14:editId="2549569B">
            <wp:extent cx="5760720" cy="4679808"/>
            <wp:effectExtent l="0" t="0" r="0" b="698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679808"/>
                    </a:xfrm>
                    <a:prstGeom prst="rect">
                      <a:avLst/>
                    </a:prstGeom>
                    <a:noFill/>
                    <a:ln>
                      <a:noFill/>
                    </a:ln>
                  </pic:spPr>
                </pic:pic>
              </a:graphicData>
            </a:graphic>
          </wp:inline>
        </w:drawing>
      </w:r>
    </w:p>
    <w:p w:rsidR="00873F48" w:rsidRDefault="00873F48" w:rsidP="00873F48">
      <w:pPr>
        <w:ind w:firstLine="0"/>
        <w:rPr>
          <w:rFonts w:ascii="Arial" w:hAnsi="Arial" w:cs="Arial"/>
          <w:color w:val="000000"/>
          <w:sz w:val="24"/>
          <w:szCs w:val="24"/>
          <w:lang w:val="en-US"/>
        </w:rPr>
      </w:pPr>
      <w:r>
        <w:rPr>
          <w:rFonts w:ascii="Arial" w:hAnsi="Arial" w:cs="Arial"/>
          <w:b/>
          <w:bCs/>
          <w:sz w:val="24"/>
          <w:szCs w:val="24"/>
          <w:lang w:val="en-US"/>
        </w:rPr>
        <w:t xml:space="preserve">Supplementary Figure 7. </w:t>
      </w:r>
      <w:r w:rsidRPr="00D11AA4">
        <w:rPr>
          <w:rFonts w:ascii="Arial" w:hAnsi="Arial" w:cs="Arial"/>
          <w:bCs/>
          <w:sz w:val="24"/>
          <w:szCs w:val="24"/>
          <w:lang w:val="en-US"/>
        </w:rPr>
        <w:t xml:space="preserve">Association of clinical variables with gradient measures for </w:t>
      </w:r>
      <w:r>
        <w:rPr>
          <w:rFonts w:ascii="Arial" w:hAnsi="Arial" w:cs="Arial"/>
          <w:bCs/>
          <w:sz w:val="24"/>
          <w:szCs w:val="24"/>
          <w:lang w:val="en-US"/>
        </w:rPr>
        <w:t>ROD</w:t>
      </w:r>
      <w:r w:rsidRPr="00D11AA4">
        <w:rPr>
          <w:rFonts w:ascii="Arial" w:hAnsi="Arial" w:cs="Arial"/>
          <w:bCs/>
          <w:sz w:val="24"/>
          <w:szCs w:val="24"/>
          <w:lang w:val="en-US"/>
        </w:rPr>
        <w:t xml:space="preserve"> patients.</w:t>
      </w:r>
      <w:r>
        <w:rPr>
          <w:rFonts w:ascii="Arial" w:eastAsia="Times New Roman" w:hAnsi="Arial" w:cs="Arial"/>
          <w:sz w:val="24"/>
          <w:szCs w:val="24"/>
          <w:lang w:val="en-US" w:eastAsia="de-DE"/>
        </w:rPr>
        <w:t xml:space="preserve"> Asterisks</w:t>
      </w:r>
      <w:r w:rsidRPr="00D07411">
        <w:rPr>
          <w:rFonts w:ascii="Arial" w:eastAsia="Times New Roman" w:hAnsi="Arial" w:cs="Arial"/>
          <w:sz w:val="24"/>
          <w:szCs w:val="24"/>
          <w:lang w:val="en-US" w:eastAsia="de-DE"/>
        </w:rPr>
        <w:t xml:space="preserve"> indicate significant </w:t>
      </w:r>
      <w:r>
        <w:rPr>
          <w:rFonts w:ascii="Arial" w:eastAsia="Times New Roman" w:hAnsi="Arial" w:cs="Arial"/>
          <w:sz w:val="24"/>
          <w:szCs w:val="24"/>
          <w:lang w:val="en-US" w:eastAsia="de-DE"/>
        </w:rPr>
        <w:t xml:space="preserve">correlations </w:t>
      </w:r>
      <w:r w:rsidRPr="00D07411">
        <w:rPr>
          <w:rFonts w:ascii="Arial" w:eastAsia="Times New Roman" w:hAnsi="Arial" w:cs="Arial"/>
          <w:sz w:val="24"/>
          <w:szCs w:val="24"/>
          <w:lang w:val="en-US" w:eastAsia="de-DE"/>
        </w:rPr>
        <w:t xml:space="preserve">after </w:t>
      </w:r>
      <w:r>
        <w:rPr>
          <w:rFonts w:ascii="Arial" w:eastAsia="Times New Roman" w:hAnsi="Arial" w:cs="Arial"/>
          <w:sz w:val="24"/>
          <w:szCs w:val="24"/>
          <w:lang w:val="en-US" w:eastAsia="de-DE"/>
        </w:rPr>
        <w:t>FDR-</w:t>
      </w:r>
      <w:r w:rsidRPr="00D07411">
        <w:rPr>
          <w:rFonts w:ascii="Arial" w:eastAsia="Times New Roman" w:hAnsi="Arial" w:cs="Arial"/>
          <w:sz w:val="24"/>
          <w:szCs w:val="24"/>
          <w:lang w:val="en-US" w:eastAsia="de-DE"/>
        </w:rPr>
        <w:t>correction</w:t>
      </w:r>
      <w:r>
        <w:rPr>
          <w:rFonts w:ascii="Arial" w:eastAsia="Times New Roman" w:hAnsi="Arial" w:cs="Arial"/>
          <w:sz w:val="24"/>
          <w:szCs w:val="24"/>
          <w:lang w:val="en-US" w:eastAsia="de-DE"/>
        </w:rPr>
        <w:t>; *</w:t>
      </w:r>
      <w:r w:rsidRPr="00D07411">
        <w:rPr>
          <w:rFonts w:ascii="Arial" w:eastAsia="Times New Roman" w:hAnsi="Arial" w:cs="Arial"/>
          <w:sz w:val="24"/>
          <w:szCs w:val="24"/>
          <w:lang w:val="en-US" w:eastAsia="de-DE"/>
        </w:rPr>
        <w:t xml:space="preserve"> </w:t>
      </w:r>
      <w:r w:rsidRPr="00D07411">
        <w:rPr>
          <w:rFonts w:ascii="Arial" w:eastAsia="Times New Roman" w:hAnsi="Arial" w:cs="Arial"/>
          <w:i/>
          <w:sz w:val="24"/>
          <w:szCs w:val="24"/>
          <w:lang w:val="en-US" w:eastAsia="de-DE"/>
        </w:rPr>
        <w:t>p</w:t>
      </w:r>
      <w:r w:rsidRPr="00D07411">
        <w:rPr>
          <w:rFonts w:ascii="Arial" w:eastAsia="Times New Roman" w:hAnsi="Arial" w:cs="Arial"/>
          <w:sz w:val="24"/>
          <w:szCs w:val="24"/>
          <w:vertAlign w:val="subscript"/>
          <w:lang w:val="en-US" w:eastAsia="de-DE"/>
        </w:rPr>
        <w:t>FDR</w:t>
      </w:r>
      <w:r w:rsidRPr="00D07411">
        <w:rPr>
          <w:rFonts w:ascii="Arial" w:eastAsia="Times New Roman" w:hAnsi="Arial" w:cs="Arial"/>
          <w:sz w:val="24"/>
          <w:szCs w:val="24"/>
          <w:lang w:val="en-US" w:eastAsia="de-DE"/>
        </w:rPr>
        <w:t xml:space="preserve"> &lt; .05.</w:t>
      </w:r>
      <w:r w:rsidRPr="00D07411">
        <w:rPr>
          <w:rFonts w:ascii="Arial" w:hAnsi="Arial" w:cs="Arial"/>
          <w:sz w:val="24"/>
          <w:szCs w:val="24"/>
          <w:lang w:val="en-US"/>
        </w:rPr>
        <w:t xml:space="preserve"> (A) Correlations of within-network dispersion with clinical variables. (B) Correlations of between-network dispersion with clinical variables. (C) Correlations of mean-network values of gradient 1 with clinical variables. (D) Correlations of mean-network values of gradient 2 with clinical variables. </w:t>
      </w:r>
      <w:r>
        <w:rPr>
          <w:rFonts w:ascii="Arial" w:hAnsi="Arial" w:cs="Arial"/>
          <w:color w:val="000000"/>
          <w:sz w:val="24"/>
          <w:szCs w:val="24"/>
          <w:lang w:val="en-US"/>
        </w:rPr>
        <w:t xml:space="preserve">Attn = attention; BDI = Becks Depression Inventory; </w:t>
      </w:r>
      <w:r w:rsidRPr="00D07411">
        <w:rPr>
          <w:rFonts w:ascii="Arial" w:hAnsi="Arial" w:cs="Arial"/>
          <w:color w:val="000000"/>
          <w:sz w:val="24"/>
          <w:szCs w:val="24"/>
          <w:lang w:val="en-US"/>
        </w:rPr>
        <w:t xml:space="preserve">CN = </w:t>
      </w:r>
      <w:r>
        <w:rPr>
          <w:rFonts w:ascii="Arial" w:hAnsi="Arial" w:cs="Arial"/>
          <w:color w:val="000000"/>
          <w:sz w:val="24"/>
          <w:szCs w:val="24"/>
          <w:lang w:val="en-US"/>
        </w:rPr>
        <w:t>c</w:t>
      </w:r>
      <w:r w:rsidRPr="00D07411">
        <w:rPr>
          <w:rFonts w:ascii="Arial" w:hAnsi="Arial" w:cs="Arial"/>
          <w:color w:val="000000"/>
          <w:sz w:val="24"/>
          <w:szCs w:val="24"/>
          <w:lang w:val="en-US"/>
        </w:rPr>
        <w:t>ontrol network;</w:t>
      </w:r>
      <w:r>
        <w:rPr>
          <w:rFonts w:ascii="Arial" w:hAnsi="Arial" w:cs="Arial"/>
          <w:color w:val="000000"/>
          <w:sz w:val="24"/>
          <w:szCs w:val="24"/>
          <w:lang w:val="en-US"/>
        </w:rPr>
        <w:t xml:space="preserve"> Cog total = cognition total score;</w:t>
      </w:r>
      <w:r w:rsidRPr="00D07411">
        <w:rPr>
          <w:rFonts w:ascii="Arial" w:hAnsi="Arial" w:cs="Arial"/>
          <w:color w:val="000000"/>
          <w:sz w:val="24"/>
          <w:szCs w:val="24"/>
          <w:lang w:val="en-US"/>
        </w:rPr>
        <w:t xml:space="preserve"> DAN = dorsal attention network; DMN = default-mode network; </w:t>
      </w:r>
      <w:r>
        <w:rPr>
          <w:rFonts w:ascii="Arial" w:hAnsi="Arial" w:cs="Arial"/>
          <w:color w:val="000000"/>
          <w:sz w:val="24"/>
          <w:szCs w:val="24"/>
          <w:lang w:val="en-US"/>
        </w:rPr>
        <w:t xml:space="preserve">GAF DI = Global Assessment of Functioning Disability; GAF S = Global Assessment of Functioning Symptoms; GF R = Global Functioning Role Scale; GF S = Global Functioning Social Scale; </w:t>
      </w:r>
      <w:r w:rsidRPr="00D07411">
        <w:rPr>
          <w:rFonts w:ascii="Arial" w:hAnsi="Arial" w:cs="Arial"/>
          <w:color w:val="000000"/>
          <w:sz w:val="24"/>
          <w:szCs w:val="24"/>
          <w:lang w:val="en-US"/>
        </w:rPr>
        <w:t xml:space="preserve">LN = limbic network; </w:t>
      </w:r>
      <w:r>
        <w:rPr>
          <w:rFonts w:ascii="Arial" w:hAnsi="Arial" w:cs="Arial"/>
          <w:color w:val="000000"/>
          <w:sz w:val="24"/>
          <w:szCs w:val="24"/>
          <w:lang w:val="en-US"/>
        </w:rPr>
        <w:t xml:space="preserve">Soc Cog = social cognition; SoP = speed of processing; </w:t>
      </w:r>
      <w:r w:rsidRPr="00D07411">
        <w:rPr>
          <w:rFonts w:ascii="Arial" w:hAnsi="Arial" w:cs="Arial"/>
          <w:color w:val="000000"/>
          <w:sz w:val="24"/>
          <w:szCs w:val="24"/>
          <w:lang w:val="en-US"/>
        </w:rPr>
        <w:t>SMN = somatomotor network; VAN = ventral attention network;</w:t>
      </w:r>
      <w:r>
        <w:rPr>
          <w:rFonts w:ascii="Arial" w:hAnsi="Arial" w:cs="Arial"/>
          <w:color w:val="000000"/>
          <w:sz w:val="24"/>
          <w:szCs w:val="24"/>
          <w:lang w:val="en-US"/>
        </w:rPr>
        <w:t xml:space="preserve"> VerLrn = verbal learning; </w:t>
      </w:r>
      <w:r w:rsidRPr="00D07411">
        <w:rPr>
          <w:rFonts w:ascii="Arial" w:hAnsi="Arial" w:cs="Arial"/>
          <w:color w:val="000000"/>
          <w:sz w:val="24"/>
          <w:szCs w:val="24"/>
          <w:lang w:val="en-US"/>
        </w:rPr>
        <w:t xml:space="preserve"> </w:t>
      </w:r>
      <w:r>
        <w:rPr>
          <w:rFonts w:ascii="Arial" w:hAnsi="Arial" w:cs="Arial"/>
          <w:color w:val="000000"/>
          <w:sz w:val="24"/>
          <w:szCs w:val="24"/>
          <w:lang w:val="en-US"/>
        </w:rPr>
        <w:t xml:space="preserve">VisDys = visual dysfunctions; </w:t>
      </w:r>
      <w:r w:rsidRPr="00D07411">
        <w:rPr>
          <w:rFonts w:ascii="Arial" w:hAnsi="Arial" w:cs="Arial"/>
          <w:color w:val="000000"/>
          <w:sz w:val="24"/>
          <w:szCs w:val="24"/>
          <w:lang w:val="en-US"/>
        </w:rPr>
        <w:t>VN = visual network</w:t>
      </w:r>
      <w:r>
        <w:rPr>
          <w:rFonts w:ascii="Arial" w:hAnsi="Arial" w:cs="Arial"/>
          <w:color w:val="000000"/>
          <w:sz w:val="24"/>
          <w:szCs w:val="24"/>
          <w:lang w:val="en-US"/>
        </w:rPr>
        <w:t>;</w:t>
      </w:r>
      <w:r w:rsidRPr="003E2F88">
        <w:rPr>
          <w:rFonts w:ascii="Arial" w:hAnsi="Arial" w:cs="Arial"/>
          <w:color w:val="000000"/>
          <w:sz w:val="24"/>
          <w:szCs w:val="24"/>
          <w:lang w:val="en-US"/>
        </w:rPr>
        <w:t xml:space="preserve"> </w:t>
      </w:r>
      <w:r>
        <w:rPr>
          <w:rFonts w:ascii="Arial" w:hAnsi="Arial" w:cs="Arial"/>
          <w:color w:val="000000"/>
          <w:sz w:val="24"/>
          <w:szCs w:val="24"/>
          <w:lang w:val="en-US"/>
        </w:rPr>
        <w:t>WM = working memory.</w:t>
      </w:r>
    </w:p>
    <w:p w:rsidR="00873F48" w:rsidRDefault="00873F48" w:rsidP="00873F48">
      <w:pPr>
        <w:ind w:firstLine="0"/>
        <w:rPr>
          <w:rFonts w:ascii="Arial" w:hAnsi="Arial" w:cs="Arial"/>
          <w:b/>
          <w:lang w:val="en-US"/>
        </w:rPr>
      </w:pPr>
    </w:p>
    <w:p w:rsidR="00873F48" w:rsidRDefault="00873F48" w:rsidP="00873F48">
      <w:pPr>
        <w:ind w:firstLine="0"/>
        <w:rPr>
          <w:rFonts w:ascii="Arial" w:hAnsi="Arial" w:cs="Arial"/>
          <w:b/>
          <w:lang w:val="en-US"/>
        </w:rPr>
      </w:pPr>
    </w:p>
    <w:p w:rsidR="00873F48" w:rsidRDefault="00873F48" w:rsidP="00873F48">
      <w:pPr>
        <w:ind w:firstLine="0"/>
        <w:rPr>
          <w:rFonts w:ascii="Arial" w:hAnsi="Arial" w:cs="Arial"/>
          <w:b/>
          <w:bCs/>
          <w:sz w:val="24"/>
          <w:szCs w:val="24"/>
          <w:lang w:val="en-US"/>
        </w:rPr>
      </w:pPr>
    </w:p>
    <w:p w:rsidR="00873F48" w:rsidRDefault="00873F48" w:rsidP="00873F48">
      <w:pPr>
        <w:ind w:firstLine="0"/>
        <w:rPr>
          <w:rFonts w:ascii="Arial" w:hAnsi="Arial" w:cs="Arial"/>
          <w:b/>
          <w:bCs/>
          <w:sz w:val="24"/>
          <w:szCs w:val="24"/>
          <w:lang w:val="en-US"/>
        </w:rPr>
      </w:pPr>
      <w:r>
        <w:rPr>
          <w:noProof/>
        </w:rPr>
        <w:drawing>
          <wp:inline distT="0" distB="0" distL="0" distR="0" wp14:anchorId="098C4590" wp14:editId="65556334">
            <wp:extent cx="5760720" cy="4679808"/>
            <wp:effectExtent l="0" t="0" r="0" b="698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679808"/>
                    </a:xfrm>
                    <a:prstGeom prst="rect">
                      <a:avLst/>
                    </a:prstGeom>
                    <a:noFill/>
                    <a:ln>
                      <a:noFill/>
                    </a:ln>
                  </pic:spPr>
                </pic:pic>
              </a:graphicData>
            </a:graphic>
          </wp:inline>
        </w:drawing>
      </w:r>
    </w:p>
    <w:p w:rsidR="00873F48" w:rsidRDefault="00873F48" w:rsidP="00873F48">
      <w:pPr>
        <w:ind w:firstLine="0"/>
        <w:rPr>
          <w:rFonts w:ascii="Arial" w:hAnsi="Arial" w:cs="Arial"/>
          <w:color w:val="000000"/>
          <w:sz w:val="24"/>
          <w:szCs w:val="24"/>
          <w:lang w:val="en-US"/>
        </w:rPr>
      </w:pPr>
      <w:r>
        <w:rPr>
          <w:rFonts w:ascii="Arial" w:hAnsi="Arial" w:cs="Arial"/>
          <w:b/>
          <w:bCs/>
          <w:sz w:val="24"/>
          <w:szCs w:val="24"/>
          <w:lang w:val="en-US"/>
        </w:rPr>
        <w:t xml:space="preserve">Supplementary Figure 8. </w:t>
      </w:r>
      <w:r w:rsidRPr="00D11AA4">
        <w:rPr>
          <w:rFonts w:ascii="Arial" w:hAnsi="Arial" w:cs="Arial"/>
          <w:bCs/>
          <w:sz w:val="24"/>
          <w:szCs w:val="24"/>
          <w:lang w:val="en-US"/>
        </w:rPr>
        <w:t xml:space="preserve">Association of clinical variables with gradient measures for </w:t>
      </w:r>
      <w:r>
        <w:rPr>
          <w:rFonts w:ascii="Arial" w:hAnsi="Arial" w:cs="Arial"/>
          <w:bCs/>
          <w:sz w:val="24"/>
          <w:szCs w:val="24"/>
          <w:lang w:val="en-US"/>
        </w:rPr>
        <w:t>ROP</w:t>
      </w:r>
      <w:r w:rsidRPr="00D11AA4">
        <w:rPr>
          <w:rFonts w:ascii="Arial" w:hAnsi="Arial" w:cs="Arial"/>
          <w:bCs/>
          <w:sz w:val="24"/>
          <w:szCs w:val="24"/>
          <w:lang w:val="en-US"/>
        </w:rPr>
        <w:t xml:space="preserve"> patients.</w:t>
      </w:r>
      <w:r>
        <w:rPr>
          <w:rFonts w:ascii="Arial" w:eastAsia="Times New Roman" w:hAnsi="Arial" w:cs="Arial"/>
          <w:sz w:val="24"/>
          <w:szCs w:val="24"/>
          <w:lang w:val="en-US" w:eastAsia="de-DE"/>
        </w:rPr>
        <w:t xml:space="preserve"> Asterisks</w:t>
      </w:r>
      <w:r w:rsidRPr="00D07411">
        <w:rPr>
          <w:rFonts w:ascii="Arial" w:eastAsia="Times New Roman" w:hAnsi="Arial" w:cs="Arial"/>
          <w:sz w:val="24"/>
          <w:szCs w:val="24"/>
          <w:lang w:val="en-US" w:eastAsia="de-DE"/>
        </w:rPr>
        <w:t xml:space="preserve"> indicate significant </w:t>
      </w:r>
      <w:r>
        <w:rPr>
          <w:rFonts w:ascii="Arial" w:eastAsia="Times New Roman" w:hAnsi="Arial" w:cs="Arial"/>
          <w:sz w:val="24"/>
          <w:szCs w:val="24"/>
          <w:lang w:val="en-US" w:eastAsia="de-DE"/>
        </w:rPr>
        <w:t xml:space="preserve">correlations </w:t>
      </w:r>
      <w:r w:rsidRPr="00D07411">
        <w:rPr>
          <w:rFonts w:ascii="Arial" w:eastAsia="Times New Roman" w:hAnsi="Arial" w:cs="Arial"/>
          <w:sz w:val="24"/>
          <w:szCs w:val="24"/>
          <w:lang w:val="en-US" w:eastAsia="de-DE"/>
        </w:rPr>
        <w:t xml:space="preserve">after </w:t>
      </w:r>
      <w:r>
        <w:rPr>
          <w:rFonts w:ascii="Arial" w:eastAsia="Times New Roman" w:hAnsi="Arial" w:cs="Arial"/>
          <w:sz w:val="24"/>
          <w:szCs w:val="24"/>
          <w:lang w:val="en-US" w:eastAsia="de-DE"/>
        </w:rPr>
        <w:t>FDR-</w:t>
      </w:r>
      <w:r w:rsidRPr="00D07411">
        <w:rPr>
          <w:rFonts w:ascii="Arial" w:eastAsia="Times New Roman" w:hAnsi="Arial" w:cs="Arial"/>
          <w:sz w:val="24"/>
          <w:szCs w:val="24"/>
          <w:lang w:val="en-US" w:eastAsia="de-DE"/>
        </w:rPr>
        <w:t>correction</w:t>
      </w:r>
      <w:r>
        <w:rPr>
          <w:rFonts w:ascii="Arial" w:eastAsia="Times New Roman" w:hAnsi="Arial" w:cs="Arial"/>
          <w:sz w:val="24"/>
          <w:szCs w:val="24"/>
          <w:lang w:val="en-US" w:eastAsia="de-DE"/>
        </w:rPr>
        <w:t>; *</w:t>
      </w:r>
      <w:r w:rsidRPr="00D07411">
        <w:rPr>
          <w:rFonts w:ascii="Arial" w:eastAsia="Times New Roman" w:hAnsi="Arial" w:cs="Arial"/>
          <w:sz w:val="24"/>
          <w:szCs w:val="24"/>
          <w:lang w:val="en-US" w:eastAsia="de-DE"/>
        </w:rPr>
        <w:t xml:space="preserve"> </w:t>
      </w:r>
      <w:r w:rsidRPr="00D07411">
        <w:rPr>
          <w:rFonts w:ascii="Arial" w:eastAsia="Times New Roman" w:hAnsi="Arial" w:cs="Arial"/>
          <w:i/>
          <w:sz w:val="24"/>
          <w:szCs w:val="24"/>
          <w:lang w:val="en-US" w:eastAsia="de-DE"/>
        </w:rPr>
        <w:t>p</w:t>
      </w:r>
      <w:r w:rsidRPr="00D07411">
        <w:rPr>
          <w:rFonts w:ascii="Arial" w:eastAsia="Times New Roman" w:hAnsi="Arial" w:cs="Arial"/>
          <w:sz w:val="24"/>
          <w:szCs w:val="24"/>
          <w:vertAlign w:val="subscript"/>
          <w:lang w:val="en-US" w:eastAsia="de-DE"/>
        </w:rPr>
        <w:t>FDR</w:t>
      </w:r>
      <w:r w:rsidRPr="00D07411">
        <w:rPr>
          <w:rFonts w:ascii="Arial" w:eastAsia="Times New Roman" w:hAnsi="Arial" w:cs="Arial"/>
          <w:sz w:val="24"/>
          <w:szCs w:val="24"/>
          <w:lang w:val="en-US" w:eastAsia="de-DE"/>
        </w:rPr>
        <w:t xml:space="preserve"> &lt; .05.</w:t>
      </w:r>
      <w:r w:rsidRPr="00D07411">
        <w:rPr>
          <w:rFonts w:ascii="Arial" w:hAnsi="Arial" w:cs="Arial"/>
          <w:sz w:val="24"/>
          <w:szCs w:val="24"/>
          <w:lang w:val="en-US"/>
        </w:rPr>
        <w:t xml:space="preserve"> (A) Correlations of within-network dispersion with clinical variables. (B) Correlations of between-network dispersion with clinical variables. (C) Correlations of mean-network values of gradient 1 with clinical variables. (D) Correlations of mean-network values of gradient 2 with clinical variables. </w:t>
      </w:r>
      <w:r>
        <w:rPr>
          <w:rFonts w:ascii="Arial" w:hAnsi="Arial" w:cs="Arial"/>
          <w:color w:val="000000"/>
          <w:sz w:val="24"/>
          <w:szCs w:val="24"/>
          <w:lang w:val="en-US"/>
        </w:rPr>
        <w:t xml:space="preserve">Attn = attention; BDI = Becks Depression Inventory; </w:t>
      </w:r>
      <w:r w:rsidRPr="00D07411">
        <w:rPr>
          <w:rFonts w:ascii="Arial" w:hAnsi="Arial" w:cs="Arial"/>
          <w:color w:val="000000"/>
          <w:sz w:val="24"/>
          <w:szCs w:val="24"/>
          <w:lang w:val="en-US"/>
        </w:rPr>
        <w:t xml:space="preserve">CN = </w:t>
      </w:r>
      <w:r>
        <w:rPr>
          <w:rFonts w:ascii="Arial" w:hAnsi="Arial" w:cs="Arial"/>
          <w:color w:val="000000"/>
          <w:sz w:val="24"/>
          <w:szCs w:val="24"/>
          <w:lang w:val="en-US"/>
        </w:rPr>
        <w:t>c</w:t>
      </w:r>
      <w:r w:rsidRPr="00D07411">
        <w:rPr>
          <w:rFonts w:ascii="Arial" w:hAnsi="Arial" w:cs="Arial"/>
          <w:color w:val="000000"/>
          <w:sz w:val="24"/>
          <w:szCs w:val="24"/>
          <w:lang w:val="en-US"/>
        </w:rPr>
        <w:t>ontrol network;</w:t>
      </w:r>
      <w:r>
        <w:rPr>
          <w:rFonts w:ascii="Arial" w:hAnsi="Arial" w:cs="Arial"/>
          <w:color w:val="000000"/>
          <w:sz w:val="24"/>
          <w:szCs w:val="24"/>
          <w:lang w:val="en-US"/>
        </w:rPr>
        <w:t xml:space="preserve"> Cog total = cognition total score;</w:t>
      </w:r>
      <w:r w:rsidRPr="00D07411">
        <w:rPr>
          <w:rFonts w:ascii="Arial" w:hAnsi="Arial" w:cs="Arial"/>
          <w:color w:val="000000"/>
          <w:sz w:val="24"/>
          <w:szCs w:val="24"/>
          <w:lang w:val="en-US"/>
        </w:rPr>
        <w:t xml:space="preserve"> DAN = dorsal attention network; DMN = default-mode network; </w:t>
      </w:r>
      <w:r>
        <w:rPr>
          <w:rFonts w:ascii="Arial" w:hAnsi="Arial" w:cs="Arial"/>
          <w:color w:val="000000"/>
          <w:sz w:val="24"/>
          <w:szCs w:val="24"/>
          <w:lang w:val="en-US"/>
        </w:rPr>
        <w:t xml:space="preserve">GAF DI = Global Assessment of Functioning Disability; GAF S = Global Assessment of Functioning Symptoms; GF R = Global Functioning Role Scale; GF S = Global Functioning Social Scale; </w:t>
      </w:r>
      <w:r w:rsidRPr="00D07411">
        <w:rPr>
          <w:rFonts w:ascii="Arial" w:hAnsi="Arial" w:cs="Arial"/>
          <w:color w:val="000000"/>
          <w:sz w:val="24"/>
          <w:szCs w:val="24"/>
          <w:lang w:val="en-US"/>
        </w:rPr>
        <w:t xml:space="preserve">LN = limbic network; </w:t>
      </w:r>
      <w:r>
        <w:rPr>
          <w:rFonts w:ascii="Arial" w:hAnsi="Arial" w:cs="Arial"/>
          <w:color w:val="000000"/>
          <w:sz w:val="24"/>
          <w:szCs w:val="24"/>
          <w:lang w:val="en-US"/>
        </w:rPr>
        <w:t xml:space="preserve">Soc Cog = social cognition; SoP = speed of processing; </w:t>
      </w:r>
      <w:r w:rsidRPr="00D07411">
        <w:rPr>
          <w:rFonts w:ascii="Arial" w:hAnsi="Arial" w:cs="Arial"/>
          <w:color w:val="000000"/>
          <w:sz w:val="24"/>
          <w:szCs w:val="24"/>
          <w:lang w:val="en-US"/>
        </w:rPr>
        <w:t>SMN = somatomotor network; VAN = ventral attention network;</w:t>
      </w:r>
      <w:r>
        <w:rPr>
          <w:rFonts w:ascii="Arial" w:hAnsi="Arial" w:cs="Arial"/>
          <w:color w:val="000000"/>
          <w:sz w:val="24"/>
          <w:szCs w:val="24"/>
          <w:lang w:val="en-US"/>
        </w:rPr>
        <w:t xml:space="preserve"> VerLrn = verbal learning; </w:t>
      </w:r>
      <w:r w:rsidRPr="00D07411">
        <w:rPr>
          <w:rFonts w:ascii="Arial" w:hAnsi="Arial" w:cs="Arial"/>
          <w:color w:val="000000"/>
          <w:sz w:val="24"/>
          <w:szCs w:val="24"/>
          <w:lang w:val="en-US"/>
        </w:rPr>
        <w:t xml:space="preserve"> </w:t>
      </w:r>
      <w:r>
        <w:rPr>
          <w:rFonts w:ascii="Arial" w:hAnsi="Arial" w:cs="Arial"/>
          <w:color w:val="000000"/>
          <w:sz w:val="24"/>
          <w:szCs w:val="24"/>
          <w:lang w:val="en-US"/>
        </w:rPr>
        <w:t xml:space="preserve">VisDys = visual dysfunctions; </w:t>
      </w:r>
      <w:r w:rsidRPr="00D07411">
        <w:rPr>
          <w:rFonts w:ascii="Arial" w:hAnsi="Arial" w:cs="Arial"/>
          <w:color w:val="000000"/>
          <w:sz w:val="24"/>
          <w:szCs w:val="24"/>
          <w:lang w:val="en-US"/>
        </w:rPr>
        <w:t>VN = visual network</w:t>
      </w:r>
      <w:r>
        <w:rPr>
          <w:rFonts w:ascii="Arial" w:hAnsi="Arial" w:cs="Arial"/>
          <w:color w:val="000000"/>
          <w:sz w:val="24"/>
          <w:szCs w:val="24"/>
          <w:lang w:val="en-US"/>
        </w:rPr>
        <w:t>;</w:t>
      </w:r>
      <w:r w:rsidRPr="003E2F88">
        <w:rPr>
          <w:rFonts w:ascii="Arial" w:hAnsi="Arial" w:cs="Arial"/>
          <w:color w:val="000000"/>
          <w:sz w:val="24"/>
          <w:szCs w:val="24"/>
          <w:lang w:val="en-US"/>
        </w:rPr>
        <w:t xml:space="preserve"> </w:t>
      </w:r>
      <w:r>
        <w:rPr>
          <w:rFonts w:ascii="Arial" w:hAnsi="Arial" w:cs="Arial"/>
          <w:color w:val="000000"/>
          <w:sz w:val="24"/>
          <w:szCs w:val="24"/>
          <w:lang w:val="en-US"/>
        </w:rPr>
        <w:t>WM = working memory.</w:t>
      </w:r>
    </w:p>
    <w:p w:rsidR="00873F48" w:rsidRDefault="00873F48" w:rsidP="00873F48">
      <w:pPr>
        <w:ind w:firstLine="0"/>
        <w:rPr>
          <w:lang w:val="en-US"/>
        </w:rPr>
      </w:pPr>
    </w:p>
    <w:p w:rsidR="00873F48" w:rsidRDefault="00873F48" w:rsidP="00873F48">
      <w:pPr>
        <w:ind w:firstLine="0"/>
        <w:rPr>
          <w:lang w:val="en-US"/>
        </w:rPr>
      </w:pPr>
    </w:p>
    <w:p w:rsidR="00873F48" w:rsidRDefault="00873F48" w:rsidP="00873F48">
      <w:pPr>
        <w:ind w:firstLine="0"/>
        <w:rPr>
          <w:lang w:val="en-US"/>
        </w:rPr>
      </w:pPr>
      <w:r>
        <w:rPr>
          <w:lang w:val="en-US"/>
        </w:rPr>
        <w:lastRenderedPageBreak/>
        <w:t>References</w:t>
      </w:r>
    </w:p>
    <w:p w:rsidR="003C6A19" w:rsidRPr="003C6A19" w:rsidRDefault="00873F48" w:rsidP="003C6A19">
      <w:pPr>
        <w:pStyle w:val="Literaturverzeichnis"/>
        <w:rPr>
          <w:rFonts w:ascii="Calibri" w:hAnsi="Calibri" w:cs="Calibri"/>
        </w:rPr>
      </w:pPr>
      <w:r>
        <w:rPr>
          <w:lang w:val="en-US"/>
        </w:rPr>
        <w:fldChar w:fldCharType="begin"/>
      </w:r>
      <w:r>
        <w:rPr>
          <w:lang w:val="en-US"/>
        </w:rPr>
        <w:instrText xml:space="preserve"> ADDIN ZOTERO_BIBL {"uncited":[],"omitted":[],"custom":[]} CSL_BIBLIOGRAPHY </w:instrText>
      </w:r>
      <w:r>
        <w:rPr>
          <w:lang w:val="en-US"/>
        </w:rPr>
        <w:fldChar w:fldCharType="separate"/>
      </w:r>
      <w:r w:rsidR="003C6A19" w:rsidRPr="003C6A19">
        <w:rPr>
          <w:rFonts w:ascii="Calibri" w:hAnsi="Calibri" w:cs="Calibri"/>
        </w:rPr>
        <w:t>1.</w:t>
      </w:r>
      <w:r w:rsidR="003C6A19" w:rsidRPr="003C6A19">
        <w:rPr>
          <w:rFonts w:ascii="Calibri" w:hAnsi="Calibri" w:cs="Calibri"/>
        </w:rPr>
        <w:tab/>
        <w:t>First MB, Gibbon M. The Structured Clinical Interview for DSM-IV Axis I Disorders (SCID-I) and the Structured Clin</w:t>
      </w:r>
      <w:r w:rsidR="003C6A19" w:rsidRPr="003C6A19">
        <w:rPr>
          <w:rFonts w:ascii="Calibri" w:hAnsi="Calibri" w:cs="Calibri"/>
        </w:rPr>
        <w:lastRenderedPageBreak/>
        <w:t xml:space="preserve">ical Interview for DSM-IV Axis II Disorders (SCID-II). In: Comprehensive handbook of psychological assessment, Vol 2: Personality assessment. Hoboken,  NJ,  US: John Wiley &amp; Sons, Inc.; 2004. p. 134–43. </w:t>
      </w:r>
    </w:p>
    <w:p w:rsidR="003C6A19" w:rsidRPr="003C6A19" w:rsidRDefault="003C6A19" w:rsidP="003C6A19">
      <w:pPr>
        <w:pStyle w:val="Literaturverzeichnis"/>
        <w:rPr>
          <w:rFonts w:ascii="Calibri" w:hAnsi="Calibri" w:cs="Calibri"/>
        </w:rPr>
      </w:pPr>
      <w:r w:rsidRPr="003C6A19">
        <w:rPr>
          <w:rFonts w:ascii="Calibri" w:hAnsi="Calibri" w:cs="Calibri"/>
        </w:rPr>
        <w:t>2.</w:t>
      </w:r>
      <w:r w:rsidRPr="003C6A19">
        <w:rPr>
          <w:rFonts w:ascii="Calibri" w:hAnsi="Calibri" w:cs="Calibri"/>
        </w:rPr>
        <w:tab/>
        <w:t>http://www.dgppn.de/fileadmin/user_upload/_medien/download/pdf/kurzversion-leitlinien/s3-praxisleitlinienbd1-schizophrenie.pdf [Internet]. [cited 2013 Dec 4]. Available from: http://www.dgppn.de/fileadmin/user_upload/_medien/download/pdf/kurzversion-leitlinien/s3-praxisleitlinienbd1-schizophrenie.pdf</w:t>
      </w:r>
    </w:p>
    <w:p w:rsidR="003C6A19" w:rsidRPr="003C6A19" w:rsidRDefault="003C6A19" w:rsidP="003C6A19">
      <w:pPr>
        <w:pStyle w:val="Literaturverzeichnis"/>
        <w:rPr>
          <w:rFonts w:ascii="Calibri" w:hAnsi="Calibri" w:cs="Calibri"/>
        </w:rPr>
      </w:pPr>
      <w:r w:rsidRPr="003C6A19">
        <w:rPr>
          <w:rFonts w:ascii="Calibri" w:hAnsi="Calibri" w:cs="Calibri"/>
        </w:rPr>
        <w:t>3.</w:t>
      </w:r>
      <w:r w:rsidRPr="003C6A19">
        <w:rPr>
          <w:rFonts w:ascii="Calibri" w:hAnsi="Calibri" w:cs="Calibri"/>
        </w:rPr>
        <w:tab/>
        <w:t>McGlashan TH, Miller TJ, Woods SW, Hoffman RE, Davidson L. Instrument for the Assessment of Prodromal Symptoms and States. In: Miller T, Mednick SA, McGlashan TH, Libiger J, Johannessen JO, editors. Early Intervention in Psychotic Disorders [Internet]. Dordrecht: Springer Netherlands; 2001 [cited 2024 Apr 4]. p. 135–49. Available from: http://link.springer.com/10.1007/978-94-010-0892-1_7</w:t>
      </w:r>
    </w:p>
    <w:p w:rsidR="003C6A19" w:rsidRPr="003C6A19" w:rsidRDefault="003C6A19" w:rsidP="003C6A19">
      <w:pPr>
        <w:pStyle w:val="Literaturverzeichnis"/>
        <w:rPr>
          <w:rFonts w:ascii="Calibri" w:hAnsi="Calibri" w:cs="Calibri"/>
        </w:rPr>
      </w:pPr>
      <w:r w:rsidRPr="003C6A19">
        <w:rPr>
          <w:rFonts w:ascii="Calibri" w:hAnsi="Calibri" w:cs="Calibri"/>
        </w:rPr>
        <w:t>4.</w:t>
      </w:r>
      <w:r w:rsidRPr="003C6A19">
        <w:rPr>
          <w:rFonts w:ascii="Calibri" w:hAnsi="Calibri" w:cs="Calibri"/>
        </w:rPr>
        <w:tab/>
        <w:t xml:space="preserve">Schultze-Lutter F, Addington J, Ruhrmann S, Klosterkötter J. Schizophrenia proneness instrument, adult version (SPI-A). Rome Giovanni Fioriti. 2007; </w:t>
      </w:r>
    </w:p>
    <w:p w:rsidR="003C6A19" w:rsidRPr="003C6A19" w:rsidRDefault="003C6A19" w:rsidP="003C6A19">
      <w:pPr>
        <w:pStyle w:val="Literaturverzeichnis"/>
        <w:rPr>
          <w:rFonts w:ascii="Calibri" w:hAnsi="Calibri" w:cs="Calibri"/>
        </w:rPr>
      </w:pPr>
      <w:r w:rsidRPr="003C6A19">
        <w:rPr>
          <w:rFonts w:ascii="Calibri" w:hAnsi="Calibri" w:cs="Calibri"/>
        </w:rPr>
        <w:t>5.</w:t>
      </w:r>
      <w:r w:rsidRPr="003C6A19">
        <w:rPr>
          <w:rFonts w:ascii="Calibri" w:hAnsi="Calibri" w:cs="Calibri"/>
        </w:rPr>
        <w:tab/>
        <w:t xml:space="preserve">Kern RS, Nuechterlein KH, Green MF, Baade LE, Fenton WS, Gold JM, et al. The MATRICS Consensus Cognitive Battery, Part 2: Co-Norming and Standardization. Am J Psychiatry. 2008 Feb;165(2):214–20. </w:t>
      </w:r>
    </w:p>
    <w:p w:rsidR="003C6A19" w:rsidRPr="003C6A19" w:rsidRDefault="003C6A19" w:rsidP="003C6A19">
      <w:pPr>
        <w:pStyle w:val="Literaturverzeichnis"/>
        <w:rPr>
          <w:rFonts w:ascii="Calibri" w:hAnsi="Calibri" w:cs="Calibri"/>
        </w:rPr>
      </w:pPr>
      <w:r w:rsidRPr="003C6A19">
        <w:rPr>
          <w:rFonts w:ascii="Calibri" w:hAnsi="Calibri" w:cs="Calibri"/>
        </w:rPr>
        <w:t>6.</w:t>
      </w:r>
      <w:r w:rsidRPr="003C6A19">
        <w:rPr>
          <w:rFonts w:ascii="Calibri" w:hAnsi="Calibri" w:cs="Calibri"/>
        </w:rPr>
        <w:tab/>
        <w:t xml:space="preserve">Nuechterlein KH, Green MF, Kern RS, Baade LE, Barch DM, Cohen JD, et al. The MATRICS Consensus Cognitive Battery, Part 1: Test Selection, Reliability, and Validity. Am J Psychiatry. 2008 Feb;165(2):203–13. </w:t>
      </w:r>
    </w:p>
    <w:p w:rsidR="003C6A19" w:rsidRPr="003C6A19" w:rsidRDefault="003C6A19" w:rsidP="003C6A19">
      <w:pPr>
        <w:pStyle w:val="Literaturverzeichnis"/>
        <w:rPr>
          <w:rFonts w:ascii="Calibri" w:hAnsi="Calibri" w:cs="Calibri"/>
        </w:rPr>
      </w:pPr>
      <w:r w:rsidRPr="003C6A19">
        <w:rPr>
          <w:rFonts w:ascii="Calibri" w:hAnsi="Calibri" w:cs="Calibri"/>
        </w:rPr>
        <w:t>7.</w:t>
      </w:r>
      <w:r w:rsidRPr="003C6A19">
        <w:rPr>
          <w:rFonts w:ascii="Calibri" w:hAnsi="Calibri" w:cs="Calibri"/>
        </w:rPr>
        <w:tab/>
        <w:t xml:space="preserve">Nowicki S, Duke MP. Individual differences in the nonverbal communication of affect: The diagnostic analysis of nonverbal accuracy scale. J Nonverbal Behav. 1994 Mar;18(1):9–35. </w:t>
      </w:r>
    </w:p>
    <w:p w:rsidR="003C6A19" w:rsidRPr="003C6A19" w:rsidRDefault="003C6A19" w:rsidP="003C6A19">
      <w:pPr>
        <w:pStyle w:val="Literaturverzeichnis"/>
        <w:rPr>
          <w:rFonts w:ascii="Calibri" w:hAnsi="Calibri" w:cs="Calibri"/>
        </w:rPr>
      </w:pPr>
      <w:r w:rsidRPr="003C6A19">
        <w:rPr>
          <w:rFonts w:ascii="Calibri" w:hAnsi="Calibri" w:cs="Calibri"/>
        </w:rPr>
        <w:t>8.</w:t>
      </w:r>
      <w:r w:rsidRPr="003C6A19">
        <w:rPr>
          <w:rFonts w:ascii="Calibri" w:hAnsi="Calibri" w:cs="Calibri"/>
        </w:rPr>
        <w:tab/>
        <w:t xml:space="preserve">Wechsler D. Manual for the Wechsler Adult Intelligence Scale. Oxford,  England: Psychological Corp.; 1955. vi, 110 p. (Manual for the Wechsler Adult Intelligence Scale.). </w:t>
      </w:r>
    </w:p>
    <w:p w:rsidR="003C6A19" w:rsidRPr="003C6A19" w:rsidRDefault="003C6A19" w:rsidP="003C6A19">
      <w:pPr>
        <w:pStyle w:val="Literaturverzeichnis"/>
        <w:rPr>
          <w:rFonts w:ascii="Calibri" w:hAnsi="Calibri" w:cs="Calibri"/>
        </w:rPr>
      </w:pPr>
      <w:r w:rsidRPr="003C6A19">
        <w:rPr>
          <w:rFonts w:ascii="Calibri" w:hAnsi="Calibri" w:cs="Calibri"/>
        </w:rPr>
        <w:t>9.</w:t>
      </w:r>
      <w:r w:rsidRPr="003C6A19">
        <w:rPr>
          <w:rFonts w:ascii="Calibri" w:hAnsi="Calibri" w:cs="Calibri"/>
        </w:rPr>
        <w:tab/>
        <w:t xml:space="preserve">Ruff R. Benton controlled oral word association test: Reliability and updated norms. Arch Clin Neuropsychol. 1996;11(4):329–38. </w:t>
      </w:r>
    </w:p>
    <w:p w:rsidR="003C6A19" w:rsidRPr="003C6A19" w:rsidRDefault="003C6A19" w:rsidP="003C6A19">
      <w:pPr>
        <w:pStyle w:val="Literaturverzeichnis"/>
        <w:rPr>
          <w:rFonts w:ascii="Calibri" w:hAnsi="Calibri" w:cs="Calibri"/>
        </w:rPr>
      </w:pPr>
      <w:r w:rsidRPr="003C6A19">
        <w:rPr>
          <w:rFonts w:ascii="Calibri" w:hAnsi="Calibri" w:cs="Calibri"/>
        </w:rPr>
        <w:t>10.</w:t>
      </w:r>
      <w:r w:rsidRPr="003C6A19">
        <w:rPr>
          <w:rFonts w:ascii="Calibri" w:hAnsi="Calibri" w:cs="Calibri"/>
        </w:rPr>
        <w:tab/>
        <w:t xml:space="preserve">Tombaugh T. Trail Making Test A and B: Normative data stratified by age and education. Arch Clin Neuropsychol. 2004 Mar;19(2):203–14. </w:t>
      </w:r>
    </w:p>
    <w:p w:rsidR="003C6A19" w:rsidRPr="003C6A19" w:rsidRDefault="003C6A19" w:rsidP="003C6A19">
      <w:pPr>
        <w:pStyle w:val="Literaturverzeichnis"/>
        <w:rPr>
          <w:rFonts w:ascii="Calibri" w:hAnsi="Calibri" w:cs="Calibri"/>
        </w:rPr>
      </w:pPr>
      <w:r w:rsidRPr="003C6A19">
        <w:rPr>
          <w:rFonts w:ascii="Calibri" w:hAnsi="Calibri" w:cs="Calibri"/>
        </w:rPr>
        <w:t>11.</w:t>
      </w:r>
      <w:r w:rsidRPr="003C6A19">
        <w:rPr>
          <w:rFonts w:ascii="Calibri" w:hAnsi="Calibri" w:cs="Calibri"/>
        </w:rPr>
        <w:tab/>
        <w:t xml:space="preserve">Eliason MJ, Richman LC. The Continuous Performance Test in Learning Disabled and Nondisabled Children. J Learn Disabil. 1987 Dec;20(10):614–9. </w:t>
      </w:r>
    </w:p>
    <w:p w:rsidR="003C6A19" w:rsidRPr="003C6A19" w:rsidRDefault="003C6A19" w:rsidP="003C6A19">
      <w:pPr>
        <w:pStyle w:val="Literaturverzeichnis"/>
        <w:rPr>
          <w:rFonts w:ascii="Calibri" w:hAnsi="Calibri" w:cs="Calibri"/>
        </w:rPr>
      </w:pPr>
      <w:r w:rsidRPr="003C6A19">
        <w:rPr>
          <w:rFonts w:ascii="Calibri" w:hAnsi="Calibri" w:cs="Calibri"/>
        </w:rPr>
        <w:t>12.</w:t>
      </w:r>
      <w:r w:rsidRPr="003C6A19">
        <w:rPr>
          <w:rFonts w:ascii="Calibri" w:hAnsi="Calibri" w:cs="Calibri"/>
        </w:rPr>
        <w:tab/>
        <w:t xml:space="preserve">Schmidt M. Rey auditory verbal learning test. Western Psychological Services Los Angeles; 1996. </w:t>
      </w:r>
    </w:p>
    <w:p w:rsidR="003C6A19" w:rsidRPr="003C6A19" w:rsidRDefault="003C6A19" w:rsidP="003C6A19">
      <w:pPr>
        <w:pStyle w:val="Literaturverzeichnis"/>
        <w:rPr>
          <w:rFonts w:ascii="Calibri" w:hAnsi="Calibri" w:cs="Calibri"/>
        </w:rPr>
      </w:pPr>
      <w:r w:rsidRPr="003C6A19">
        <w:rPr>
          <w:rFonts w:ascii="Calibri" w:hAnsi="Calibri" w:cs="Calibri"/>
        </w:rPr>
        <w:t>13.</w:t>
      </w:r>
      <w:r w:rsidRPr="003C6A19">
        <w:rPr>
          <w:rFonts w:ascii="Calibri" w:hAnsi="Calibri" w:cs="Calibri"/>
        </w:rPr>
        <w:tab/>
        <w:t xml:space="preserve">Wenzel J, Haas SS, Dwyer DB, Ruef A, Oeztuerk OF, Antonucci LA, et al. Cognitive subtypes in recent onset psychosis: distinct neurobiological fingerprints? Neuropsychopharmacology. 2021 Jul;46(8):1475–83. </w:t>
      </w:r>
    </w:p>
    <w:p w:rsidR="003C6A19" w:rsidRPr="003C6A19" w:rsidRDefault="003C6A19" w:rsidP="003C6A19">
      <w:pPr>
        <w:pStyle w:val="Literaturverzeichnis"/>
        <w:rPr>
          <w:rFonts w:ascii="Calibri" w:hAnsi="Calibri" w:cs="Calibri"/>
        </w:rPr>
      </w:pPr>
      <w:r w:rsidRPr="003C6A19">
        <w:rPr>
          <w:rFonts w:ascii="Calibri" w:hAnsi="Calibri" w:cs="Calibri"/>
        </w:rPr>
        <w:t>14.</w:t>
      </w:r>
      <w:r w:rsidRPr="003C6A19">
        <w:rPr>
          <w:rFonts w:ascii="Calibri" w:hAnsi="Calibri" w:cs="Calibri"/>
        </w:rPr>
        <w:tab/>
        <w:t>Satterthwaite TD, Elliott MA, Gerra</w:t>
      </w:r>
      <w:r w:rsidRPr="003C6A19">
        <w:rPr>
          <w:rFonts w:ascii="Calibri" w:hAnsi="Calibri" w:cs="Calibri"/>
        </w:rPr>
        <w:lastRenderedPageBreak/>
        <w:t xml:space="preserve">ty RT, Ruparel K, Loughead J, Calkins ME, et al. An improved framework for confound regression and filtering for control of motion artifact in the preprocessing of resting-state functional connectivity data. NeuroImage. 2013 Jan;64:240–56. </w:t>
      </w:r>
    </w:p>
    <w:p w:rsidR="003C6A19" w:rsidRPr="003C6A19" w:rsidRDefault="003C6A19" w:rsidP="003C6A19">
      <w:pPr>
        <w:pStyle w:val="Literaturverzeichnis"/>
        <w:rPr>
          <w:rFonts w:ascii="Calibri" w:hAnsi="Calibri" w:cs="Calibri"/>
        </w:rPr>
      </w:pPr>
      <w:r w:rsidRPr="003C6A19">
        <w:rPr>
          <w:rFonts w:ascii="Calibri" w:hAnsi="Calibri" w:cs="Calibri"/>
        </w:rPr>
        <w:t>15.</w:t>
      </w:r>
      <w:r w:rsidRPr="003C6A19">
        <w:rPr>
          <w:rFonts w:ascii="Calibri" w:hAnsi="Calibri" w:cs="Calibri"/>
        </w:rPr>
        <w:tab/>
        <w:t xml:space="preserve">Bayer JMM, Thompson PM, Ching CRK, Liu M, Chen A, Panzenhagen AC, et al. Site effects how-to and when: An overview of retrospective techniques to accommodate site effects in multi-site neuroimaging analyses. Front Neurol. 2022 Oct 31;13:923988. </w:t>
      </w:r>
    </w:p>
    <w:p w:rsidR="003C6A19" w:rsidRPr="003C6A19" w:rsidRDefault="003C6A19" w:rsidP="003C6A19">
      <w:pPr>
        <w:pStyle w:val="Literaturverzeichnis"/>
        <w:rPr>
          <w:rFonts w:ascii="Calibri" w:hAnsi="Calibri" w:cs="Calibri"/>
        </w:rPr>
      </w:pPr>
      <w:r w:rsidRPr="003C6A19">
        <w:rPr>
          <w:rFonts w:ascii="Calibri" w:hAnsi="Calibri" w:cs="Calibri"/>
        </w:rPr>
        <w:t>16.</w:t>
      </w:r>
      <w:r w:rsidRPr="003C6A19">
        <w:rPr>
          <w:rFonts w:ascii="Calibri" w:hAnsi="Calibri" w:cs="Calibri"/>
        </w:rPr>
        <w:tab/>
        <w:t xml:space="preserve">Pomponio R, Erus G, Habes M, Doshi J, Srinivasan D, Mamourian E, et al. Harmonization of large MRI datasets for the analysis of brain imaging patterns throughout the lifespan. NeuroImage. 2020 Mar;208:116450. </w:t>
      </w:r>
    </w:p>
    <w:p w:rsidR="003C6A19" w:rsidRPr="003C6A19" w:rsidRDefault="003C6A19" w:rsidP="003C6A19">
      <w:pPr>
        <w:pStyle w:val="Literaturverzeichnis"/>
        <w:rPr>
          <w:rFonts w:ascii="Calibri" w:hAnsi="Calibri" w:cs="Calibri"/>
        </w:rPr>
      </w:pPr>
      <w:r w:rsidRPr="003C6A19">
        <w:rPr>
          <w:rFonts w:ascii="Calibri" w:hAnsi="Calibri" w:cs="Calibri"/>
        </w:rPr>
        <w:t>17.</w:t>
      </w:r>
      <w:r w:rsidRPr="003C6A19">
        <w:rPr>
          <w:rFonts w:ascii="Calibri" w:hAnsi="Calibri" w:cs="Calibri"/>
        </w:rPr>
        <w:tab/>
        <w:t xml:space="preserve">Buciuman MO, Oeztuerk OF, Popovic D, Enrico P, Ruef A, Bieler N, et al. Structural and Functional Brain Patterns Predict Formal Thought Disorder’s Severity and Its Persistence in Recent-Onset Psychosis: Results From the PRONIA Study. Biol Psychiatry Cogn Neurosci Neuroimaging. 2023 Dec;8(12):1207–17. </w:t>
      </w:r>
    </w:p>
    <w:p w:rsidR="003C6A19" w:rsidRPr="003C6A19" w:rsidRDefault="003C6A19" w:rsidP="003C6A19">
      <w:pPr>
        <w:pStyle w:val="Literaturverzeichnis"/>
        <w:rPr>
          <w:rFonts w:ascii="Calibri" w:hAnsi="Calibri" w:cs="Calibri"/>
        </w:rPr>
      </w:pPr>
      <w:r w:rsidRPr="003C6A19">
        <w:rPr>
          <w:rFonts w:ascii="Calibri" w:hAnsi="Calibri" w:cs="Calibri"/>
        </w:rPr>
        <w:t>18.</w:t>
      </w:r>
      <w:r w:rsidRPr="003C6A19">
        <w:rPr>
          <w:rFonts w:ascii="Calibri" w:hAnsi="Calibri" w:cs="Calibri"/>
        </w:rPr>
        <w:tab/>
        <w:t xml:space="preserve">Aghourian M, Legault-Denis C, Soucy JP, Rosa-Neto P, Gauthier S, Kostikov A, et al. Quantification of brain cholinergic denervation in Alzheimer’s disease using PET imaging with [18F]-FEOBV. Mol Psychiatry. 2017 Nov;22(11):1531–8. </w:t>
      </w:r>
    </w:p>
    <w:p w:rsidR="003C6A19" w:rsidRPr="003C6A19" w:rsidRDefault="003C6A19" w:rsidP="003C6A19">
      <w:pPr>
        <w:pStyle w:val="Literaturverzeichnis"/>
        <w:rPr>
          <w:rFonts w:ascii="Calibri" w:hAnsi="Calibri" w:cs="Calibri"/>
        </w:rPr>
      </w:pPr>
      <w:r w:rsidRPr="003C6A19">
        <w:rPr>
          <w:rFonts w:ascii="Calibri" w:hAnsi="Calibri" w:cs="Calibri"/>
        </w:rPr>
        <w:t>19.</w:t>
      </w:r>
      <w:r w:rsidRPr="003C6A19">
        <w:rPr>
          <w:rFonts w:ascii="Calibri" w:hAnsi="Calibri" w:cs="Calibri"/>
        </w:rPr>
        <w:tab/>
        <w:t xml:space="preserve">Bedard MA, Aghourian M, Legault-Denis C, Postuma RB, Soucy JP, Gagnon JF, et al. Brain cholinergic alterations in idiopathic REM sleep behaviour disorder: a PET imaging study with 18F-FEOBV. Sleep Med. 2019 Jun;58:35–41. </w:t>
      </w:r>
    </w:p>
    <w:p w:rsidR="003C6A19" w:rsidRPr="003C6A19" w:rsidRDefault="003C6A19" w:rsidP="003C6A19">
      <w:pPr>
        <w:pStyle w:val="Literaturverzeichnis"/>
        <w:rPr>
          <w:rFonts w:ascii="Calibri" w:hAnsi="Calibri" w:cs="Calibri"/>
        </w:rPr>
      </w:pPr>
      <w:r w:rsidRPr="003C6A19">
        <w:rPr>
          <w:rFonts w:ascii="Calibri" w:hAnsi="Calibri" w:cs="Calibri"/>
        </w:rPr>
        <w:t>20.</w:t>
      </w:r>
      <w:r w:rsidRPr="003C6A19">
        <w:rPr>
          <w:rFonts w:ascii="Calibri" w:hAnsi="Calibri" w:cs="Calibri"/>
        </w:rPr>
        <w:tab/>
        <w:t xml:space="preserve">Hansen JY, Shafiei G, Markello RD, Smart K, Cox SML, Nørgaard M, et al. Mapping neurotransmitter systems to the structural and functional organization of the human neocortex. Nat Neurosci. 2022 Nov;25(11):1569–81. </w:t>
      </w:r>
    </w:p>
    <w:p w:rsidR="003C6A19" w:rsidRPr="003C6A19" w:rsidRDefault="003C6A19" w:rsidP="003C6A19">
      <w:pPr>
        <w:pStyle w:val="Literaturverzeichnis"/>
        <w:rPr>
          <w:rFonts w:ascii="Calibri" w:hAnsi="Calibri" w:cs="Calibri"/>
        </w:rPr>
      </w:pPr>
      <w:r w:rsidRPr="003C6A19">
        <w:rPr>
          <w:rFonts w:ascii="Calibri" w:hAnsi="Calibri" w:cs="Calibri"/>
        </w:rPr>
        <w:t>21.</w:t>
      </w:r>
      <w:r w:rsidRPr="003C6A19">
        <w:rPr>
          <w:rFonts w:ascii="Calibri" w:hAnsi="Calibri" w:cs="Calibri"/>
        </w:rPr>
        <w:tab/>
        <w:t>Naganawa M, Nabulsi N, Henry S, Matuskey D, Lin SF, Slieker L, et al. First-in-Human Assessment of</w:t>
      </w:r>
      <w:r w:rsidRPr="003C6A19">
        <w:rPr>
          <w:rFonts w:ascii="Calibri" w:hAnsi="Calibri" w:cs="Calibri"/>
          <w:vertAlign w:val="superscript"/>
        </w:rPr>
        <w:t>11</w:t>
      </w:r>
      <w:r w:rsidRPr="003C6A19">
        <w:rPr>
          <w:rFonts w:ascii="Calibri" w:hAnsi="Calibri" w:cs="Calibri"/>
        </w:rPr>
        <w:t xml:space="preserve"> C-LSN3172176, an M1 Muscarinic Acetylcholine Receptor PET Radiotracer. J Nucl Med. 2021 Apr;62(4):553–60. </w:t>
      </w:r>
    </w:p>
    <w:p w:rsidR="003C6A19" w:rsidRPr="003C6A19" w:rsidRDefault="003C6A19" w:rsidP="003C6A19">
      <w:pPr>
        <w:pStyle w:val="Literaturverzeichnis"/>
        <w:rPr>
          <w:rFonts w:ascii="Calibri" w:hAnsi="Calibri" w:cs="Calibri"/>
        </w:rPr>
      </w:pPr>
      <w:r w:rsidRPr="003C6A19">
        <w:rPr>
          <w:rFonts w:ascii="Calibri" w:hAnsi="Calibri" w:cs="Calibri"/>
        </w:rPr>
        <w:t>22.</w:t>
      </w:r>
      <w:r w:rsidRPr="003C6A19">
        <w:rPr>
          <w:rFonts w:ascii="Calibri" w:hAnsi="Calibri" w:cs="Calibri"/>
        </w:rPr>
        <w:tab/>
        <w:t xml:space="preserve">Hillmer AT, Esterlis I, Gallezot JD, Bois F, Zheng MQ, Nabulsi N, et al. Imaging of cerebral α4β2* nicotinic acetylcholine receptors with (−)-[18F]Flubatine PET: Implementation of bolus plus constant infusion and sensitivity to acetylcholine in human brain. NeuroImage. 2016 Nov;141:71–80. </w:t>
      </w:r>
    </w:p>
    <w:p w:rsidR="003C6A19" w:rsidRPr="003C6A19" w:rsidRDefault="003C6A19" w:rsidP="003C6A19">
      <w:pPr>
        <w:pStyle w:val="Literaturverzeichnis"/>
        <w:rPr>
          <w:rFonts w:ascii="Calibri" w:hAnsi="Calibri" w:cs="Calibri"/>
        </w:rPr>
      </w:pPr>
      <w:r w:rsidRPr="003C6A19">
        <w:rPr>
          <w:rFonts w:ascii="Calibri" w:hAnsi="Calibri" w:cs="Calibri"/>
        </w:rPr>
        <w:t>23.</w:t>
      </w:r>
      <w:r w:rsidRPr="003C6A19">
        <w:rPr>
          <w:rFonts w:ascii="Calibri" w:hAnsi="Calibri" w:cs="Calibri"/>
        </w:rPr>
        <w:tab/>
        <w:t xml:space="preserve">Malén T, Karjalainen T, Isojärvi J, Vehtari A, Bürkner PC, Putkinen V, et al. Atlas of type 2 dopamine receptors in the human brain: Age and sex dependent variability in a large PET cohort. NeuroImage. 2022 Jul;255:119149. </w:t>
      </w:r>
    </w:p>
    <w:p w:rsidR="003C6A19" w:rsidRPr="003C6A19" w:rsidRDefault="003C6A19" w:rsidP="003C6A19">
      <w:pPr>
        <w:pStyle w:val="Literaturverzeichnis"/>
        <w:rPr>
          <w:rFonts w:ascii="Calibri" w:hAnsi="Calibri" w:cs="Calibri"/>
        </w:rPr>
      </w:pPr>
      <w:r w:rsidRPr="003C6A19">
        <w:rPr>
          <w:rFonts w:ascii="Calibri" w:hAnsi="Calibri" w:cs="Calibri"/>
        </w:rPr>
        <w:t>24.</w:t>
      </w:r>
      <w:r w:rsidRPr="003C6A19">
        <w:rPr>
          <w:rFonts w:ascii="Calibri" w:hAnsi="Calibri" w:cs="Calibri"/>
        </w:rPr>
        <w:tab/>
        <w:t>Sandiego CM, Gallezot JD, Lim K, Ropchan J, Lin S fei, Gao H, et al. Reference Region Modeling Approaches for Amphetamine Challenge Studies with [</w:t>
      </w:r>
      <w:r w:rsidRPr="003C6A19">
        <w:rPr>
          <w:rFonts w:ascii="Calibri" w:hAnsi="Calibri" w:cs="Calibri"/>
          <w:vertAlign w:val="superscript"/>
        </w:rPr>
        <w:t>11</w:t>
      </w:r>
      <w:r w:rsidRPr="003C6A19">
        <w:rPr>
          <w:rFonts w:ascii="Calibri" w:hAnsi="Calibri" w:cs="Calibri"/>
        </w:rPr>
        <w:t xml:space="preserve"> C]FLB 457 and PET. J Cereb Blood Flow Metab. 2015 Apr;35(4):623–9. </w:t>
      </w:r>
    </w:p>
    <w:p w:rsidR="003C6A19" w:rsidRPr="003C6A19" w:rsidRDefault="003C6A19" w:rsidP="003C6A19">
      <w:pPr>
        <w:pStyle w:val="Literaturverzeichnis"/>
        <w:rPr>
          <w:rFonts w:ascii="Calibri" w:hAnsi="Calibri" w:cs="Calibri"/>
        </w:rPr>
      </w:pPr>
      <w:r w:rsidRPr="003C6A19">
        <w:rPr>
          <w:rFonts w:ascii="Calibri" w:hAnsi="Calibri" w:cs="Calibri"/>
        </w:rPr>
        <w:t>25.</w:t>
      </w:r>
      <w:r w:rsidRPr="003C6A19">
        <w:rPr>
          <w:rFonts w:ascii="Calibri" w:hAnsi="Calibri" w:cs="Calibri"/>
        </w:rPr>
        <w:tab/>
        <w:t xml:space="preserve">Smith CT, Crawford JL, Dang LC, Seaman KL, San Juan MD, Vijay A, et </w:t>
      </w:r>
      <w:r w:rsidRPr="003C6A19">
        <w:rPr>
          <w:rFonts w:ascii="Calibri" w:hAnsi="Calibri" w:cs="Calibri"/>
        </w:rPr>
        <w:lastRenderedPageBreak/>
        <w:t xml:space="preserve">al. Partial-volume correction increases estimated dopamine D2-like receptor binding potential and reduces adult age differences. J Cereb Blood Flow Metab. 2019 May;39(5):822–33. </w:t>
      </w:r>
    </w:p>
    <w:p w:rsidR="003C6A19" w:rsidRPr="003C6A19" w:rsidRDefault="003C6A19" w:rsidP="003C6A19">
      <w:pPr>
        <w:pStyle w:val="Literaturverzeichnis"/>
        <w:rPr>
          <w:rFonts w:ascii="Calibri" w:hAnsi="Calibri" w:cs="Calibri"/>
        </w:rPr>
      </w:pPr>
      <w:r w:rsidRPr="003C6A19">
        <w:rPr>
          <w:rFonts w:ascii="Calibri" w:hAnsi="Calibri" w:cs="Calibri"/>
        </w:rPr>
        <w:t>26.</w:t>
      </w:r>
      <w:r w:rsidRPr="003C6A19">
        <w:rPr>
          <w:rFonts w:ascii="Calibri" w:hAnsi="Calibri" w:cs="Calibri"/>
        </w:rPr>
        <w:tab/>
        <w:t xml:space="preserve">Jaworska N, Cox SML, Tippler M, Castellanos-Ryan N, Benkelfat C, Parent S, et al. Extra-striatal D2/3 receptor availability in youth at risk for addiction. Neuropsychopharmacology. 2020 Aug;45(9):1498–505. </w:t>
      </w:r>
    </w:p>
    <w:p w:rsidR="003C6A19" w:rsidRPr="003C6A19" w:rsidRDefault="003C6A19" w:rsidP="003C6A19">
      <w:pPr>
        <w:pStyle w:val="Literaturverzeichnis"/>
        <w:rPr>
          <w:rFonts w:ascii="Calibri" w:hAnsi="Calibri" w:cs="Calibri"/>
        </w:rPr>
      </w:pPr>
      <w:r w:rsidRPr="003C6A19">
        <w:rPr>
          <w:rFonts w:ascii="Calibri" w:hAnsi="Calibri" w:cs="Calibri"/>
        </w:rPr>
        <w:t>27.</w:t>
      </w:r>
      <w:r w:rsidRPr="003C6A19">
        <w:rPr>
          <w:rFonts w:ascii="Calibri" w:hAnsi="Calibri" w:cs="Calibri"/>
        </w:rPr>
        <w:tab/>
        <w:t>Alakurtti K, Johansson JJ, Joutsa J, Laine M, Bäckman L, Nyberg L, et al. Long-Term Test–Retest Reliability of Striatal and Extrastriatal Dopamine D</w:t>
      </w:r>
      <w:r w:rsidRPr="003C6A19">
        <w:rPr>
          <w:rFonts w:ascii="Calibri" w:hAnsi="Calibri" w:cs="Calibri"/>
          <w:vertAlign w:val="subscript"/>
        </w:rPr>
        <w:t>2/3</w:t>
      </w:r>
      <w:r w:rsidRPr="003C6A19">
        <w:rPr>
          <w:rFonts w:ascii="Calibri" w:hAnsi="Calibri" w:cs="Calibri"/>
        </w:rPr>
        <w:t xml:space="preserve"> Receptor Binding: Study with [</w:t>
      </w:r>
      <w:r w:rsidRPr="003C6A19">
        <w:rPr>
          <w:rFonts w:ascii="Calibri" w:hAnsi="Calibri" w:cs="Calibri"/>
          <w:vertAlign w:val="superscript"/>
        </w:rPr>
        <w:t>11</w:t>
      </w:r>
      <w:r w:rsidRPr="003C6A19">
        <w:rPr>
          <w:rFonts w:ascii="Calibri" w:hAnsi="Calibri" w:cs="Calibri"/>
        </w:rPr>
        <w:t xml:space="preserve"> C]Raclopride and High-Resolution PET. J Cereb Blood Flow Metab. 2015 Jul;35(7):1199–205. </w:t>
      </w:r>
    </w:p>
    <w:p w:rsidR="003C6A19" w:rsidRPr="003C6A19" w:rsidRDefault="003C6A19" w:rsidP="003C6A19">
      <w:pPr>
        <w:pStyle w:val="Literaturverzeichnis"/>
        <w:rPr>
          <w:rFonts w:ascii="Calibri" w:hAnsi="Calibri" w:cs="Calibri"/>
        </w:rPr>
      </w:pPr>
      <w:r w:rsidRPr="003C6A19">
        <w:rPr>
          <w:rFonts w:ascii="Calibri" w:hAnsi="Calibri" w:cs="Calibri"/>
        </w:rPr>
        <w:t>28.</w:t>
      </w:r>
      <w:r w:rsidRPr="003C6A19">
        <w:rPr>
          <w:rFonts w:ascii="Calibri" w:hAnsi="Calibri" w:cs="Calibri"/>
        </w:rPr>
        <w:tab/>
        <w:t xml:space="preserve">Dukart J, Holiga Š, Chatham C, Hawkins P, Forsyth A, McMillan R, et al. Cerebral blood flow predicts differential neurotransmitter activity. Sci Rep. 2018 Mar 6;8(1):4074. </w:t>
      </w:r>
    </w:p>
    <w:p w:rsidR="003C6A19" w:rsidRPr="003C6A19" w:rsidRDefault="003C6A19" w:rsidP="003C6A19">
      <w:pPr>
        <w:pStyle w:val="Literaturverzeichnis"/>
        <w:rPr>
          <w:rFonts w:ascii="Calibri" w:hAnsi="Calibri" w:cs="Calibri"/>
        </w:rPr>
      </w:pPr>
      <w:r w:rsidRPr="003C6A19">
        <w:rPr>
          <w:rFonts w:ascii="Calibri" w:hAnsi="Calibri" w:cs="Calibri"/>
        </w:rPr>
        <w:t>29.</w:t>
      </w:r>
      <w:r w:rsidRPr="003C6A19">
        <w:rPr>
          <w:rFonts w:ascii="Calibri" w:hAnsi="Calibri" w:cs="Calibri"/>
        </w:rPr>
        <w:tab/>
        <w:t>Sasaki T, Ito H, Kimura Y, Arakawa R, Takano H, Seki C, et al. Quantification of Dopamine Transporter in Human Brain Using PET with</w:t>
      </w:r>
      <w:r w:rsidRPr="003C6A19">
        <w:rPr>
          <w:rFonts w:ascii="Calibri" w:hAnsi="Calibri" w:cs="Calibri"/>
          <w:vertAlign w:val="superscript"/>
        </w:rPr>
        <w:t>18</w:t>
      </w:r>
      <w:r w:rsidRPr="003C6A19">
        <w:rPr>
          <w:rFonts w:ascii="Calibri" w:hAnsi="Calibri" w:cs="Calibri"/>
        </w:rPr>
        <w:t xml:space="preserve"> F-FE-PE2I. J Nucl Med. 2012 Jul;53(7):1065–73. </w:t>
      </w:r>
    </w:p>
    <w:p w:rsidR="003C6A19" w:rsidRPr="003C6A19" w:rsidRDefault="003C6A19" w:rsidP="003C6A19">
      <w:pPr>
        <w:pStyle w:val="Literaturverzeichnis"/>
        <w:rPr>
          <w:rFonts w:ascii="Calibri" w:hAnsi="Calibri" w:cs="Calibri"/>
        </w:rPr>
      </w:pPr>
      <w:r w:rsidRPr="003C6A19">
        <w:rPr>
          <w:rFonts w:ascii="Calibri" w:hAnsi="Calibri" w:cs="Calibri"/>
        </w:rPr>
        <w:t>30.</w:t>
      </w:r>
      <w:r w:rsidRPr="003C6A19">
        <w:rPr>
          <w:rFonts w:ascii="Calibri" w:hAnsi="Calibri" w:cs="Calibri"/>
        </w:rPr>
        <w:tab/>
        <w:t xml:space="preserve">Kaller S, Rullmann M, Patt M, Becker GA, Luthardt J, Girbardt J, et al. Test–retest measurements of dopamine D1-type receptors using simultaneous PET/MRI imaging. Eur J Nucl Med Mol Imaging. 2017 Jun;44(6):1025–32. </w:t>
      </w:r>
    </w:p>
    <w:p w:rsidR="003C6A19" w:rsidRPr="003C6A19" w:rsidRDefault="003C6A19" w:rsidP="003C6A19">
      <w:pPr>
        <w:pStyle w:val="Literaturverzeichnis"/>
        <w:rPr>
          <w:rFonts w:ascii="Calibri" w:hAnsi="Calibri" w:cs="Calibri"/>
        </w:rPr>
      </w:pPr>
      <w:r w:rsidRPr="003C6A19">
        <w:rPr>
          <w:rFonts w:ascii="Calibri" w:hAnsi="Calibri" w:cs="Calibri"/>
        </w:rPr>
        <w:t>31.</w:t>
      </w:r>
      <w:r w:rsidRPr="003C6A19">
        <w:rPr>
          <w:rFonts w:ascii="Calibri" w:hAnsi="Calibri" w:cs="Calibri"/>
        </w:rPr>
        <w:tab/>
        <w:t xml:space="preserve">Laurikainen H, Tuominen L, Tikka M, Merisaari H, Armio RL, Sormunen E, et al. Sex difference in brain CB1 receptor availability in man. NeuroImage. 2019 Jan;184:834–42. </w:t>
      </w:r>
    </w:p>
    <w:p w:rsidR="003C6A19" w:rsidRPr="003C6A19" w:rsidRDefault="003C6A19" w:rsidP="003C6A19">
      <w:pPr>
        <w:pStyle w:val="Literaturverzeichnis"/>
        <w:rPr>
          <w:rFonts w:ascii="Calibri" w:hAnsi="Calibri" w:cs="Calibri"/>
        </w:rPr>
      </w:pPr>
      <w:r w:rsidRPr="003C6A19">
        <w:rPr>
          <w:rFonts w:ascii="Calibri" w:hAnsi="Calibri" w:cs="Calibri"/>
        </w:rPr>
        <w:t>32.</w:t>
      </w:r>
      <w:r w:rsidRPr="003C6A19">
        <w:rPr>
          <w:rFonts w:ascii="Calibri" w:hAnsi="Calibri" w:cs="Calibri"/>
        </w:rPr>
        <w:tab/>
        <w:t>Normandin MD, Zheng MQ, Lin KS, Mason NS, Lin SF, Ropchan J, et al. Imaging the Cannabinoid CB1 Receptor in Humans with [</w:t>
      </w:r>
      <w:r w:rsidRPr="003C6A19">
        <w:rPr>
          <w:rFonts w:ascii="Calibri" w:hAnsi="Calibri" w:cs="Calibri"/>
          <w:vertAlign w:val="superscript"/>
        </w:rPr>
        <w:t>11</w:t>
      </w:r>
      <w:r w:rsidRPr="003C6A19">
        <w:rPr>
          <w:rFonts w:ascii="Calibri" w:hAnsi="Calibri" w:cs="Calibri"/>
        </w:rPr>
        <w:t xml:space="preserve"> C] OMAR: Assessment of Kinetic Analysis Methods, Test–Retest Reproducibility, and Gender Differences. J Cereb Blood Flow Metab. 2015 Aug;35(8):1313–22. </w:t>
      </w:r>
    </w:p>
    <w:p w:rsidR="003C6A19" w:rsidRPr="003C6A19" w:rsidRDefault="003C6A19" w:rsidP="003C6A19">
      <w:pPr>
        <w:pStyle w:val="Literaturverzeichnis"/>
        <w:rPr>
          <w:rFonts w:ascii="Calibri" w:hAnsi="Calibri" w:cs="Calibri"/>
        </w:rPr>
      </w:pPr>
      <w:r w:rsidRPr="003C6A19">
        <w:rPr>
          <w:rFonts w:ascii="Calibri" w:hAnsi="Calibri" w:cs="Calibri"/>
        </w:rPr>
        <w:t>33.</w:t>
      </w:r>
      <w:r w:rsidRPr="003C6A19">
        <w:rPr>
          <w:rFonts w:ascii="Calibri" w:hAnsi="Calibri" w:cs="Calibri"/>
        </w:rPr>
        <w:tab/>
        <w:t xml:space="preserve">Vijay A, Cavallo D, Goldberg A, De Laat B, Nabulsi N, Huang Y, et al. PET imaging reveals lower kappa opioid receptor availability in alcoholics but no effect of age. Neuropsychopharmacology. 2018 Dec;43(13):2539–47. </w:t>
      </w:r>
    </w:p>
    <w:p w:rsidR="003C6A19" w:rsidRPr="003C6A19" w:rsidRDefault="003C6A19" w:rsidP="003C6A19">
      <w:pPr>
        <w:pStyle w:val="Literaturverzeichnis"/>
        <w:rPr>
          <w:rFonts w:ascii="Calibri" w:hAnsi="Calibri" w:cs="Calibri"/>
        </w:rPr>
      </w:pPr>
      <w:r w:rsidRPr="003C6A19">
        <w:rPr>
          <w:rFonts w:ascii="Calibri" w:hAnsi="Calibri" w:cs="Calibri"/>
        </w:rPr>
        <w:t>34.</w:t>
      </w:r>
      <w:r w:rsidRPr="003C6A19">
        <w:rPr>
          <w:rFonts w:ascii="Calibri" w:hAnsi="Calibri" w:cs="Calibri"/>
        </w:rPr>
        <w:tab/>
        <w:t xml:space="preserve">Kantonen T, Karjalainen T, Isojärvi J, Nuutila P, Tuisku J, Rinne J, et al. Interindividual variability and lateralization of μ-opioid receptors in the human brain. NeuroImage. 2020 Aug;217:116922. </w:t>
      </w:r>
    </w:p>
    <w:p w:rsidR="003C6A19" w:rsidRPr="003C6A19" w:rsidRDefault="003C6A19" w:rsidP="003C6A19">
      <w:pPr>
        <w:pStyle w:val="Literaturverzeichnis"/>
        <w:rPr>
          <w:rFonts w:ascii="Calibri" w:hAnsi="Calibri" w:cs="Calibri"/>
        </w:rPr>
      </w:pPr>
      <w:r w:rsidRPr="003C6A19">
        <w:rPr>
          <w:rFonts w:ascii="Calibri" w:hAnsi="Calibri" w:cs="Calibri"/>
        </w:rPr>
        <w:t>35.</w:t>
      </w:r>
      <w:r w:rsidRPr="003C6A19">
        <w:rPr>
          <w:rFonts w:ascii="Calibri" w:hAnsi="Calibri" w:cs="Calibri"/>
        </w:rPr>
        <w:tab/>
        <w:t xml:space="preserve">Turtonen O, Saarinen A, Nummenmaa L, Tuominen L, Tikka M, Armio RL, et al. Adult Attachment System Links With Brain Mu Opioid Receptor Availability In Vivo. Biol Psychiatry Cogn Neurosci Neuroimaging. 2021 Mar;6(3):360–9. </w:t>
      </w:r>
    </w:p>
    <w:p w:rsidR="003C6A19" w:rsidRPr="003C6A19" w:rsidRDefault="003C6A19" w:rsidP="003C6A19">
      <w:pPr>
        <w:pStyle w:val="Literaturverzeichnis"/>
        <w:rPr>
          <w:rFonts w:ascii="Calibri" w:hAnsi="Calibri" w:cs="Calibri"/>
        </w:rPr>
      </w:pPr>
      <w:r w:rsidRPr="003C6A19">
        <w:rPr>
          <w:rFonts w:ascii="Calibri" w:hAnsi="Calibri" w:cs="Calibri"/>
        </w:rPr>
        <w:t>36.</w:t>
      </w:r>
      <w:r w:rsidRPr="003C6A19">
        <w:rPr>
          <w:rFonts w:ascii="Calibri" w:hAnsi="Calibri" w:cs="Calibri"/>
        </w:rPr>
        <w:tab/>
        <w:t xml:space="preserve">DuBois JM, Rousset OG, Rowley J, Porras-Betancourt M, Reader AJ, Labbe A, et al. Characterization of age/sex and the regional distribution of mGluR5 availability in the healthy human brain measured by high-resolution [11C]ABP688 PET. Eur J Nucl Med Mol Imaging. 2016 Jan;43(1):152–62. </w:t>
      </w:r>
    </w:p>
    <w:p w:rsidR="003C6A19" w:rsidRPr="003C6A19" w:rsidRDefault="003C6A19" w:rsidP="003C6A19">
      <w:pPr>
        <w:pStyle w:val="Literaturverzeichnis"/>
        <w:rPr>
          <w:rFonts w:ascii="Calibri" w:hAnsi="Calibri" w:cs="Calibri"/>
        </w:rPr>
      </w:pPr>
      <w:r w:rsidRPr="003C6A19">
        <w:rPr>
          <w:rFonts w:ascii="Calibri" w:hAnsi="Calibri" w:cs="Calibri"/>
        </w:rPr>
        <w:t>37.</w:t>
      </w:r>
      <w:r w:rsidRPr="003C6A19">
        <w:rPr>
          <w:rFonts w:ascii="Calibri" w:hAnsi="Calibri" w:cs="Calibri"/>
        </w:rPr>
        <w:tab/>
        <w:t xml:space="preserve">Smart K, Cox SML, Scala SG, Tippler M, Jaworska N, Boivin M, et al. Sex differences in [11C]ABP688 binding: a positron emission tomography study of mGlu5 receptors. Eur J Nucl Med Mol Imaging. 2019 May;46(5):1179–83. </w:t>
      </w:r>
    </w:p>
    <w:p w:rsidR="003C6A19" w:rsidRPr="003C6A19" w:rsidRDefault="003C6A19" w:rsidP="003C6A19">
      <w:pPr>
        <w:pStyle w:val="Literaturverzeichnis"/>
        <w:rPr>
          <w:rFonts w:ascii="Calibri" w:hAnsi="Calibri" w:cs="Calibri"/>
        </w:rPr>
      </w:pPr>
      <w:r w:rsidRPr="003C6A19">
        <w:rPr>
          <w:rFonts w:ascii="Calibri" w:hAnsi="Calibri" w:cs="Calibri"/>
        </w:rPr>
        <w:t>38.</w:t>
      </w:r>
      <w:r w:rsidRPr="003C6A19">
        <w:rPr>
          <w:rFonts w:ascii="Calibri" w:hAnsi="Calibri" w:cs="Calibri"/>
        </w:rPr>
        <w:tab/>
        <w:t xml:space="preserve">Savli M, Bauer A, Mitterhauser M, Ding YS, Hahn A, Kroll T, et al. Normative database of the serotonergic system in healthy subjects using multi-tracer PET. NeuroImage. 2012 Oct;63(1):447–59. </w:t>
      </w:r>
    </w:p>
    <w:p w:rsidR="003C6A19" w:rsidRPr="003C6A19" w:rsidRDefault="003C6A19" w:rsidP="003C6A19">
      <w:pPr>
        <w:pStyle w:val="Literaturverzeichnis"/>
        <w:rPr>
          <w:rFonts w:ascii="Calibri" w:hAnsi="Calibri" w:cs="Calibri"/>
        </w:rPr>
      </w:pPr>
      <w:r w:rsidRPr="003C6A19">
        <w:rPr>
          <w:rFonts w:ascii="Calibri" w:hAnsi="Calibri" w:cs="Calibri"/>
        </w:rPr>
        <w:t>39.</w:t>
      </w:r>
      <w:r w:rsidRPr="003C6A19">
        <w:rPr>
          <w:rFonts w:ascii="Calibri" w:hAnsi="Calibri" w:cs="Calibri"/>
        </w:rPr>
        <w:tab/>
        <w:t xml:space="preserve">Beliveau V, Ganz M, Feng L, Ozenne B, Højgaard L, Fisher PM, et al. A High-Resolution </w:t>
      </w:r>
      <w:r w:rsidRPr="003C6A19">
        <w:rPr>
          <w:rFonts w:ascii="Calibri" w:hAnsi="Calibri" w:cs="Calibri"/>
          <w:i/>
          <w:iCs/>
        </w:rPr>
        <w:t>In Vivo</w:t>
      </w:r>
      <w:r w:rsidRPr="003C6A19">
        <w:rPr>
          <w:rFonts w:ascii="Calibri" w:hAnsi="Calibri" w:cs="Calibri"/>
        </w:rPr>
        <w:t xml:space="preserve"> Atlas of the Human Brain’s Serotonin System. J Neurosci. 2017 Jan 4;37(1):120–8. </w:t>
      </w:r>
    </w:p>
    <w:p w:rsidR="003C6A19" w:rsidRPr="003C6A19" w:rsidRDefault="003C6A19" w:rsidP="003C6A19">
      <w:pPr>
        <w:pStyle w:val="Literaturverzeichnis"/>
        <w:rPr>
          <w:rFonts w:ascii="Calibri" w:hAnsi="Calibri" w:cs="Calibri"/>
        </w:rPr>
      </w:pPr>
      <w:r w:rsidRPr="003C6A19">
        <w:rPr>
          <w:rFonts w:ascii="Calibri" w:hAnsi="Calibri" w:cs="Calibri"/>
        </w:rPr>
        <w:t>40.</w:t>
      </w:r>
      <w:r w:rsidRPr="003C6A19">
        <w:rPr>
          <w:rFonts w:ascii="Calibri" w:hAnsi="Calibri" w:cs="Calibri"/>
        </w:rPr>
        <w:tab/>
        <w:t>Gallezot JD, Nabulsi N, Neumeister A, Planeta-Wilson B, Williams WA, Singhal T, et al. Kinetic Modeling of the Serotonin 5-HT</w:t>
      </w:r>
      <w:r w:rsidRPr="003C6A19">
        <w:rPr>
          <w:rFonts w:ascii="Calibri" w:hAnsi="Calibri" w:cs="Calibri"/>
          <w:vertAlign w:val="subscript"/>
        </w:rPr>
        <w:t>1B</w:t>
      </w:r>
      <w:r w:rsidRPr="003C6A19">
        <w:rPr>
          <w:rFonts w:ascii="Calibri" w:hAnsi="Calibri" w:cs="Calibri"/>
        </w:rPr>
        <w:t xml:space="preserve"> Receptor Radioligand [</w:t>
      </w:r>
      <w:r w:rsidRPr="003C6A19">
        <w:rPr>
          <w:rFonts w:ascii="Calibri" w:hAnsi="Calibri" w:cs="Calibri"/>
          <w:vertAlign w:val="superscript"/>
        </w:rPr>
        <w:t>11</w:t>
      </w:r>
      <w:r w:rsidRPr="003C6A19">
        <w:rPr>
          <w:rFonts w:ascii="Calibri" w:hAnsi="Calibri" w:cs="Calibri"/>
        </w:rPr>
        <w:t xml:space="preserve"> C]P943 in Humans. J Cereb Blood Flow Metab. 2010 Jan;30(1):196–210. </w:t>
      </w:r>
    </w:p>
    <w:p w:rsidR="003C6A19" w:rsidRPr="003C6A19" w:rsidRDefault="003C6A19" w:rsidP="003C6A19">
      <w:pPr>
        <w:pStyle w:val="Literaturverzeichnis"/>
        <w:rPr>
          <w:rFonts w:ascii="Calibri" w:hAnsi="Calibri" w:cs="Calibri"/>
        </w:rPr>
      </w:pPr>
      <w:r w:rsidRPr="003C6A19">
        <w:rPr>
          <w:rFonts w:ascii="Calibri" w:hAnsi="Calibri" w:cs="Calibri"/>
        </w:rPr>
        <w:t>41.</w:t>
      </w:r>
      <w:r w:rsidRPr="003C6A19">
        <w:rPr>
          <w:rFonts w:ascii="Calibri" w:hAnsi="Calibri" w:cs="Calibri"/>
        </w:rPr>
        <w:tab/>
        <w:t xml:space="preserve">Fazio P, Schain M, Varnäs K, Halldin C, Farde L, Varrone A. Mapping the distribution of serotonin transporter in the human brainstem with high-resolution PET: Validation using postmortem autoradiography data. NeuroImage. 2016 Jun;133:313–20. </w:t>
      </w:r>
    </w:p>
    <w:p w:rsidR="003C6A19" w:rsidRPr="003C6A19" w:rsidRDefault="003C6A19" w:rsidP="003C6A19">
      <w:pPr>
        <w:pStyle w:val="Literaturverzeichnis"/>
        <w:rPr>
          <w:rFonts w:ascii="Calibri" w:hAnsi="Calibri" w:cs="Calibri"/>
        </w:rPr>
      </w:pPr>
      <w:r w:rsidRPr="003C6A19">
        <w:rPr>
          <w:rFonts w:ascii="Calibri" w:hAnsi="Calibri" w:cs="Calibri"/>
        </w:rPr>
        <w:t>42.</w:t>
      </w:r>
      <w:r w:rsidRPr="003C6A19">
        <w:rPr>
          <w:rFonts w:ascii="Calibri" w:hAnsi="Calibri" w:cs="Calibri"/>
        </w:rPr>
        <w:tab/>
        <w:t>Radhakrishnan R, Nabulsi N, Gaiser E, Gallezot JD, Henry S, Planeta B, et al. Age-Related Change in 5-HT</w:t>
      </w:r>
      <w:r w:rsidRPr="003C6A19">
        <w:rPr>
          <w:rFonts w:ascii="Calibri" w:hAnsi="Calibri" w:cs="Calibri"/>
          <w:vertAlign w:val="subscript"/>
        </w:rPr>
        <w:t>6</w:t>
      </w:r>
      <w:r w:rsidRPr="003C6A19">
        <w:rPr>
          <w:rFonts w:ascii="Calibri" w:hAnsi="Calibri" w:cs="Calibri"/>
        </w:rPr>
        <w:t xml:space="preserve"> Receptor Availability in Healthy Male Volunteers Measured with</w:t>
      </w:r>
      <w:r w:rsidRPr="003C6A19">
        <w:rPr>
          <w:rFonts w:ascii="Calibri" w:hAnsi="Calibri" w:cs="Calibri"/>
          <w:vertAlign w:val="superscript"/>
        </w:rPr>
        <w:t>11</w:t>
      </w:r>
      <w:r w:rsidRPr="003C6A19">
        <w:rPr>
          <w:rFonts w:ascii="Calibri" w:hAnsi="Calibri" w:cs="Calibri"/>
        </w:rPr>
        <w:t xml:space="preserve"> C-GSK215083 PET. J Nucl Med. 2018 Sep;59(9):1445–50. </w:t>
      </w:r>
    </w:p>
    <w:p w:rsidR="003C6A19" w:rsidRPr="003C6A19" w:rsidRDefault="003C6A19" w:rsidP="003C6A19">
      <w:pPr>
        <w:pStyle w:val="Literaturverzeichnis"/>
        <w:rPr>
          <w:rFonts w:ascii="Calibri" w:hAnsi="Calibri" w:cs="Calibri"/>
        </w:rPr>
      </w:pPr>
      <w:r w:rsidRPr="003C6A19">
        <w:rPr>
          <w:rFonts w:ascii="Calibri" w:hAnsi="Calibri" w:cs="Calibri"/>
        </w:rPr>
        <w:t>43.</w:t>
      </w:r>
      <w:r w:rsidRPr="003C6A19">
        <w:rPr>
          <w:rFonts w:ascii="Calibri" w:hAnsi="Calibri" w:cs="Calibri"/>
        </w:rPr>
        <w:tab/>
        <w:t xml:space="preserve">Nørgaard M, Beliveau V, Ganz M, Svarer C, Pinborg LH, Keller SH, et al. A high-resolution in vivo atlas of the human brain’s benzodiazepine binding site of GABAA receptors. NeuroImage. 2021 May;232:117878. </w:t>
      </w:r>
    </w:p>
    <w:p w:rsidR="003C6A19" w:rsidRPr="003C6A19" w:rsidRDefault="003C6A19" w:rsidP="003C6A19">
      <w:pPr>
        <w:pStyle w:val="Literaturverzeichnis"/>
        <w:rPr>
          <w:rFonts w:ascii="Calibri" w:hAnsi="Calibri" w:cs="Calibri"/>
        </w:rPr>
      </w:pPr>
      <w:r w:rsidRPr="003C6A19">
        <w:rPr>
          <w:rFonts w:ascii="Calibri" w:hAnsi="Calibri" w:cs="Calibri"/>
        </w:rPr>
        <w:t>44.</w:t>
      </w:r>
      <w:r w:rsidRPr="003C6A19">
        <w:rPr>
          <w:rFonts w:ascii="Calibri" w:hAnsi="Calibri" w:cs="Calibri"/>
        </w:rPr>
        <w:tab/>
        <w:t xml:space="preserve">Lukow PB, Martins D, Veronese M, Vernon AC, McGuire P, Turkheimer FE, et al. Cellular and molecular signatures of in vivo imaging measures of GABAergic neurotransmission in the human brain. Commun Biol. 2022 Apr 19;5(1):372. </w:t>
      </w:r>
    </w:p>
    <w:p w:rsidR="003C6A19" w:rsidRPr="003C6A19" w:rsidRDefault="003C6A19" w:rsidP="003C6A19">
      <w:pPr>
        <w:pStyle w:val="Literaturverzeichnis"/>
        <w:rPr>
          <w:rFonts w:ascii="Calibri" w:hAnsi="Calibri" w:cs="Calibri"/>
        </w:rPr>
      </w:pPr>
      <w:r w:rsidRPr="003C6A19">
        <w:rPr>
          <w:rFonts w:ascii="Calibri" w:hAnsi="Calibri" w:cs="Calibri"/>
        </w:rPr>
        <w:t>45.</w:t>
      </w:r>
      <w:r w:rsidRPr="003C6A19">
        <w:rPr>
          <w:rFonts w:ascii="Calibri" w:hAnsi="Calibri" w:cs="Calibri"/>
        </w:rPr>
        <w:tab/>
        <w:t xml:space="preserve">Hesse S, Becker GA, Rullmann M, Bresch A, Luthardt J, Hankir MK, et al. Central noradrenaline transporter availability in highly obese, non-depressed individuals. Eur J Nucl Med Mol Imaging. 2017 Jun;44(6):1056–64. </w:t>
      </w:r>
    </w:p>
    <w:p w:rsidR="003C6A19" w:rsidRPr="003C6A19" w:rsidRDefault="003C6A19" w:rsidP="003C6A19">
      <w:pPr>
        <w:pStyle w:val="Literaturverzeichnis"/>
        <w:rPr>
          <w:rFonts w:ascii="Calibri" w:hAnsi="Calibri" w:cs="Calibri"/>
        </w:rPr>
      </w:pPr>
      <w:r w:rsidRPr="003C6A19">
        <w:rPr>
          <w:rFonts w:ascii="Calibri" w:hAnsi="Calibri" w:cs="Calibri"/>
        </w:rPr>
        <w:t>46.</w:t>
      </w:r>
      <w:r w:rsidRPr="003C6A19">
        <w:rPr>
          <w:rFonts w:ascii="Calibri" w:hAnsi="Calibri" w:cs="Calibri"/>
        </w:rPr>
        <w:tab/>
        <w:t>Ding YS, Singhal T, Planeta-Wilson B, Gallezot JD, Nabulsi N, Labaree D, et al. PET imaging of the effects of age and cocaine on the norepinephrine transporter in the human brain using (S,S)-[</w:t>
      </w:r>
      <w:r w:rsidRPr="003C6A19">
        <w:rPr>
          <w:rFonts w:ascii="Calibri" w:hAnsi="Calibri" w:cs="Calibri"/>
          <w:vertAlign w:val="superscript"/>
        </w:rPr>
        <w:t>11</w:t>
      </w:r>
      <w:r w:rsidRPr="003C6A19">
        <w:rPr>
          <w:rFonts w:ascii="Calibri" w:hAnsi="Calibri" w:cs="Calibri"/>
        </w:rPr>
        <w:t xml:space="preserve"> C]O-methylreboxetine and HRRT. Synapse. 2010 Jan;64(1):30–8. </w:t>
      </w:r>
    </w:p>
    <w:p w:rsidR="003C6A19" w:rsidRPr="003C6A19" w:rsidRDefault="003C6A19" w:rsidP="003C6A19">
      <w:pPr>
        <w:pStyle w:val="Literaturverzeichnis"/>
        <w:rPr>
          <w:rFonts w:ascii="Calibri" w:hAnsi="Calibri" w:cs="Calibri"/>
        </w:rPr>
      </w:pPr>
      <w:r w:rsidRPr="003C6A19">
        <w:rPr>
          <w:rFonts w:ascii="Calibri" w:hAnsi="Calibri" w:cs="Calibri"/>
        </w:rPr>
        <w:t>47.</w:t>
      </w:r>
      <w:r w:rsidRPr="003C6A19">
        <w:rPr>
          <w:rFonts w:ascii="Calibri" w:hAnsi="Calibri" w:cs="Calibri"/>
        </w:rPr>
        <w:tab/>
        <w:t>Gallezot JD, Planeta B, Nabulsi N, Palumbo D, Li X, Liu J, et al. Determination of receptor occupancy in the presence of mass dose: [</w:t>
      </w:r>
      <w:r w:rsidRPr="003C6A19">
        <w:rPr>
          <w:rFonts w:ascii="Calibri" w:hAnsi="Calibri" w:cs="Calibri"/>
          <w:vertAlign w:val="superscript"/>
        </w:rPr>
        <w:t>11</w:t>
      </w:r>
      <w:r w:rsidRPr="003C6A19">
        <w:rPr>
          <w:rFonts w:ascii="Calibri" w:hAnsi="Calibri" w:cs="Calibri"/>
        </w:rPr>
        <w:t xml:space="preserve"> C]GSK189254 PET imaging of histamine H</w:t>
      </w:r>
      <w:r w:rsidRPr="003C6A19">
        <w:rPr>
          <w:rFonts w:ascii="Calibri" w:hAnsi="Calibri" w:cs="Calibri"/>
          <w:vertAlign w:val="subscript"/>
        </w:rPr>
        <w:t>3</w:t>
      </w:r>
      <w:r w:rsidRPr="003C6A19">
        <w:rPr>
          <w:rFonts w:ascii="Calibri" w:hAnsi="Calibri" w:cs="Calibri"/>
        </w:rPr>
        <w:t xml:space="preserve"> receptor occupancy by PF-03654746. J Cereb Blood Flow Metab. 2017 Mar;37(3):1095–107. </w:t>
      </w:r>
    </w:p>
    <w:p w:rsidR="00873F48" w:rsidRPr="00873F48" w:rsidRDefault="00873F48" w:rsidP="00873F48">
      <w:pPr>
        <w:ind w:firstLine="0"/>
        <w:rPr>
          <w:lang w:val="en-US"/>
        </w:rPr>
      </w:pPr>
      <w:r>
        <w:rPr>
          <w:lang w:val="en-US"/>
        </w:rPr>
        <w:fldChar w:fldCharType="end"/>
      </w:r>
    </w:p>
    <w:sectPr w:rsidR="00873F48" w:rsidRPr="00873F4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F48"/>
    <w:rsid w:val="003C6A19"/>
    <w:rsid w:val="004344E2"/>
    <w:rsid w:val="00873F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23172"/>
  <w15:chartTrackingRefBased/>
  <w15:docId w15:val="{F20ECC0D-1C1C-4E73-A392-D0FE6292F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73F48"/>
    <w:pPr>
      <w:spacing w:after="0" w:line="360" w:lineRule="auto"/>
      <w:ind w:firstLine="709"/>
      <w:jc w:val="both"/>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73F48"/>
    <w:rPr>
      <w:color w:val="0000FF"/>
      <w:u w:val="single"/>
    </w:rPr>
  </w:style>
  <w:style w:type="paragraph" w:styleId="Literaturverzeichnis">
    <w:name w:val="Bibliography"/>
    <w:basedOn w:val="Standard"/>
    <w:next w:val="Standard"/>
    <w:uiPriority w:val="37"/>
    <w:unhideWhenUsed/>
    <w:rsid w:val="00873F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www.restfmri.net/" TargetMode="Externa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18841</Words>
  <Characters>118703</Characters>
  <Application>Microsoft Office Word</Application>
  <DocSecurity>0</DocSecurity>
  <Lines>989</Lines>
  <Paragraphs>274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Hacker</dc:creator>
  <cp:keywords/>
  <dc:description/>
  <cp:lastModifiedBy>Hannah Hacker</cp:lastModifiedBy>
  <cp:revision>3</cp:revision>
  <dcterms:created xsi:type="dcterms:W3CDTF">2025-03-20T16:20:00Z</dcterms:created>
  <dcterms:modified xsi:type="dcterms:W3CDTF">2025-03-21T16:10:00Z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id="mElwSTNF"/&gt;&lt;style id="http://www.zotero.org/styles/vancouver" locale="en-GB"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