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21F41" w14:textId="77777777" w:rsidR="00E41AE6" w:rsidRPr="000904B1" w:rsidRDefault="00E41AE6" w:rsidP="00E41AE6">
      <w:pPr>
        <w:spacing w:line="480" w:lineRule="auto"/>
        <w:rPr>
          <w:rFonts w:ascii="Arial" w:eastAsia="等线" w:hAnsi="Arial" w:cs="Arial"/>
          <w:color w:val="000000"/>
        </w:rPr>
      </w:pPr>
      <w:r w:rsidRPr="000904B1">
        <w:rPr>
          <w:rFonts w:ascii="Arial" w:eastAsia="等线" w:hAnsi="Arial" w:cs="Arial"/>
          <w:color w:val="000000"/>
        </w:rPr>
        <w:t>Supplementary Table 4. Comparison of signs of SO emulsification between patients with or without ocular hypertension (IOP &gt; 21 mmHg or use of antiglaucoma medications)</w:t>
      </w:r>
    </w:p>
    <w:tbl>
      <w:tblPr>
        <w:tblStyle w:val="a3"/>
        <w:tblW w:w="10049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2217"/>
        <w:gridCol w:w="2083"/>
        <w:gridCol w:w="1785"/>
      </w:tblGrid>
      <w:tr w:rsidR="00E41AE6" w:rsidRPr="000904B1" w14:paraId="70801D19" w14:textId="77777777" w:rsidTr="00224F50">
        <w:trPr>
          <w:trHeight w:val="278"/>
        </w:trPr>
        <w:tc>
          <w:tcPr>
            <w:tcW w:w="3964" w:type="dxa"/>
            <w:tcBorders>
              <w:top w:val="single" w:sz="4" w:space="0" w:color="auto"/>
            </w:tcBorders>
            <w:noWrap/>
          </w:tcPr>
          <w:p w14:paraId="73F5C1DF" w14:textId="77777777" w:rsidR="00E41AE6" w:rsidRPr="000904B1" w:rsidRDefault="00E41AE6" w:rsidP="00224F50">
            <w:pPr>
              <w:tabs>
                <w:tab w:val="left" w:pos="164"/>
              </w:tabs>
              <w:spacing w:line="480" w:lineRule="auto"/>
              <w:rPr>
                <w:rFonts w:ascii="Arial" w:hAnsi="Arial" w:cs="Arial"/>
              </w:rPr>
            </w:pPr>
            <w:r w:rsidRPr="000904B1">
              <w:rPr>
                <w:rFonts w:ascii="Arial" w:eastAsia="等线" w:hAnsi="Arial" w:cs="Arial"/>
                <w:b/>
              </w:rPr>
              <w:t>Factor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14:paraId="361B903B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eastAsia="等线" w:hAnsi="Arial" w:cs="Arial"/>
                <w:b/>
              </w:rPr>
              <w:t>Ocular hypertension</w:t>
            </w:r>
          </w:p>
        </w:tc>
        <w:tc>
          <w:tcPr>
            <w:tcW w:w="1785" w:type="dxa"/>
            <w:tcBorders>
              <w:top w:val="single" w:sz="4" w:space="0" w:color="auto"/>
            </w:tcBorders>
          </w:tcPr>
          <w:p w14:paraId="5A7909F7" w14:textId="77777777" w:rsidR="00E41AE6" w:rsidRPr="000904B1" w:rsidRDefault="00E41AE6" w:rsidP="00224F50">
            <w:pPr>
              <w:spacing w:line="480" w:lineRule="auto"/>
              <w:ind w:rightChars="-26" w:right="-62"/>
              <w:jc w:val="center"/>
              <w:rPr>
                <w:rFonts w:ascii="Arial" w:eastAsia="等线" w:hAnsi="Arial" w:cs="Arial"/>
                <w:b/>
              </w:rPr>
            </w:pPr>
            <w:r w:rsidRPr="000904B1">
              <w:rPr>
                <w:rFonts w:ascii="Arial" w:eastAsia="等线" w:hAnsi="Arial" w:cs="Arial"/>
                <w:b/>
                <w:i/>
                <w:iCs/>
              </w:rPr>
              <w:t>P</w:t>
            </w:r>
            <w:r w:rsidRPr="000904B1">
              <w:rPr>
                <w:rFonts w:ascii="Arial" w:eastAsia="等线" w:hAnsi="Arial" w:cs="Arial"/>
                <w:b/>
              </w:rPr>
              <w:t xml:space="preserve"> Value</w:t>
            </w:r>
          </w:p>
        </w:tc>
      </w:tr>
      <w:tr w:rsidR="00E41AE6" w:rsidRPr="000904B1" w14:paraId="7B07B3F6" w14:textId="77777777" w:rsidTr="00224F50">
        <w:trPr>
          <w:trHeight w:val="278"/>
        </w:trPr>
        <w:tc>
          <w:tcPr>
            <w:tcW w:w="3964" w:type="dxa"/>
            <w:tcBorders>
              <w:bottom w:val="single" w:sz="4" w:space="0" w:color="auto"/>
            </w:tcBorders>
            <w:noWrap/>
          </w:tcPr>
          <w:p w14:paraId="7DE93626" w14:textId="77777777" w:rsidR="00E41AE6" w:rsidRPr="000904B1" w:rsidRDefault="00E41AE6" w:rsidP="00224F50">
            <w:pPr>
              <w:tabs>
                <w:tab w:val="left" w:pos="164"/>
              </w:tabs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2217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6CF498F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eastAsia="等线" w:hAnsi="Arial" w:cs="Arial"/>
                <w:b/>
              </w:rPr>
            </w:pPr>
            <w:r w:rsidRPr="000904B1">
              <w:rPr>
                <w:rFonts w:ascii="Arial" w:eastAsia="等线" w:hAnsi="Arial" w:cs="Arial"/>
                <w:b/>
              </w:rPr>
              <w:t>Yes (</w:t>
            </w:r>
            <w:r w:rsidRPr="000904B1">
              <w:rPr>
                <w:rFonts w:ascii="Arial" w:eastAsia="等线" w:hAnsi="Arial" w:cs="Arial"/>
                <w:b/>
                <w:i/>
                <w:iCs/>
              </w:rPr>
              <w:t>n</w:t>
            </w:r>
            <w:r w:rsidRPr="000904B1">
              <w:rPr>
                <w:rFonts w:ascii="Arial" w:eastAsia="等线" w:hAnsi="Arial" w:cs="Arial"/>
                <w:b/>
              </w:rPr>
              <w:t xml:space="preserve"> = 69)</w:t>
            </w:r>
          </w:p>
        </w:tc>
        <w:tc>
          <w:tcPr>
            <w:tcW w:w="208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945F999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eastAsia="等线" w:hAnsi="Arial" w:cs="Arial"/>
                <w:b/>
              </w:rPr>
            </w:pPr>
            <w:r w:rsidRPr="000904B1">
              <w:rPr>
                <w:rFonts w:ascii="Arial" w:eastAsia="等线" w:hAnsi="Arial" w:cs="Arial"/>
                <w:b/>
              </w:rPr>
              <w:t>No (</w:t>
            </w:r>
            <w:r w:rsidRPr="000904B1">
              <w:rPr>
                <w:rFonts w:ascii="Arial" w:eastAsia="等线" w:hAnsi="Arial" w:cs="Arial"/>
                <w:b/>
                <w:i/>
                <w:iCs/>
              </w:rPr>
              <w:t>n</w:t>
            </w:r>
            <w:r w:rsidRPr="000904B1">
              <w:rPr>
                <w:rFonts w:ascii="Arial" w:eastAsia="等线" w:hAnsi="Arial" w:cs="Arial"/>
                <w:b/>
              </w:rPr>
              <w:t xml:space="preserve"> = 49)</w:t>
            </w:r>
          </w:p>
        </w:tc>
        <w:tc>
          <w:tcPr>
            <w:tcW w:w="1785" w:type="dxa"/>
            <w:tcBorders>
              <w:bottom w:val="single" w:sz="4" w:space="0" w:color="auto"/>
            </w:tcBorders>
          </w:tcPr>
          <w:p w14:paraId="5C8525CB" w14:textId="77777777" w:rsidR="00E41AE6" w:rsidRPr="000904B1" w:rsidRDefault="00E41AE6" w:rsidP="00224F50">
            <w:pPr>
              <w:spacing w:line="480" w:lineRule="auto"/>
              <w:ind w:rightChars="-26" w:right="-62"/>
              <w:jc w:val="center"/>
              <w:rPr>
                <w:rFonts w:ascii="Arial" w:eastAsia="等线" w:hAnsi="Arial" w:cs="Arial"/>
                <w:b/>
              </w:rPr>
            </w:pPr>
          </w:p>
        </w:tc>
      </w:tr>
      <w:tr w:rsidR="00E41AE6" w:rsidRPr="000904B1" w14:paraId="2921BA3E" w14:textId="77777777" w:rsidTr="00224F50">
        <w:trPr>
          <w:trHeight w:val="278"/>
        </w:trPr>
        <w:tc>
          <w:tcPr>
            <w:tcW w:w="3964" w:type="dxa"/>
            <w:noWrap/>
          </w:tcPr>
          <w:p w14:paraId="718FCEB0" w14:textId="77777777" w:rsidR="00E41AE6" w:rsidRPr="000904B1" w:rsidRDefault="00E41AE6" w:rsidP="00224F50">
            <w:pPr>
              <w:spacing w:line="480" w:lineRule="auto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 xml:space="preserve">Tissue </w:t>
            </w:r>
            <w:r>
              <w:rPr>
                <w:rFonts w:ascii="Arial" w:hAnsi="Arial" w:cs="Arial"/>
              </w:rPr>
              <w:t>impregnation</w:t>
            </w:r>
            <w:r w:rsidRPr="000904B1">
              <w:rPr>
                <w:rFonts w:ascii="Arial" w:hAnsi="Arial" w:cs="Arial"/>
              </w:rPr>
              <w:t>, grade</w:t>
            </w:r>
          </w:p>
        </w:tc>
        <w:tc>
          <w:tcPr>
            <w:tcW w:w="2217" w:type="dxa"/>
            <w:noWrap/>
          </w:tcPr>
          <w:p w14:paraId="34F92C8D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14.57 ± 12.01</w:t>
            </w:r>
          </w:p>
        </w:tc>
        <w:tc>
          <w:tcPr>
            <w:tcW w:w="2083" w:type="dxa"/>
            <w:noWrap/>
          </w:tcPr>
          <w:p w14:paraId="562EE561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20.65 ± 11.88</w:t>
            </w:r>
          </w:p>
        </w:tc>
        <w:tc>
          <w:tcPr>
            <w:tcW w:w="1785" w:type="dxa"/>
          </w:tcPr>
          <w:p w14:paraId="60229101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0.007*</w:t>
            </w:r>
          </w:p>
        </w:tc>
      </w:tr>
      <w:tr w:rsidR="00E41AE6" w:rsidRPr="000904B1" w14:paraId="4F94F7DE" w14:textId="77777777" w:rsidTr="00224F50">
        <w:trPr>
          <w:trHeight w:val="278"/>
        </w:trPr>
        <w:tc>
          <w:tcPr>
            <w:tcW w:w="3964" w:type="dxa"/>
            <w:noWrap/>
          </w:tcPr>
          <w:p w14:paraId="0DF29F10" w14:textId="77777777" w:rsidR="00E41AE6" w:rsidRPr="000904B1" w:rsidRDefault="00E41AE6" w:rsidP="00224F50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Impregnation</w:t>
            </w:r>
            <w:r w:rsidRPr="000904B1">
              <w:rPr>
                <w:rFonts w:ascii="Arial" w:hAnsi="Arial" w:cs="Arial"/>
              </w:rPr>
              <w:t xml:space="preserve"> of the ACA, grade</w:t>
            </w:r>
          </w:p>
        </w:tc>
        <w:tc>
          <w:tcPr>
            <w:tcW w:w="2217" w:type="dxa"/>
            <w:noWrap/>
          </w:tcPr>
          <w:p w14:paraId="2FCCE7AE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5.58 ± 3.14</w:t>
            </w:r>
          </w:p>
        </w:tc>
        <w:tc>
          <w:tcPr>
            <w:tcW w:w="2083" w:type="dxa"/>
            <w:noWrap/>
          </w:tcPr>
          <w:p w14:paraId="62E0C0E5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4.16 ± 3.25</w:t>
            </w:r>
          </w:p>
        </w:tc>
        <w:tc>
          <w:tcPr>
            <w:tcW w:w="1785" w:type="dxa"/>
          </w:tcPr>
          <w:p w14:paraId="6355045B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0.019*</w:t>
            </w:r>
          </w:p>
        </w:tc>
      </w:tr>
      <w:tr w:rsidR="00E41AE6" w:rsidRPr="000904B1" w14:paraId="5AA2303B" w14:textId="77777777" w:rsidTr="00224F50">
        <w:trPr>
          <w:trHeight w:val="278"/>
        </w:trPr>
        <w:tc>
          <w:tcPr>
            <w:tcW w:w="3964" w:type="dxa"/>
            <w:noWrap/>
          </w:tcPr>
          <w:p w14:paraId="20F5CD34" w14:textId="77777777" w:rsidR="00E41AE6" w:rsidRPr="000904B1" w:rsidRDefault="00E41AE6" w:rsidP="00224F50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Impregnation</w:t>
            </w:r>
            <w:r w:rsidRPr="000904B1">
              <w:rPr>
                <w:rFonts w:ascii="Arial" w:hAnsi="Arial" w:cs="Arial"/>
              </w:rPr>
              <w:t xml:space="preserve"> of the anterior iris surface, grade</w:t>
            </w:r>
          </w:p>
        </w:tc>
        <w:tc>
          <w:tcPr>
            <w:tcW w:w="2217" w:type="dxa"/>
            <w:noWrap/>
          </w:tcPr>
          <w:p w14:paraId="10CDF74B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3.82 ± 3.09</w:t>
            </w:r>
          </w:p>
        </w:tc>
        <w:tc>
          <w:tcPr>
            <w:tcW w:w="2083" w:type="dxa"/>
            <w:noWrap/>
          </w:tcPr>
          <w:p w14:paraId="4894C2F3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5.43 ± 3.07</w:t>
            </w:r>
          </w:p>
        </w:tc>
        <w:tc>
          <w:tcPr>
            <w:tcW w:w="1785" w:type="dxa"/>
          </w:tcPr>
          <w:p w14:paraId="0E07C1CB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0.006*</w:t>
            </w:r>
          </w:p>
        </w:tc>
      </w:tr>
      <w:tr w:rsidR="00E41AE6" w:rsidRPr="000904B1" w14:paraId="119BC0BF" w14:textId="77777777" w:rsidTr="00224F50">
        <w:trPr>
          <w:trHeight w:val="278"/>
        </w:trPr>
        <w:tc>
          <w:tcPr>
            <w:tcW w:w="3964" w:type="dxa"/>
            <w:noWrap/>
          </w:tcPr>
          <w:p w14:paraId="1B213D13" w14:textId="77777777" w:rsidR="00E41AE6" w:rsidRPr="000904B1" w:rsidRDefault="00E41AE6" w:rsidP="00224F50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Impregnation</w:t>
            </w:r>
            <w:r w:rsidRPr="000904B1">
              <w:rPr>
                <w:rFonts w:ascii="Arial" w:hAnsi="Arial" w:cs="Arial"/>
              </w:rPr>
              <w:t xml:space="preserve"> of the posterior iris surface, grade</w:t>
            </w:r>
          </w:p>
        </w:tc>
        <w:tc>
          <w:tcPr>
            <w:tcW w:w="2217" w:type="dxa"/>
            <w:noWrap/>
          </w:tcPr>
          <w:p w14:paraId="6530BC1F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3.29 ± 3.15</w:t>
            </w:r>
          </w:p>
        </w:tc>
        <w:tc>
          <w:tcPr>
            <w:tcW w:w="2083" w:type="dxa"/>
            <w:noWrap/>
          </w:tcPr>
          <w:p w14:paraId="19ADD046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5.10 ± 3.14</w:t>
            </w:r>
          </w:p>
        </w:tc>
        <w:tc>
          <w:tcPr>
            <w:tcW w:w="1785" w:type="dxa"/>
          </w:tcPr>
          <w:p w14:paraId="3C1BCD32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0.002*</w:t>
            </w:r>
          </w:p>
        </w:tc>
      </w:tr>
      <w:tr w:rsidR="00E41AE6" w:rsidRPr="000904B1" w14:paraId="09187863" w14:textId="77777777" w:rsidTr="00224F50">
        <w:trPr>
          <w:trHeight w:val="278"/>
        </w:trPr>
        <w:tc>
          <w:tcPr>
            <w:tcW w:w="3964" w:type="dxa"/>
            <w:noWrap/>
          </w:tcPr>
          <w:p w14:paraId="1F3E211A" w14:textId="77777777" w:rsidR="00E41AE6" w:rsidRPr="000904B1" w:rsidRDefault="00E41AE6" w:rsidP="00224F50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Impregnation</w:t>
            </w:r>
            <w:r w:rsidRPr="000904B1">
              <w:rPr>
                <w:rFonts w:ascii="Arial" w:hAnsi="Arial" w:cs="Arial"/>
              </w:rPr>
              <w:t xml:space="preserve"> of the ciliary body, grade</w:t>
            </w:r>
          </w:p>
        </w:tc>
        <w:tc>
          <w:tcPr>
            <w:tcW w:w="2217" w:type="dxa"/>
            <w:noWrap/>
          </w:tcPr>
          <w:p w14:paraId="2D88A163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3.31 ± 3.11</w:t>
            </w:r>
          </w:p>
        </w:tc>
        <w:tc>
          <w:tcPr>
            <w:tcW w:w="2083" w:type="dxa"/>
            <w:noWrap/>
          </w:tcPr>
          <w:p w14:paraId="6DA41C9E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4.67 ± 3.14</w:t>
            </w:r>
          </w:p>
        </w:tc>
        <w:tc>
          <w:tcPr>
            <w:tcW w:w="1785" w:type="dxa"/>
          </w:tcPr>
          <w:p w14:paraId="4BEAC871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0.022*</w:t>
            </w:r>
          </w:p>
        </w:tc>
      </w:tr>
      <w:tr w:rsidR="00E41AE6" w:rsidRPr="000904B1" w14:paraId="22CE0ABB" w14:textId="77777777" w:rsidTr="00224F50">
        <w:trPr>
          <w:trHeight w:val="278"/>
        </w:trPr>
        <w:tc>
          <w:tcPr>
            <w:tcW w:w="3964" w:type="dxa"/>
            <w:noWrap/>
          </w:tcPr>
          <w:p w14:paraId="0ACF1F92" w14:textId="77777777" w:rsidR="00E41AE6" w:rsidRPr="000904B1" w:rsidRDefault="00E41AE6" w:rsidP="00224F50">
            <w:pPr>
              <w:spacing w:line="480" w:lineRule="auto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Ghost image, grade</w:t>
            </w:r>
          </w:p>
        </w:tc>
        <w:tc>
          <w:tcPr>
            <w:tcW w:w="2217" w:type="dxa"/>
            <w:noWrap/>
          </w:tcPr>
          <w:p w14:paraId="46FAE0F5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1.71 ± 1.56</w:t>
            </w:r>
          </w:p>
        </w:tc>
        <w:tc>
          <w:tcPr>
            <w:tcW w:w="2083" w:type="dxa"/>
            <w:noWrap/>
          </w:tcPr>
          <w:p w14:paraId="2194E455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3.09 ± 2.62</w:t>
            </w:r>
          </w:p>
        </w:tc>
        <w:tc>
          <w:tcPr>
            <w:tcW w:w="1785" w:type="dxa"/>
          </w:tcPr>
          <w:p w14:paraId="680855BC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0.001*</w:t>
            </w:r>
          </w:p>
        </w:tc>
      </w:tr>
      <w:tr w:rsidR="00E41AE6" w:rsidRPr="000904B1" w14:paraId="1E43A8D7" w14:textId="77777777" w:rsidTr="00224F50">
        <w:trPr>
          <w:trHeight w:val="278"/>
        </w:trPr>
        <w:tc>
          <w:tcPr>
            <w:tcW w:w="3964" w:type="dxa"/>
            <w:noWrap/>
          </w:tcPr>
          <w:p w14:paraId="557E5DF5" w14:textId="77777777" w:rsidR="00E41AE6" w:rsidRPr="000904B1" w:rsidRDefault="00E41AE6" w:rsidP="00224F50">
            <w:pPr>
              <w:spacing w:line="480" w:lineRule="auto"/>
              <w:rPr>
                <w:rFonts w:ascii="Arial" w:hAnsi="Arial" w:cs="Arial"/>
              </w:rPr>
            </w:pPr>
            <w:proofErr w:type="spellStart"/>
            <w:r w:rsidRPr="000904B1">
              <w:rPr>
                <w:rFonts w:ascii="Arial" w:hAnsi="Arial" w:cs="Arial"/>
              </w:rPr>
              <w:t>Hyperoleon</w:t>
            </w:r>
            <w:proofErr w:type="spellEnd"/>
            <w:r w:rsidRPr="000904B1">
              <w:rPr>
                <w:rFonts w:ascii="Arial" w:hAnsi="Arial" w:cs="Arial"/>
              </w:rPr>
              <w:t>, grade</w:t>
            </w:r>
          </w:p>
        </w:tc>
        <w:tc>
          <w:tcPr>
            <w:tcW w:w="2217" w:type="dxa"/>
            <w:noWrap/>
          </w:tcPr>
          <w:p w14:paraId="6BE7586B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0.82 ± 1.75</w:t>
            </w:r>
          </w:p>
        </w:tc>
        <w:tc>
          <w:tcPr>
            <w:tcW w:w="2083" w:type="dxa"/>
            <w:noWrap/>
          </w:tcPr>
          <w:p w14:paraId="2537E79A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1.71 ± 2.52</w:t>
            </w:r>
          </w:p>
        </w:tc>
        <w:tc>
          <w:tcPr>
            <w:tcW w:w="1785" w:type="dxa"/>
          </w:tcPr>
          <w:p w14:paraId="6CBCB39E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0.025*</w:t>
            </w:r>
          </w:p>
        </w:tc>
      </w:tr>
      <w:tr w:rsidR="00E41AE6" w:rsidRPr="000904B1" w14:paraId="1BE1E601" w14:textId="77777777" w:rsidTr="00224F50">
        <w:trPr>
          <w:trHeight w:val="278"/>
        </w:trPr>
        <w:tc>
          <w:tcPr>
            <w:tcW w:w="3964" w:type="dxa"/>
            <w:noWrap/>
          </w:tcPr>
          <w:p w14:paraId="24B0FE13" w14:textId="77777777" w:rsidR="00E41AE6" w:rsidRPr="000904B1" w:rsidRDefault="00E41AE6" w:rsidP="00224F50">
            <w:pPr>
              <w:spacing w:line="480" w:lineRule="auto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Floating droplets, grade</w:t>
            </w:r>
          </w:p>
        </w:tc>
        <w:tc>
          <w:tcPr>
            <w:tcW w:w="2217" w:type="dxa"/>
            <w:noWrap/>
          </w:tcPr>
          <w:p w14:paraId="350FDAB2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6.73 ± 2.26</w:t>
            </w:r>
          </w:p>
        </w:tc>
        <w:tc>
          <w:tcPr>
            <w:tcW w:w="2083" w:type="dxa"/>
            <w:noWrap/>
          </w:tcPr>
          <w:p w14:paraId="3C45B68E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7.38 ± 1.62</w:t>
            </w:r>
          </w:p>
        </w:tc>
        <w:tc>
          <w:tcPr>
            <w:tcW w:w="1785" w:type="dxa"/>
          </w:tcPr>
          <w:p w14:paraId="597941E5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0.093</w:t>
            </w:r>
          </w:p>
        </w:tc>
      </w:tr>
      <w:tr w:rsidR="00E41AE6" w:rsidRPr="000904B1" w14:paraId="19808EFD" w14:textId="77777777" w:rsidTr="00224F50">
        <w:trPr>
          <w:trHeight w:val="278"/>
        </w:trPr>
        <w:tc>
          <w:tcPr>
            <w:tcW w:w="3964" w:type="dxa"/>
            <w:noWrap/>
          </w:tcPr>
          <w:p w14:paraId="444178D9" w14:textId="77777777" w:rsidR="00E41AE6" w:rsidRPr="000904B1" w:rsidRDefault="00E41AE6" w:rsidP="00224F50">
            <w:pPr>
              <w:spacing w:line="480" w:lineRule="auto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Endothelial deposits, grade</w:t>
            </w:r>
          </w:p>
        </w:tc>
        <w:tc>
          <w:tcPr>
            <w:tcW w:w="2217" w:type="dxa"/>
            <w:noWrap/>
          </w:tcPr>
          <w:p w14:paraId="1EC5F76C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1.96 ± 2.97</w:t>
            </w:r>
          </w:p>
        </w:tc>
        <w:tc>
          <w:tcPr>
            <w:tcW w:w="2083" w:type="dxa"/>
            <w:noWrap/>
          </w:tcPr>
          <w:p w14:paraId="2BB1B4DD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2.70 ± 3.25</w:t>
            </w:r>
          </w:p>
        </w:tc>
        <w:tc>
          <w:tcPr>
            <w:tcW w:w="1785" w:type="dxa"/>
          </w:tcPr>
          <w:p w14:paraId="5B7458D3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0.204</w:t>
            </w:r>
          </w:p>
        </w:tc>
      </w:tr>
      <w:tr w:rsidR="00E41AE6" w:rsidRPr="000904B1" w14:paraId="5A190093" w14:textId="77777777" w:rsidTr="00224F50">
        <w:trPr>
          <w:trHeight w:val="278"/>
        </w:trPr>
        <w:tc>
          <w:tcPr>
            <w:tcW w:w="3964" w:type="dxa"/>
            <w:tcBorders>
              <w:bottom w:val="single" w:sz="4" w:space="0" w:color="auto"/>
            </w:tcBorders>
            <w:noWrap/>
          </w:tcPr>
          <w:p w14:paraId="73FA4ECF" w14:textId="77777777" w:rsidR="00E41AE6" w:rsidRPr="000904B1" w:rsidRDefault="00E41AE6" w:rsidP="00224F50">
            <w:pPr>
              <w:spacing w:line="480" w:lineRule="auto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 xml:space="preserve">Area of </w:t>
            </w:r>
            <w:proofErr w:type="spellStart"/>
            <w:r w:rsidRPr="000904B1">
              <w:rPr>
                <w:rFonts w:ascii="Arial" w:hAnsi="Arial" w:cs="Arial"/>
              </w:rPr>
              <w:t>hyperoleon</w:t>
            </w:r>
            <w:proofErr w:type="spellEnd"/>
            <w:r w:rsidRPr="000904B1">
              <w:rPr>
                <w:rFonts w:ascii="Arial" w:hAnsi="Arial" w:cs="Arial"/>
              </w:rPr>
              <w:t xml:space="preserve"> (mm</w:t>
            </w:r>
            <w:r w:rsidRPr="000904B1">
              <w:rPr>
                <w:rFonts w:ascii="Arial" w:hAnsi="Arial" w:cs="Arial"/>
                <w:vertAlign w:val="superscript"/>
              </w:rPr>
              <w:t>2</w:t>
            </w:r>
            <w:r w:rsidRPr="000904B1">
              <w:rPr>
                <w:rFonts w:ascii="Arial" w:hAnsi="Arial" w:cs="Arial"/>
              </w:rPr>
              <w:t>)</w:t>
            </w:r>
          </w:p>
        </w:tc>
        <w:tc>
          <w:tcPr>
            <w:tcW w:w="2217" w:type="dxa"/>
            <w:tcBorders>
              <w:bottom w:val="single" w:sz="4" w:space="0" w:color="auto"/>
            </w:tcBorders>
            <w:noWrap/>
          </w:tcPr>
          <w:p w14:paraId="64AE3F4D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66.26 ± 14.27</w:t>
            </w:r>
          </w:p>
        </w:tc>
        <w:tc>
          <w:tcPr>
            <w:tcW w:w="2083" w:type="dxa"/>
            <w:tcBorders>
              <w:bottom w:val="single" w:sz="4" w:space="0" w:color="auto"/>
            </w:tcBorders>
            <w:noWrap/>
          </w:tcPr>
          <w:p w14:paraId="0BBF6097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17.95 ± 94.4</w:t>
            </w:r>
          </w:p>
        </w:tc>
        <w:tc>
          <w:tcPr>
            <w:tcW w:w="1785" w:type="dxa"/>
            <w:tcBorders>
              <w:bottom w:val="single" w:sz="4" w:space="0" w:color="auto"/>
            </w:tcBorders>
          </w:tcPr>
          <w:p w14:paraId="47E93EBF" w14:textId="77777777" w:rsidR="00E41AE6" w:rsidRPr="000904B1" w:rsidRDefault="00E41AE6" w:rsidP="00224F50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0904B1">
              <w:rPr>
                <w:rFonts w:ascii="Arial" w:hAnsi="Arial" w:cs="Arial"/>
              </w:rPr>
              <w:t>0.029*</w:t>
            </w:r>
          </w:p>
        </w:tc>
      </w:tr>
    </w:tbl>
    <w:p w14:paraId="148D6683" w14:textId="0C37E36B" w:rsidR="004858F8" w:rsidRDefault="00E41AE6">
      <w:r w:rsidRPr="000904B1">
        <w:rPr>
          <w:rFonts w:ascii="Arial" w:eastAsia="等线" w:hAnsi="Arial" w:cs="Arial"/>
          <w:color w:val="000000"/>
        </w:rPr>
        <w:t>*</w:t>
      </w:r>
      <w:r w:rsidRPr="000904B1">
        <w:rPr>
          <w:rFonts w:ascii="Arial" w:eastAsia="等线" w:hAnsi="Arial" w:cs="Arial"/>
          <w:i/>
          <w:iCs/>
          <w:color w:val="000000"/>
        </w:rPr>
        <w:t>P</w:t>
      </w:r>
      <w:r w:rsidRPr="000904B1">
        <w:rPr>
          <w:rFonts w:ascii="Arial" w:eastAsia="等线" w:hAnsi="Arial" w:cs="Arial"/>
          <w:color w:val="000000"/>
        </w:rPr>
        <w:t xml:space="preserve"> &lt; 0.05 was considered statistically signiﬁcant. </w:t>
      </w:r>
      <w:r w:rsidRPr="000F525D">
        <w:rPr>
          <w:rFonts w:ascii="Arial" w:hAnsi="Arial" w:cs="Arial"/>
        </w:rPr>
        <w:t xml:space="preserve">Independent-samples </w:t>
      </w:r>
      <w:r w:rsidRPr="000F525D">
        <w:rPr>
          <w:rFonts w:ascii="Arial" w:hAnsi="Arial" w:cs="Arial"/>
          <w:i/>
          <w:iCs/>
        </w:rPr>
        <w:t>t</w:t>
      </w:r>
      <w:r w:rsidRPr="000F525D">
        <w:rPr>
          <w:rFonts w:ascii="Arial" w:hAnsi="Arial" w:cs="Arial"/>
        </w:rPr>
        <w:t xml:space="preserve"> tests were used to assess differences between </w:t>
      </w:r>
      <w:r w:rsidRPr="00941080">
        <w:rPr>
          <w:rFonts w:ascii="Arial" w:eastAsia="等线" w:hAnsi="Arial" w:cs="Arial"/>
          <w:color w:val="000000"/>
        </w:rPr>
        <w:t>patients with or without ocular hypertension (IOP &gt; 21 mmHg or use of antiglaucoma medications</w:t>
      </w:r>
      <w:r w:rsidRPr="000904B1">
        <w:rPr>
          <w:rFonts w:ascii="Arial" w:eastAsia="等线" w:hAnsi="Arial" w:cs="Arial"/>
          <w:color w:val="000000"/>
        </w:rPr>
        <w:t>)</w:t>
      </w:r>
      <w:r w:rsidRPr="000F525D">
        <w:rPr>
          <w:rFonts w:ascii="Arial" w:hAnsi="Arial" w:cs="Arial"/>
        </w:rPr>
        <w:t>.</w:t>
      </w:r>
    </w:p>
    <w:sectPr w:rsidR="004858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AE6"/>
    <w:rsid w:val="004858F8"/>
    <w:rsid w:val="00E4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6EB25"/>
  <w15:chartTrackingRefBased/>
  <w15:docId w15:val="{97BD4A16-F690-4C80-9493-4A7A8CED2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1AE6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1AE6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远达</dc:creator>
  <cp:keywords/>
  <dc:description/>
  <cp:lastModifiedBy>李 远达</cp:lastModifiedBy>
  <cp:revision>1</cp:revision>
  <dcterms:created xsi:type="dcterms:W3CDTF">2021-05-25T14:24:00Z</dcterms:created>
  <dcterms:modified xsi:type="dcterms:W3CDTF">2021-05-25T14:24:00Z</dcterms:modified>
</cp:coreProperties>
</file>