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15ED" w:rsidRDefault="009715ED" w:rsidP="009715ED">
      <w:pPr>
        <w:spacing w:after="0"/>
        <w:jc w:val="both"/>
        <w:rPr>
          <w:lang w:val="en-US"/>
        </w:rPr>
      </w:pPr>
      <w:bookmarkStart w:id="0" w:name="_GoBack"/>
      <w:bookmarkEnd w:id="0"/>
      <w:r w:rsidRPr="009715ED">
        <w:rPr>
          <w:b/>
          <w:lang w:val="en-US"/>
        </w:rPr>
        <w:t>Table S1.</w:t>
      </w:r>
      <w:r w:rsidRPr="009715ED">
        <w:rPr>
          <w:lang w:val="en-US"/>
        </w:rPr>
        <w:t xml:space="preserve"> </w:t>
      </w:r>
      <w:r w:rsidR="003F0FC2" w:rsidRPr="003F0FC2">
        <w:rPr>
          <w:lang w:val="en-US"/>
        </w:rPr>
        <w:t>Mann-Whitney U</w:t>
      </w:r>
      <w:r w:rsidRPr="009715ED">
        <w:rPr>
          <w:lang w:val="en-US"/>
        </w:rPr>
        <w:t xml:space="preserve"> test between genders and age groups in CTRL and obese subjects. Obese and CTRL groups have been stratified for gender and</w:t>
      </w:r>
      <w:r w:rsidR="00284417">
        <w:rPr>
          <w:lang w:val="en-US"/>
        </w:rPr>
        <w:t>,</w:t>
      </w:r>
      <w:r w:rsidRPr="009715ED">
        <w:rPr>
          <w:lang w:val="en-US"/>
        </w:rPr>
        <w:t xml:space="preserve"> on the bases of the age median value</w:t>
      </w:r>
      <w:r w:rsidR="00284417">
        <w:rPr>
          <w:lang w:val="en-US"/>
        </w:rPr>
        <w:t xml:space="preserve"> (</w:t>
      </w:r>
      <w:r w:rsidRPr="009715ED">
        <w:rPr>
          <w:lang w:val="en-US"/>
        </w:rPr>
        <w:t>13 years</w:t>
      </w:r>
      <w:r w:rsidR="00284417">
        <w:rPr>
          <w:lang w:val="en-US"/>
        </w:rPr>
        <w:t>)</w:t>
      </w:r>
      <w:r w:rsidRPr="009715ED">
        <w:rPr>
          <w:lang w:val="en-US"/>
        </w:rPr>
        <w:t xml:space="preserve"> in age≥13 years and age&lt;13 years and compared by </w:t>
      </w:r>
      <w:r w:rsidR="00280D28" w:rsidRPr="00280D28">
        <w:rPr>
          <w:lang w:val="en-US"/>
        </w:rPr>
        <w:t xml:space="preserve">Mann-Whitney U </w:t>
      </w:r>
      <w:r w:rsidRPr="009715ED">
        <w:rPr>
          <w:lang w:val="en-US"/>
        </w:rPr>
        <w:t>test.</w:t>
      </w:r>
      <w:r w:rsidR="00280D28">
        <w:rPr>
          <w:lang w:val="en-US"/>
        </w:rPr>
        <w:t xml:space="preserve"> In bold, p values ≤0.05.</w:t>
      </w:r>
    </w:p>
    <w:tbl>
      <w:tblPr>
        <w:tblW w:w="9918" w:type="dxa"/>
        <w:tblCellMar>
          <w:left w:w="70" w:type="dxa"/>
          <w:right w:w="70" w:type="dxa"/>
        </w:tblCellMar>
        <w:tblLook w:val="04A0" w:firstRow="1" w:lastRow="0" w:firstColumn="1" w:lastColumn="0" w:noHBand="0" w:noVBand="1"/>
      </w:tblPr>
      <w:tblGrid>
        <w:gridCol w:w="2547"/>
        <w:gridCol w:w="847"/>
        <w:gridCol w:w="996"/>
        <w:gridCol w:w="860"/>
        <w:gridCol w:w="995"/>
        <w:gridCol w:w="832"/>
        <w:gridCol w:w="998"/>
        <w:gridCol w:w="871"/>
        <w:gridCol w:w="972"/>
      </w:tblGrid>
      <w:tr w:rsidR="003F0FC2" w:rsidRPr="00280D28" w:rsidTr="00F7499B">
        <w:trPr>
          <w:trHeight w:val="253"/>
        </w:trPr>
        <w:tc>
          <w:tcPr>
            <w:tcW w:w="2547" w:type="dxa"/>
            <w:tcBorders>
              <w:top w:val="single" w:sz="4" w:space="0" w:color="auto"/>
              <w:left w:val="single" w:sz="4" w:space="0" w:color="auto"/>
              <w:bottom w:val="single" w:sz="4" w:space="0" w:color="auto"/>
              <w:right w:val="nil"/>
            </w:tcBorders>
            <w:shd w:val="clear" w:color="auto" w:fill="auto"/>
            <w:noWrap/>
            <w:vAlign w:val="center"/>
            <w:hideMark/>
          </w:tcPr>
          <w:p w:rsidR="003F0FC2" w:rsidRPr="003F0FC2" w:rsidRDefault="003F0FC2" w:rsidP="003F0FC2">
            <w:pPr>
              <w:spacing w:after="0" w:line="240" w:lineRule="auto"/>
              <w:rPr>
                <w:rFonts w:eastAsia="Times New Roman" w:cs="Times New Roman"/>
                <w:sz w:val="20"/>
                <w:szCs w:val="20"/>
                <w:lang w:val="en-US" w:eastAsia="it-IT"/>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0FC2" w:rsidRPr="003F0FC2" w:rsidRDefault="003F0FC2" w:rsidP="003F0FC2">
            <w:pPr>
              <w:spacing w:after="0" w:line="240" w:lineRule="auto"/>
              <w:jc w:val="center"/>
              <w:rPr>
                <w:rFonts w:eastAsia="Times New Roman" w:cs="Times New Roman"/>
                <w:color w:val="000000"/>
                <w:sz w:val="20"/>
                <w:szCs w:val="20"/>
                <w:lang w:val="en-US" w:eastAsia="it-IT"/>
              </w:rPr>
            </w:pPr>
            <w:r w:rsidRPr="003F0FC2">
              <w:rPr>
                <w:rFonts w:eastAsia="Times New Roman" w:cs="Times New Roman"/>
                <w:color w:val="000000"/>
                <w:sz w:val="20"/>
                <w:szCs w:val="20"/>
                <w:lang w:val="en-US" w:eastAsia="it-IT"/>
              </w:rPr>
              <w:t>CTRL F vs CTRL M</w:t>
            </w:r>
          </w:p>
        </w:tc>
        <w:tc>
          <w:tcPr>
            <w:tcW w:w="1855" w:type="dxa"/>
            <w:gridSpan w:val="2"/>
            <w:tcBorders>
              <w:top w:val="single" w:sz="4" w:space="0" w:color="auto"/>
              <w:left w:val="nil"/>
              <w:bottom w:val="single" w:sz="4" w:space="0" w:color="auto"/>
              <w:right w:val="single" w:sz="4" w:space="0" w:color="auto"/>
            </w:tcBorders>
            <w:shd w:val="clear" w:color="auto" w:fill="auto"/>
            <w:noWrap/>
            <w:vAlign w:val="center"/>
            <w:hideMark/>
          </w:tcPr>
          <w:p w:rsidR="003F0FC2" w:rsidRPr="003F0FC2" w:rsidRDefault="003F0FC2" w:rsidP="003F0FC2">
            <w:pPr>
              <w:spacing w:after="0" w:line="240" w:lineRule="auto"/>
              <w:jc w:val="center"/>
              <w:rPr>
                <w:rFonts w:eastAsia="Times New Roman" w:cs="Times New Roman"/>
                <w:color w:val="000000"/>
                <w:sz w:val="20"/>
                <w:szCs w:val="20"/>
                <w:lang w:val="en-US" w:eastAsia="it-IT"/>
              </w:rPr>
            </w:pPr>
            <w:r w:rsidRPr="003F0FC2">
              <w:rPr>
                <w:rFonts w:eastAsia="Times New Roman" w:cs="Times New Roman"/>
                <w:color w:val="000000"/>
                <w:sz w:val="20"/>
                <w:szCs w:val="20"/>
                <w:lang w:val="en-US" w:eastAsia="it-IT"/>
              </w:rPr>
              <w:t>Obese F vs Obese M</w:t>
            </w:r>
          </w:p>
        </w:tc>
        <w:tc>
          <w:tcPr>
            <w:tcW w:w="1830" w:type="dxa"/>
            <w:gridSpan w:val="2"/>
            <w:tcBorders>
              <w:top w:val="single" w:sz="4" w:space="0" w:color="auto"/>
              <w:left w:val="nil"/>
              <w:bottom w:val="single" w:sz="4" w:space="0" w:color="auto"/>
              <w:right w:val="single" w:sz="4" w:space="0" w:color="auto"/>
            </w:tcBorders>
            <w:shd w:val="clear" w:color="auto" w:fill="auto"/>
            <w:noWrap/>
            <w:vAlign w:val="center"/>
            <w:hideMark/>
          </w:tcPr>
          <w:p w:rsidR="003F0FC2" w:rsidRPr="003F0FC2" w:rsidRDefault="003F0FC2" w:rsidP="003F0FC2">
            <w:pPr>
              <w:spacing w:after="0" w:line="240" w:lineRule="auto"/>
              <w:jc w:val="center"/>
              <w:rPr>
                <w:rFonts w:eastAsia="Times New Roman" w:cs="Times New Roman"/>
                <w:color w:val="000000"/>
                <w:sz w:val="20"/>
                <w:szCs w:val="20"/>
                <w:lang w:eastAsia="it-IT"/>
              </w:rPr>
            </w:pPr>
            <w:r w:rsidRPr="003F0FC2">
              <w:rPr>
                <w:rFonts w:eastAsia="Times New Roman" w:cs="Times New Roman"/>
                <w:color w:val="000000"/>
                <w:sz w:val="20"/>
                <w:szCs w:val="20"/>
                <w:lang w:eastAsia="it-IT"/>
              </w:rPr>
              <w:t>CTRL+ vs CTRL-</w:t>
            </w:r>
          </w:p>
        </w:tc>
        <w:tc>
          <w:tcPr>
            <w:tcW w:w="1843" w:type="dxa"/>
            <w:gridSpan w:val="2"/>
            <w:tcBorders>
              <w:top w:val="single" w:sz="4" w:space="0" w:color="auto"/>
              <w:left w:val="nil"/>
              <w:bottom w:val="single" w:sz="4" w:space="0" w:color="auto"/>
              <w:right w:val="single" w:sz="4" w:space="0" w:color="auto"/>
            </w:tcBorders>
            <w:shd w:val="clear" w:color="auto" w:fill="auto"/>
            <w:noWrap/>
            <w:vAlign w:val="center"/>
            <w:hideMark/>
          </w:tcPr>
          <w:p w:rsidR="003F0FC2" w:rsidRPr="003F0FC2" w:rsidRDefault="003F0FC2" w:rsidP="003F0FC2">
            <w:pPr>
              <w:spacing w:after="0" w:line="240" w:lineRule="auto"/>
              <w:jc w:val="center"/>
              <w:rPr>
                <w:rFonts w:eastAsia="Times New Roman" w:cs="Times New Roman"/>
                <w:color w:val="000000"/>
                <w:sz w:val="20"/>
                <w:szCs w:val="20"/>
                <w:lang w:eastAsia="it-IT"/>
              </w:rPr>
            </w:pPr>
            <w:r w:rsidRPr="003F0FC2">
              <w:rPr>
                <w:rFonts w:eastAsia="Times New Roman" w:cs="Times New Roman"/>
                <w:color w:val="000000"/>
                <w:sz w:val="20"/>
                <w:szCs w:val="20"/>
                <w:lang w:eastAsia="it-IT"/>
              </w:rPr>
              <w:t>Obese+ vs Obese-</w:t>
            </w:r>
          </w:p>
        </w:tc>
      </w:tr>
      <w:tr w:rsidR="003F0FC2" w:rsidRPr="00280D28" w:rsidTr="00F7499B">
        <w:trPr>
          <w:trHeight w:val="300"/>
        </w:trPr>
        <w:tc>
          <w:tcPr>
            <w:tcW w:w="2547" w:type="dxa"/>
            <w:vMerge w:val="restart"/>
            <w:tcBorders>
              <w:top w:val="single" w:sz="4" w:space="0" w:color="auto"/>
              <w:left w:val="single" w:sz="4" w:space="0" w:color="auto"/>
              <w:bottom w:val="single" w:sz="4" w:space="0" w:color="auto"/>
              <w:right w:val="nil"/>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Microbiota features</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Mann-Whitney U</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Monte Carlo Sig. (2-tailed)</w:t>
            </w: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Mann-Whitney U</w:t>
            </w:r>
          </w:p>
        </w:tc>
        <w:tc>
          <w:tcPr>
            <w:tcW w:w="995" w:type="dxa"/>
            <w:vMerge w:val="restart"/>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Monte Carlo Sig. (2-tailed)</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Mann-Whitney U</w:t>
            </w:r>
          </w:p>
        </w:tc>
        <w:tc>
          <w:tcPr>
            <w:tcW w:w="998" w:type="dxa"/>
            <w:vMerge w:val="restart"/>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Monte Carlo Sig. (2-tailed)</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Mann-Whitney U</w:t>
            </w:r>
          </w:p>
        </w:tc>
        <w:tc>
          <w:tcPr>
            <w:tcW w:w="972" w:type="dxa"/>
            <w:vMerge w:val="restart"/>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Monte Carlo Sig. (2-tailed)</w:t>
            </w:r>
          </w:p>
        </w:tc>
      </w:tr>
      <w:tr w:rsidR="003F0FC2" w:rsidRPr="00280D28" w:rsidTr="00F7499B">
        <w:trPr>
          <w:trHeight w:val="450"/>
        </w:trPr>
        <w:tc>
          <w:tcPr>
            <w:tcW w:w="2547" w:type="dxa"/>
            <w:vMerge/>
            <w:tcBorders>
              <w:top w:val="single" w:sz="4" w:space="0" w:color="auto"/>
              <w:left w:val="single" w:sz="4" w:space="0" w:color="auto"/>
              <w:bottom w:val="single" w:sz="4" w:space="0" w:color="auto"/>
              <w:right w:val="nil"/>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0" w:type="auto"/>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996" w:type="dxa"/>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860" w:type="dxa"/>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995" w:type="dxa"/>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0" w:type="auto"/>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998" w:type="dxa"/>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0" w:type="auto"/>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972" w:type="dxa"/>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r>
      <w:tr w:rsidR="003F0FC2" w:rsidRPr="00280D28" w:rsidTr="00F7499B">
        <w:trPr>
          <w:trHeight w:val="450"/>
        </w:trPr>
        <w:tc>
          <w:tcPr>
            <w:tcW w:w="2547" w:type="dxa"/>
            <w:vMerge/>
            <w:tcBorders>
              <w:top w:val="single" w:sz="4" w:space="0" w:color="auto"/>
              <w:left w:val="single" w:sz="4" w:space="0" w:color="auto"/>
              <w:bottom w:val="single" w:sz="4" w:space="0" w:color="auto"/>
              <w:right w:val="nil"/>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0" w:type="auto"/>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996" w:type="dxa"/>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860" w:type="dxa"/>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995" w:type="dxa"/>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0" w:type="auto"/>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998" w:type="dxa"/>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0" w:type="auto"/>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c>
          <w:tcPr>
            <w:tcW w:w="972" w:type="dxa"/>
            <w:vMerge/>
            <w:tcBorders>
              <w:top w:val="nil"/>
              <w:left w:val="single" w:sz="4" w:space="0" w:color="auto"/>
              <w:bottom w:val="single" w:sz="4" w:space="0" w:color="auto"/>
              <w:right w:val="single" w:sz="4" w:space="0" w:color="auto"/>
            </w:tcBorders>
            <w:shd w:val="clear" w:color="auto" w:fill="auto"/>
            <w:vAlign w:val="center"/>
            <w:hideMark/>
          </w:tcPr>
          <w:p w:rsidR="003F0FC2" w:rsidRPr="003F0FC2" w:rsidRDefault="003F0FC2" w:rsidP="003F0FC2">
            <w:pPr>
              <w:spacing w:after="0" w:line="240" w:lineRule="auto"/>
              <w:rPr>
                <w:rFonts w:eastAsia="Times New Roman" w:cs="Arial"/>
                <w:color w:val="000000"/>
                <w:sz w:val="20"/>
                <w:szCs w:val="20"/>
                <w:lang w:eastAsia="it-IT"/>
              </w:rPr>
            </w:pP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Shannon index</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135.00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0.27</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402.00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0.10</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141.00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0.65</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292.00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0.49</w:t>
            </w:r>
          </w:p>
        </w:tc>
      </w:tr>
      <w:tr w:rsidR="003F0FC2" w:rsidRPr="00280D28" w:rsidTr="00F7499B">
        <w:trPr>
          <w:trHeight w:val="94"/>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Chao1 index</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165.00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0.84</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491.00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121.00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0.28</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293.00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0.50</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Ruminococcaceae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113.00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0.08</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476.00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66.00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b/>
                <w:color w:val="000000"/>
                <w:sz w:val="20"/>
                <w:szCs w:val="20"/>
                <w:lang w:eastAsia="it-IT"/>
              </w:rPr>
            </w:pPr>
            <w:r w:rsidRPr="003F0FC2">
              <w:rPr>
                <w:rFonts w:eastAsia="Times New Roman" w:cs="Arial"/>
                <w:b/>
                <w:color w:val="000000"/>
                <w:sz w:val="20"/>
                <w:szCs w:val="20"/>
                <w:lang w:eastAsia="it-IT"/>
              </w:rPr>
              <w:t>0.00</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306.00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0.64</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i/>
                <w:color w:val="000000"/>
                <w:sz w:val="20"/>
                <w:szCs w:val="20"/>
                <w:lang w:eastAsia="it-IT"/>
              </w:rPr>
            </w:pPr>
            <w:r w:rsidRPr="003F0FC2">
              <w:rPr>
                <w:rFonts w:eastAsia="Times New Roman" w:cs="Arial"/>
                <w:i/>
                <w:color w:val="000000"/>
                <w:sz w:val="20"/>
                <w:szCs w:val="20"/>
                <w:lang w:eastAsia="it-IT"/>
              </w:rPr>
              <w:t>Faecalibacterium</w:t>
            </w:r>
            <w:r w:rsidR="00280D28" w:rsidRPr="00280D28">
              <w:rPr>
                <w:rFonts w:eastAsia="Times New Roman" w:cs="Arial"/>
                <w:i/>
                <w:color w:val="000000"/>
                <w:sz w:val="20"/>
                <w:szCs w:val="20"/>
                <w:lang w:eastAsia="it-IT"/>
              </w:rPr>
              <w:t xml:space="preserve"> </w:t>
            </w:r>
            <w:r w:rsidRPr="003F0FC2">
              <w:rPr>
                <w:rFonts w:eastAsia="Times New Roman" w:cs="Arial"/>
                <w:i/>
                <w:color w:val="000000"/>
                <w:sz w:val="20"/>
                <w:szCs w:val="20"/>
                <w:lang w:eastAsia="it-IT"/>
              </w:rPr>
              <w:t>prausnitzii</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164.00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0.81</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525.50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0.98</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116.00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308.00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0.67</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Bacteroides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107.00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0.05</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463.00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148.00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288.00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0.45</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Lachnospiraceae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163.00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0.79</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490.00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143.00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0.70</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314.00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0.73</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Dialister</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141.50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0.36</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515.00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0.87</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116.50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231.00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0.09</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Ruminococcus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170.00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0.95</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441.00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0.27</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153.00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262.00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0.24</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Rikenellaceae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159.00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0.70</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436.50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0.25</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155.00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257.00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0.21</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Enterobacteriaceae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130.00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0.21</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409.00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149.50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277.00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0.35</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Bacteroidaceae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132.00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0.24</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477.00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155.00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271.00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0.30</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Barnesiellaceae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161.00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0.75</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526.00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0.98</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134.00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287.00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0.43</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Oscillospira</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153.00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0.58</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435.00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89.00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tabs>
                <w:tab w:val="right" w:pos="729"/>
              </w:tabs>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w:t>
            </w:r>
            <w:r w:rsidR="00280D28" w:rsidRPr="00280D28">
              <w:rPr>
                <w:rFonts w:eastAsia="Times New Roman" w:cs="Arial"/>
                <w:color w:val="000000"/>
                <w:sz w:val="20"/>
                <w:szCs w:val="20"/>
                <w:lang w:eastAsia="it-IT"/>
              </w:rPr>
              <w:t>5</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241.00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0.13</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Prevotella</w:t>
            </w:r>
            <w:r w:rsid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copri</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167.00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0.88</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425.50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143.00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0.70</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286.50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0.38</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Prevotella</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108.00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0.06</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453.50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0.26</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138.00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276.00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0.27</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Bacteroides</w:t>
            </w:r>
            <w:r w:rsidR="00F7499B" w:rsidRP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ovatus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156.00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0.64</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400.50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97.00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0.07</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262.00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0.23</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Parabacteroides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165.00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0.84</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455.00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130.00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328.00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0.90</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Bacteroides</w:t>
            </w:r>
            <w:r w:rsidR="00280D28" w:rsidRP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fragilis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147.50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0.46</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356.00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b/>
                <w:color w:val="000000"/>
                <w:sz w:val="20"/>
                <w:szCs w:val="20"/>
                <w:lang w:eastAsia="it-IT"/>
              </w:rPr>
            </w:pPr>
            <w:r w:rsidRPr="003F0FC2">
              <w:rPr>
                <w:rFonts w:eastAsia="Times New Roman" w:cs="Arial"/>
                <w:b/>
                <w:color w:val="000000"/>
                <w:sz w:val="20"/>
                <w:szCs w:val="20"/>
                <w:lang w:eastAsia="it-IT"/>
              </w:rPr>
              <w:t>0.01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102.00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244.00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0.10</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Erysipelotrichaceae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155.50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0.62</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453.00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132.00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0.47</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301.00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0.59</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Akkermansia</w:t>
            </w:r>
            <w:r w:rsidR="00280D28" w:rsidRP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muciniphila</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148.00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0.48</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497.00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0.65</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131.00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0.45</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312.50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0.67</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Roseburia</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165.00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0.84</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521.00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145.50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0.75</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315.00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0.74</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Blautia</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121.50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0.13</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515.00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0.87</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134.50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254.00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0.19</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Sutterella</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138.00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0.31</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523.50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0.96</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127.00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0.38</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249.00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0.14</w:t>
            </w:r>
          </w:p>
        </w:tc>
      </w:tr>
      <w:tr w:rsidR="003F0FC2" w:rsidRPr="00280D28" w:rsidTr="00F7499B">
        <w:trPr>
          <w:trHeight w:val="67"/>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Streptococcus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143.00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0.39</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518.50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144.50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270.50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0.30</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Phascolarctobacterium</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156.50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0.64</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388.00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b/>
                <w:color w:val="000000"/>
                <w:sz w:val="20"/>
                <w:szCs w:val="20"/>
                <w:lang w:eastAsia="it-IT"/>
              </w:rPr>
            </w:pPr>
            <w:r w:rsidRPr="003F0FC2">
              <w:rPr>
                <w:rFonts w:eastAsia="Times New Roman" w:cs="Arial"/>
                <w:b/>
                <w:color w:val="000000"/>
                <w:sz w:val="20"/>
                <w:szCs w:val="20"/>
                <w:lang w:eastAsia="it-IT"/>
              </w:rPr>
              <w:t>0.04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112.50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0.17</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268.00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0.22</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Clostridiaceae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157.00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0.66</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401.00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0.10</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116.00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242.00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0.13</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Bacteroides</w:t>
            </w:r>
            <w:r w:rsidR="00F7499B">
              <w:rPr>
                <w:rFonts w:eastAsia="Times New Roman" w:cs="Arial"/>
                <w:color w:val="000000"/>
                <w:sz w:val="20"/>
                <w:szCs w:val="20"/>
                <w:lang w:eastAsia="it-IT"/>
              </w:rPr>
              <w:t xml:space="preserve"> </w:t>
            </w:r>
            <w:r w:rsidRPr="003F0FC2">
              <w:rPr>
                <w:rFonts w:eastAsia="Times New Roman" w:cs="Arial"/>
                <w:color w:val="000000"/>
                <w:sz w:val="20"/>
                <w:szCs w:val="20"/>
                <w:lang w:eastAsia="it-IT"/>
              </w:rPr>
              <w:t>caccae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158.00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0.68</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487.00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0.57</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125.00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285.00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0.37</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Moraxellaceae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148.50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0.48</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507.00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0.75</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146.50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0.77</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318.00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0.73</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Collinsella</w:t>
            </w:r>
            <w:r w:rsidR="00280D28" w:rsidRP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aerofaciens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152.50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0.56</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480.00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0.48</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114.00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0.20</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329.50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0.91</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Clostridium</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124.00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0.15</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481.50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0.55</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140.50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296.50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0.53</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Dorea</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150.00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0.52</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489.00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148.00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305.00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0.63</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Anaerostipes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146.00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0.44</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364.00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b/>
                <w:color w:val="000000"/>
                <w:sz w:val="20"/>
                <w:szCs w:val="20"/>
                <w:lang w:eastAsia="it-IT"/>
              </w:rPr>
            </w:pPr>
            <w:r w:rsidRPr="003F0FC2">
              <w:rPr>
                <w:rFonts w:eastAsia="Times New Roman" w:cs="Arial"/>
                <w:b/>
                <w:color w:val="000000"/>
                <w:sz w:val="20"/>
                <w:szCs w:val="20"/>
                <w:lang w:eastAsia="it-IT"/>
              </w:rPr>
              <w:t>0.03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118.00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205.50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b/>
                <w:color w:val="000000"/>
                <w:sz w:val="20"/>
                <w:szCs w:val="20"/>
                <w:lang w:eastAsia="it-IT"/>
              </w:rPr>
            </w:pPr>
            <w:r w:rsidRPr="003F0FC2">
              <w:rPr>
                <w:rFonts w:eastAsia="Times New Roman" w:cs="Arial"/>
                <w:b/>
                <w:color w:val="000000"/>
                <w:sz w:val="20"/>
                <w:szCs w:val="20"/>
                <w:lang w:eastAsia="it-IT"/>
              </w:rPr>
              <w:t>0.03</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Coprococcus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154.00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0.60</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522.00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140.00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294.00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0.51</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Lachnospira</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148.00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0.48</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498.00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116.00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310.00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0.68</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Christensenellaceae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151.00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0.54</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527.00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140.00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262.00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0.19</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Mogibacteriaceae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149.00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0.50</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444.00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154.00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0.96</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327.00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0.89</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Haemophilus</w:t>
            </w:r>
            <w:r w:rsidR="00280D28" w:rsidRP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parainfluenzae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168.00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0.91</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521.00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133.00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247.50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0.06</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Ruminococcus</w:t>
            </w:r>
            <w:r w:rsidR="00280D28" w:rsidRP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gnavus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136.50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0.29</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454.50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0.30</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152.50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321.00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0.80</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Veillonella</w:t>
            </w:r>
            <w:r w:rsidR="00280D28" w:rsidRP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dispar</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149.00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0.50</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454.50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89.00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b/>
                <w:color w:val="000000"/>
                <w:sz w:val="20"/>
                <w:szCs w:val="20"/>
                <w:lang w:eastAsia="it-IT"/>
              </w:rPr>
            </w:pPr>
            <w:r w:rsidRPr="003F0FC2">
              <w:rPr>
                <w:rFonts w:eastAsia="Times New Roman" w:cs="Arial"/>
                <w:b/>
                <w:color w:val="000000"/>
                <w:sz w:val="20"/>
                <w:szCs w:val="20"/>
                <w:lang w:eastAsia="it-IT"/>
              </w:rPr>
              <w:t>0.04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294.00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0.43</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3F0FC2" w:rsidRDefault="003F0FC2" w:rsidP="003F0FC2">
            <w:pPr>
              <w:spacing w:after="0" w:line="240" w:lineRule="auto"/>
              <w:rPr>
                <w:rFonts w:eastAsia="Times New Roman" w:cs="Arial"/>
                <w:color w:val="000000"/>
                <w:sz w:val="20"/>
                <w:szCs w:val="20"/>
                <w:lang w:eastAsia="it-IT"/>
              </w:rPr>
            </w:pPr>
            <w:r w:rsidRPr="003F0FC2">
              <w:rPr>
                <w:rFonts w:eastAsia="Times New Roman" w:cs="Arial"/>
                <w:color w:val="000000"/>
                <w:sz w:val="20"/>
                <w:szCs w:val="20"/>
                <w:lang w:eastAsia="it-IT"/>
              </w:rPr>
              <w:t>Coriobacteriaceae</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168.00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0.91</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439.00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127.50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0.38</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312.00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0.69</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Parabacteroides</w:t>
            </w:r>
            <w:r w:rsidR="00280D28" w:rsidRP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distasonis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155.50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0.62</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442.50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144.50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261.00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0.21</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Butyricimonas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146.00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0.44</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421.00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0.08</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107.00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312.00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0.64</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Granulicatella</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171.00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0.98</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496.00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130.50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0.43</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249.00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0.10</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Turicibacter</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149.00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0.50</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523.00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0.95</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149.50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0.84</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263.00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0.20</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Odoribacter</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142.00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0.38</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492.00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0.60</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154.00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0.96</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286.50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0.38</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Actinomyces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154.00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0.60</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485.00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0.52</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147.00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0.79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312.00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0.65</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lastRenderedPageBreak/>
              <w:t>Eubacterium</w:t>
            </w:r>
            <w:r w:rsidR="00280D28" w:rsidRP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dolichum</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150.00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0.52</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422.00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0.10</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138.00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0.59</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280.00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0.30</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Bacteroides</w:t>
            </w:r>
            <w:r w:rsidR="00280D28" w:rsidRPr="00F7499B">
              <w:rPr>
                <w:rFonts w:eastAsia="Times New Roman" w:cs="Arial"/>
                <w:i/>
                <w:color w:val="000000"/>
                <w:sz w:val="20"/>
                <w:szCs w:val="20"/>
                <w:lang w:eastAsia="it-IT"/>
              </w:rPr>
              <w:t xml:space="preserve"> </w:t>
            </w:r>
            <w:r w:rsidRPr="00F7499B">
              <w:rPr>
                <w:rFonts w:eastAsia="Times New Roman" w:cs="Arial"/>
                <w:i/>
                <w:color w:val="000000"/>
                <w:sz w:val="20"/>
                <w:szCs w:val="20"/>
                <w:lang w:eastAsia="it-IT"/>
              </w:rPr>
              <w:t>uniformis</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124.00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0.15</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446.00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0.17</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132.00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0.47</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240.00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0.05</w:t>
            </w:r>
          </w:p>
        </w:tc>
      </w:tr>
      <w:tr w:rsidR="003F0FC2" w:rsidRPr="00280D28" w:rsidTr="00F7499B">
        <w:trPr>
          <w:trHeight w:val="60"/>
        </w:trPr>
        <w:tc>
          <w:tcPr>
            <w:tcW w:w="2547" w:type="dxa"/>
            <w:tcBorders>
              <w:top w:val="nil"/>
              <w:left w:val="single" w:sz="4" w:space="0" w:color="auto"/>
              <w:bottom w:val="single" w:sz="4" w:space="0" w:color="auto"/>
              <w:right w:val="single" w:sz="4" w:space="0" w:color="auto"/>
            </w:tcBorders>
            <w:shd w:val="clear" w:color="auto" w:fill="auto"/>
            <w:vAlign w:val="bottom"/>
            <w:hideMark/>
          </w:tcPr>
          <w:p w:rsidR="003F0FC2" w:rsidRPr="00F7499B" w:rsidRDefault="003F0FC2" w:rsidP="003F0FC2">
            <w:pPr>
              <w:spacing w:after="0" w:line="240" w:lineRule="auto"/>
              <w:rPr>
                <w:rFonts w:eastAsia="Times New Roman" w:cs="Arial"/>
                <w:i/>
                <w:color w:val="000000"/>
                <w:sz w:val="20"/>
                <w:szCs w:val="20"/>
                <w:lang w:eastAsia="it-IT"/>
              </w:rPr>
            </w:pPr>
            <w:r w:rsidRPr="00F7499B">
              <w:rPr>
                <w:rFonts w:eastAsia="Times New Roman" w:cs="Arial"/>
                <w:i/>
                <w:color w:val="000000"/>
                <w:sz w:val="20"/>
                <w:szCs w:val="20"/>
                <w:lang w:eastAsia="it-IT"/>
              </w:rPr>
              <w:t>Holdemania</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168.00</w:t>
            </w:r>
          </w:p>
        </w:tc>
        <w:tc>
          <w:tcPr>
            <w:tcW w:w="996"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0.91</w:t>
            </w:r>
          </w:p>
        </w:tc>
        <w:tc>
          <w:tcPr>
            <w:tcW w:w="860"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472.50</w:t>
            </w:r>
          </w:p>
        </w:tc>
        <w:tc>
          <w:tcPr>
            <w:tcW w:w="995"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129.50</w:t>
            </w:r>
          </w:p>
        </w:tc>
        <w:tc>
          <w:tcPr>
            <w:tcW w:w="998"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0.41</w:t>
            </w:r>
          </w:p>
        </w:tc>
        <w:tc>
          <w:tcPr>
            <w:tcW w:w="0" w:type="auto"/>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334.00</w:t>
            </w:r>
          </w:p>
        </w:tc>
        <w:tc>
          <w:tcPr>
            <w:tcW w:w="972" w:type="dxa"/>
            <w:tcBorders>
              <w:top w:val="nil"/>
              <w:left w:val="nil"/>
              <w:bottom w:val="single" w:sz="4" w:space="0" w:color="auto"/>
              <w:right w:val="single" w:sz="4" w:space="0" w:color="auto"/>
            </w:tcBorders>
            <w:shd w:val="clear" w:color="auto" w:fill="auto"/>
            <w:noWrap/>
            <w:hideMark/>
          </w:tcPr>
          <w:p w:rsidR="003F0FC2" w:rsidRPr="003F0FC2" w:rsidRDefault="003F0FC2" w:rsidP="00F7499B">
            <w:pPr>
              <w:spacing w:after="0" w:line="240" w:lineRule="auto"/>
              <w:jc w:val="center"/>
              <w:rPr>
                <w:rFonts w:eastAsia="Times New Roman" w:cs="Arial"/>
                <w:color w:val="000000"/>
                <w:sz w:val="20"/>
                <w:szCs w:val="20"/>
                <w:lang w:eastAsia="it-IT"/>
              </w:rPr>
            </w:pPr>
            <w:r w:rsidRPr="003F0FC2">
              <w:rPr>
                <w:rFonts w:eastAsia="Times New Roman" w:cs="Arial"/>
                <w:color w:val="000000"/>
                <w:sz w:val="20"/>
                <w:szCs w:val="20"/>
                <w:lang w:eastAsia="it-IT"/>
              </w:rPr>
              <w:t>0.98</w:t>
            </w:r>
          </w:p>
        </w:tc>
      </w:tr>
    </w:tbl>
    <w:p w:rsidR="003F0FC2" w:rsidRDefault="003F0FC2" w:rsidP="009715ED">
      <w:pPr>
        <w:spacing w:after="0"/>
        <w:jc w:val="both"/>
        <w:rPr>
          <w:lang w:val="en-US"/>
        </w:rPr>
      </w:pPr>
    </w:p>
    <w:p w:rsidR="003F0FC2" w:rsidRDefault="003F0FC2" w:rsidP="009715ED">
      <w:pPr>
        <w:spacing w:after="0"/>
        <w:jc w:val="both"/>
        <w:rPr>
          <w:lang w:val="en-US"/>
        </w:rPr>
      </w:pPr>
    </w:p>
    <w:p w:rsidR="003F0FC2" w:rsidRDefault="001622B1" w:rsidP="009715ED">
      <w:pPr>
        <w:spacing w:after="0"/>
        <w:jc w:val="both"/>
        <w:rPr>
          <w:lang w:val="en-US"/>
        </w:rPr>
      </w:pPr>
      <w:r>
        <w:rPr>
          <w:noProof/>
          <w:lang w:eastAsia="it-IT"/>
        </w:rPr>
        <w:drawing>
          <wp:inline distT="0" distB="0" distL="0" distR="0" wp14:anchorId="0D0A0CF7">
            <wp:extent cx="6268144" cy="2068450"/>
            <wp:effectExtent l="0" t="0" r="0" b="8255"/>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298179" cy="2078361"/>
                    </a:xfrm>
                    <a:prstGeom prst="rect">
                      <a:avLst/>
                    </a:prstGeom>
                    <a:noFill/>
                  </pic:spPr>
                </pic:pic>
              </a:graphicData>
            </a:graphic>
          </wp:inline>
        </w:drawing>
      </w:r>
    </w:p>
    <w:p w:rsidR="003F0FC2" w:rsidRPr="009715ED" w:rsidRDefault="003F0FC2" w:rsidP="009715ED">
      <w:pPr>
        <w:spacing w:after="0"/>
        <w:jc w:val="both"/>
        <w:rPr>
          <w:lang w:val="en-US"/>
        </w:rPr>
      </w:pPr>
    </w:p>
    <w:p w:rsidR="006612F8" w:rsidRDefault="006612F8"/>
    <w:p w:rsidR="00E44CA2" w:rsidRDefault="00E44CA2" w:rsidP="00E44CA2">
      <w:pPr>
        <w:jc w:val="both"/>
        <w:rPr>
          <w:lang w:val="en-US"/>
        </w:rPr>
      </w:pPr>
      <w:r w:rsidRPr="006068F8">
        <w:rPr>
          <w:b/>
          <w:lang w:val="en-US"/>
        </w:rPr>
        <w:t xml:space="preserve">Supplementary Figure 1. </w:t>
      </w:r>
      <w:r w:rsidRPr="00E44CA2">
        <w:rPr>
          <w:lang w:val="en-US"/>
        </w:rPr>
        <w:t xml:space="preserve">Boxplots representing </w:t>
      </w:r>
      <w:r w:rsidRPr="00E44CA2">
        <w:t>α</w:t>
      </w:r>
      <w:r w:rsidRPr="00E44CA2">
        <w:rPr>
          <w:lang w:val="en-US"/>
        </w:rPr>
        <w:t xml:space="preserve">-diversity indices. Panel A and B represent the Chao1 and Observed species indexes for </w:t>
      </w:r>
      <w:r w:rsidR="006068F8">
        <w:rPr>
          <w:lang w:val="en-US"/>
        </w:rPr>
        <w:t>obese and CTRL samples</w:t>
      </w:r>
      <w:r w:rsidRPr="00E44CA2">
        <w:rPr>
          <w:lang w:val="en-US"/>
        </w:rPr>
        <w:t>. The interquartile range is represented by the box and the line in the box is the median. The whiskers indicate the largest and the lowest data points, respectively, while the dots symbolize outliers.</w:t>
      </w:r>
    </w:p>
    <w:p w:rsidR="00343465" w:rsidRDefault="00343465" w:rsidP="00E44CA2">
      <w:pPr>
        <w:jc w:val="both"/>
        <w:rPr>
          <w:lang w:val="en-US"/>
        </w:rPr>
      </w:pPr>
    </w:p>
    <w:p w:rsidR="00343465" w:rsidRDefault="00343465" w:rsidP="00E44CA2">
      <w:pPr>
        <w:jc w:val="both"/>
        <w:rPr>
          <w:lang w:val="en-US"/>
        </w:rPr>
      </w:pPr>
    </w:p>
    <w:p w:rsidR="00343465" w:rsidRDefault="00343465" w:rsidP="00E44CA2">
      <w:pPr>
        <w:jc w:val="both"/>
        <w:rPr>
          <w:lang w:val="en-US"/>
        </w:rPr>
      </w:pPr>
      <w:r>
        <w:rPr>
          <w:noProof/>
          <w:lang w:eastAsia="it-IT"/>
        </w:rPr>
        <w:drawing>
          <wp:inline distT="0" distB="0" distL="0" distR="0" wp14:anchorId="5E43AE61">
            <wp:extent cx="6017260" cy="2920276"/>
            <wp:effectExtent l="0" t="0" r="254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70083" cy="2945912"/>
                    </a:xfrm>
                    <a:prstGeom prst="rect">
                      <a:avLst/>
                    </a:prstGeom>
                    <a:noFill/>
                  </pic:spPr>
                </pic:pic>
              </a:graphicData>
            </a:graphic>
          </wp:inline>
        </w:drawing>
      </w:r>
    </w:p>
    <w:p w:rsidR="00343465" w:rsidRDefault="00343465" w:rsidP="00E44CA2">
      <w:pPr>
        <w:jc w:val="both"/>
        <w:rPr>
          <w:lang w:val="en-US"/>
        </w:rPr>
      </w:pPr>
      <w:r w:rsidRPr="00343465">
        <w:rPr>
          <w:b/>
          <w:lang w:val="en-US"/>
        </w:rPr>
        <w:t>Supplementary Figure 2.</w:t>
      </w:r>
      <w:r w:rsidRPr="00343465">
        <w:rPr>
          <w:lang w:val="en-US"/>
        </w:rPr>
        <w:t xml:space="preserve"> Principal component analysis plot (PCA) of the bacterial communities using UniFrac algorithm. Axes represent the first 2 components from principal coordinate (PCo) analysis based on the phylogenetic distance between Operational Taxonomic Units (OTU) representative sequences. Panel A, UniFrac weighted PCoA plots of </w:t>
      </w:r>
      <w:r>
        <w:rPr>
          <w:lang w:val="en-US"/>
        </w:rPr>
        <w:t>CTRL and obese groups</w:t>
      </w:r>
      <w:r w:rsidRPr="00343465">
        <w:rPr>
          <w:lang w:val="en-US"/>
        </w:rPr>
        <w:t>. Panel B, unweighted UniFrac PCoA plots of CTRL and obese groups.</w:t>
      </w:r>
    </w:p>
    <w:p w:rsidR="0047630E" w:rsidRDefault="0047630E" w:rsidP="00E44CA2">
      <w:pPr>
        <w:jc w:val="both"/>
        <w:rPr>
          <w:lang w:val="en-US"/>
        </w:rPr>
      </w:pPr>
    </w:p>
    <w:p w:rsidR="0047630E" w:rsidRDefault="0081751E" w:rsidP="00E44CA2">
      <w:pPr>
        <w:jc w:val="both"/>
        <w:rPr>
          <w:lang w:val="en-US"/>
        </w:rPr>
      </w:pPr>
      <w:r>
        <w:rPr>
          <w:noProof/>
          <w:lang w:eastAsia="it-IT"/>
        </w:rPr>
        <w:lastRenderedPageBreak/>
        <w:drawing>
          <wp:inline distT="0" distB="0" distL="0" distR="0" wp14:anchorId="110E7A43">
            <wp:extent cx="5621020" cy="2499360"/>
            <wp:effectExtent l="0" t="0" r="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21020" cy="2499360"/>
                    </a:xfrm>
                    <a:prstGeom prst="rect">
                      <a:avLst/>
                    </a:prstGeom>
                    <a:noFill/>
                  </pic:spPr>
                </pic:pic>
              </a:graphicData>
            </a:graphic>
          </wp:inline>
        </w:drawing>
      </w:r>
    </w:p>
    <w:p w:rsidR="0047630E" w:rsidRDefault="0047630E" w:rsidP="0047630E">
      <w:pPr>
        <w:jc w:val="both"/>
        <w:rPr>
          <w:lang w:val="en-US"/>
        </w:rPr>
      </w:pPr>
      <w:r w:rsidRPr="00A736CA">
        <w:rPr>
          <w:b/>
          <w:lang w:val="en-US"/>
        </w:rPr>
        <w:t>Supplementary Figure 3.</w:t>
      </w:r>
      <w:r>
        <w:rPr>
          <w:lang w:val="en-US"/>
        </w:rPr>
        <w:t xml:space="preserve"> </w:t>
      </w:r>
      <w:r w:rsidRPr="0047630E">
        <w:rPr>
          <w:lang w:val="en-US"/>
        </w:rPr>
        <w:t xml:space="preserve">Linear discriminative analysis (LDA) effect size (LEfSe) analysis between healthy </w:t>
      </w:r>
      <w:r w:rsidR="00A736CA">
        <w:rPr>
          <w:lang w:val="en-US"/>
        </w:rPr>
        <w:t>CTRL (green) and obese patients (red)</w:t>
      </w:r>
      <w:r w:rsidRPr="0047630E">
        <w:rPr>
          <w:lang w:val="en-US"/>
        </w:rPr>
        <w:t xml:space="preserve">. </w:t>
      </w:r>
    </w:p>
    <w:p w:rsidR="0029147B" w:rsidRDefault="0029147B" w:rsidP="0047630E">
      <w:pPr>
        <w:jc w:val="both"/>
        <w:rPr>
          <w:lang w:val="en-US"/>
        </w:rPr>
      </w:pPr>
    </w:p>
    <w:p w:rsidR="0029147B" w:rsidRDefault="0029147B" w:rsidP="0047630E">
      <w:pPr>
        <w:jc w:val="both"/>
        <w:rPr>
          <w:lang w:val="en-US"/>
        </w:rPr>
      </w:pPr>
      <w:r>
        <w:rPr>
          <w:noProof/>
          <w:lang w:eastAsia="it-IT"/>
        </w:rPr>
        <w:lastRenderedPageBreak/>
        <w:drawing>
          <wp:inline distT="0" distB="0" distL="0" distR="0" wp14:anchorId="3915C5D2">
            <wp:extent cx="2990082" cy="682349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96855" cy="6838952"/>
                    </a:xfrm>
                    <a:prstGeom prst="rect">
                      <a:avLst/>
                    </a:prstGeom>
                    <a:noFill/>
                  </pic:spPr>
                </pic:pic>
              </a:graphicData>
            </a:graphic>
          </wp:inline>
        </w:drawing>
      </w:r>
    </w:p>
    <w:p w:rsidR="0029147B" w:rsidRDefault="0029147B" w:rsidP="0047630E">
      <w:pPr>
        <w:jc w:val="both"/>
        <w:rPr>
          <w:lang w:val="en-US"/>
        </w:rPr>
      </w:pPr>
      <w:r w:rsidRPr="0029147B">
        <w:rPr>
          <w:b/>
          <w:lang w:val="en-US"/>
        </w:rPr>
        <w:t>Supplementary Figure 4.</w:t>
      </w:r>
      <w:r>
        <w:rPr>
          <w:lang w:val="en-US"/>
        </w:rPr>
        <w:t xml:space="preserve"> Heat map representing Spearman’s c</w:t>
      </w:r>
      <w:r w:rsidRPr="0029147B">
        <w:rPr>
          <w:lang w:val="en-US"/>
        </w:rPr>
        <w:t>orrelation analysis between metabolic abnormalities and gut microbiota OTUs</w:t>
      </w:r>
      <w:r>
        <w:rPr>
          <w:lang w:val="en-US"/>
        </w:rPr>
        <w:t>. Stars indicate the correlation values statistically significant.</w:t>
      </w:r>
    </w:p>
    <w:sectPr w:rsidR="0029147B" w:rsidSect="00893CCF">
      <w:pgSz w:w="11906" w:h="16838" w:code="9"/>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CA2"/>
    <w:rsid w:val="000B5E46"/>
    <w:rsid w:val="001622B1"/>
    <w:rsid w:val="00280D28"/>
    <w:rsid w:val="00284417"/>
    <w:rsid w:val="0029147B"/>
    <w:rsid w:val="00343465"/>
    <w:rsid w:val="003F0FC2"/>
    <w:rsid w:val="0047630E"/>
    <w:rsid w:val="006068F8"/>
    <w:rsid w:val="006612F8"/>
    <w:rsid w:val="0081751E"/>
    <w:rsid w:val="00893CCF"/>
    <w:rsid w:val="009715ED"/>
    <w:rsid w:val="00A736CA"/>
    <w:rsid w:val="00B4384E"/>
    <w:rsid w:val="00C00E19"/>
    <w:rsid w:val="00C765F3"/>
    <w:rsid w:val="00E44CA2"/>
    <w:rsid w:val="00F7499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AD9124-439D-41F0-BE6E-B4E46A984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715E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715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1174935">
      <w:bodyDiv w:val="1"/>
      <w:marLeft w:val="0"/>
      <w:marRight w:val="0"/>
      <w:marTop w:val="0"/>
      <w:marBottom w:val="0"/>
      <w:divBdr>
        <w:top w:val="none" w:sz="0" w:space="0" w:color="auto"/>
        <w:left w:val="none" w:sz="0" w:space="0" w:color="auto"/>
        <w:bottom w:val="none" w:sz="0" w:space="0" w:color="auto"/>
        <w:right w:val="none" w:sz="0" w:space="0" w:color="auto"/>
      </w:divBdr>
    </w:div>
    <w:div w:id="1426614827">
      <w:bodyDiv w:val="1"/>
      <w:marLeft w:val="0"/>
      <w:marRight w:val="0"/>
      <w:marTop w:val="0"/>
      <w:marBottom w:val="0"/>
      <w:divBdr>
        <w:top w:val="none" w:sz="0" w:space="0" w:color="auto"/>
        <w:left w:val="none" w:sz="0" w:space="0" w:color="auto"/>
        <w:bottom w:val="none" w:sz="0" w:space="0" w:color="auto"/>
        <w:right w:val="none" w:sz="0" w:space="0" w:color="auto"/>
      </w:divBdr>
    </w:div>
    <w:div w:id="2089769995">
      <w:bodyDiv w:val="1"/>
      <w:marLeft w:val="0"/>
      <w:marRight w:val="0"/>
      <w:marTop w:val="0"/>
      <w:marBottom w:val="0"/>
      <w:divBdr>
        <w:top w:val="none" w:sz="0" w:space="0" w:color="auto"/>
        <w:left w:val="none" w:sz="0" w:space="0" w:color="auto"/>
        <w:bottom w:val="none" w:sz="0" w:space="0" w:color="auto"/>
        <w:right w:val="none" w:sz="0" w:space="0" w:color="auto"/>
      </w:divBdr>
    </w:div>
    <w:div w:id="2101755321">
      <w:bodyDiv w:val="1"/>
      <w:marLeft w:val="0"/>
      <w:marRight w:val="0"/>
      <w:marTop w:val="0"/>
      <w:marBottom w:val="0"/>
      <w:divBdr>
        <w:top w:val="none" w:sz="0" w:space="0" w:color="auto"/>
        <w:left w:val="none" w:sz="0" w:space="0" w:color="auto"/>
        <w:bottom w:val="none" w:sz="0" w:space="0" w:color="auto"/>
        <w:right w:val="none" w:sz="0" w:space="0" w:color="auto"/>
      </w:divBdr>
    </w:div>
    <w:div w:id="2116711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732</Words>
  <Characters>4174</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 Chierico Federica</dc:creator>
  <cp:keywords/>
  <dc:description/>
  <cp:lastModifiedBy>MANCO Melania</cp:lastModifiedBy>
  <cp:revision>2</cp:revision>
  <cp:lastPrinted>2020-07-13T14:47:00Z</cp:lastPrinted>
  <dcterms:created xsi:type="dcterms:W3CDTF">2020-08-18T09:09:00Z</dcterms:created>
  <dcterms:modified xsi:type="dcterms:W3CDTF">2020-08-18T09:09:00Z</dcterms:modified>
</cp:coreProperties>
</file>