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DFC76" w14:textId="2DDA389B" w:rsidR="00C76DA0" w:rsidRDefault="00C76DA0" w:rsidP="00C76DA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07109">
        <w:rPr>
          <w:rFonts w:ascii="Times New Roman" w:hAnsi="Times New Roman"/>
          <w:b/>
          <w:sz w:val="24"/>
          <w:szCs w:val="24"/>
        </w:rPr>
        <w:t>Supplementary Figure. S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="00902157" w:rsidRPr="0090215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02157" w:rsidRPr="00207109">
        <w:rPr>
          <w:rFonts w:ascii="Times New Roman" w:hAnsi="Times New Roman"/>
          <w:b/>
          <w:bCs/>
          <w:sz w:val="24"/>
          <w:szCs w:val="24"/>
        </w:rPr>
        <w:t>MiR-1265 inhibits cell growth</w:t>
      </w:r>
      <w:r w:rsidR="00902157" w:rsidRPr="00207109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, </w:t>
      </w:r>
      <w:r w:rsidR="00902157" w:rsidRPr="00207109">
        <w:rPr>
          <w:rFonts w:ascii="Times New Roman" w:hAnsi="Times New Roman"/>
          <w:b/>
          <w:bCs/>
          <w:sz w:val="24"/>
          <w:szCs w:val="24"/>
        </w:rPr>
        <w:t>proliferation</w:t>
      </w:r>
      <w:r w:rsidR="00902157" w:rsidRPr="00207109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, and promotes </w:t>
      </w:r>
      <w:r w:rsidR="00902157" w:rsidRPr="00207109">
        <w:rPr>
          <w:rFonts w:ascii="Times New Roman" w:hAnsi="Times New Roman"/>
          <w:b/>
          <w:kern w:val="0"/>
          <w:sz w:val="24"/>
          <w:szCs w:val="24"/>
        </w:rPr>
        <w:t>apoptosis</w:t>
      </w:r>
      <w:r w:rsidR="00902157" w:rsidRPr="00207109">
        <w:rPr>
          <w:rFonts w:ascii="Times New Roman" w:hAnsi="Times New Roman"/>
          <w:b/>
          <w:bCs/>
          <w:kern w:val="0"/>
          <w:sz w:val="24"/>
          <w:szCs w:val="24"/>
        </w:rPr>
        <w:t xml:space="preserve"> in </w:t>
      </w:r>
      <w:r w:rsidR="00902157" w:rsidRPr="001C2962">
        <w:rPr>
          <w:rFonts w:ascii="Times New Roman" w:hAnsi="Times New Roman"/>
          <w:b/>
          <w:bCs/>
          <w:i/>
          <w:kern w:val="0"/>
          <w:sz w:val="24"/>
          <w:szCs w:val="24"/>
        </w:rPr>
        <w:t>vitro</w:t>
      </w:r>
      <w:r w:rsidR="00902157" w:rsidRPr="00207109">
        <w:rPr>
          <w:rFonts w:ascii="Times New Roman" w:hAnsi="Times New Roman"/>
          <w:b/>
          <w:bCs/>
          <w:kern w:val="0"/>
          <w:sz w:val="24"/>
          <w:szCs w:val="24"/>
        </w:rPr>
        <w:t>.</w:t>
      </w:r>
    </w:p>
    <w:p w14:paraId="725785EA" w14:textId="10AC7999" w:rsidR="00C76DA0" w:rsidRDefault="00B94D03" w:rsidP="00C76DA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E7D7C91" wp14:editId="722BAD83">
            <wp:extent cx="5274310" cy="539746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9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A4A95" w14:textId="7FD7063C" w:rsidR="00DE713D" w:rsidRPr="00333C07" w:rsidRDefault="00C76DA0" w:rsidP="00333C07">
      <w:pPr>
        <w:spacing w:line="360" w:lineRule="auto"/>
        <w:rPr>
          <w:rFonts w:ascii="Times New Roman" w:eastAsia="Lato-Regular" w:hAnsi="Times New Roman"/>
          <w:kern w:val="0"/>
          <w:sz w:val="24"/>
          <w:szCs w:val="24"/>
        </w:rPr>
      </w:pPr>
      <w:r w:rsidRPr="00207109">
        <w:rPr>
          <w:rFonts w:ascii="Times New Roman" w:hAnsi="Times New Roman"/>
          <w:b/>
          <w:sz w:val="24"/>
          <w:szCs w:val="24"/>
        </w:rPr>
        <w:t>Supplementary Figure. S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207109">
        <w:rPr>
          <w:rFonts w:ascii="Times New Roman" w:hAnsi="Times New Roman"/>
          <w:b/>
          <w:bCs/>
          <w:sz w:val="24"/>
          <w:szCs w:val="24"/>
        </w:rPr>
        <w:t xml:space="preserve"> MiR-1265 inhibits cell growth</w:t>
      </w:r>
      <w:r w:rsidRPr="00207109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, </w:t>
      </w:r>
      <w:r w:rsidRPr="00207109">
        <w:rPr>
          <w:rFonts w:ascii="Times New Roman" w:hAnsi="Times New Roman"/>
          <w:b/>
          <w:bCs/>
          <w:sz w:val="24"/>
          <w:szCs w:val="24"/>
        </w:rPr>
        <w:t>proliferation</w:t>
      </w:r>
      <w:r w:rsidRPr="00207109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, and promotes </w:t>
      </w:r>
      <w:r w:rsidRPr="00207109">
        <w:rPr>
          <w:rFonts w:ascii="Times New Roman" w:hAnsi="Times New Roman"/>
          <w:b/>
          <w:kern w:val="0"/>
          <w:sz w:val="24"/>
          <w:szCs w:val="24"/>
        </w:rPr>
        <w:t>apoptosis</w:t>
      </w:r>
      <w:r w:rsidRPr="00207109">
        <w:rPr>
          <w:rFonts w:ascii="Times New Roman" w:hAnsi="Times New Roman"/>
          <w:b/>
          <w:bCs/>
          <w:kern w:val="0"/>
          <w:sz w:val="24"/>
          <w:szCs w:val="24"/>
        </w:rPr>
        <w:t xml:space="preserve"> in </w:t>
      </w:r>
      <w:r w:rsidRPr="001C2962">
        <w:rPr>
          <w:rFonts w:ascii="Times New Roman" w:hAnsi="Times New Roman"/>
          <w:b/>
          <w:bCs/>
          <w:i/>
          <w:kern w:val="0"/>
          <w:sz w:val="24"/>
          <w:szCs w:val="24"/>
        </w:rPr>
        <w:t>vitro</w:t>
      </w:r>
      <w:r w:rsidRPr="00207109">
        <w:rPr>
          <w:rFonts w:ascii="Times New Roman" w:hAnsi="Times New Roman"/>
          <w:b/>
          <w:bCs/>
          <w:kern w:val="0"/>
          <w:sz w:val="24"/>
          <w:szCs w:val="24"/>
        </w:rPr>
        <w:t>.</w:t>
      </w:r>
      <w:r w:rsidR="00EE35C1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EE35C1">
        <w:rPr>
          <w:rFonts w:ascii="Times New Roman" w:hAnsi="Times New Roman" w:hint="eastAsia"/>
          <w:b/>
          <w:bCs/>
          <w:kern w:val="0"/>
          <w:sz w:val="24"/>
          <w:szCs w:val="24"/>
        </w:rPr>
        <w:t>a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CCK-8 assay was used to detect</w:t>
      </w:r>
      <w:r w:rsidR="00017830" w:rsidRPr="00017830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the </w:t>
      </w:r>
      <w:r w:rsidR="00017830" w:rsidRPr="008D260E">
        <w:rPr>
          <w:rFonts w:ascii="Times New Roman" w:eastAsia="Lato-Regular" w:hAnsi="Times New Roman" w:hint="eastAsia"/>
          <w:kern w:val="0"/>
          <w:sz w:val="24"/>
          <w:szCs w:val="24"/>
        </w:rPr>
        <w:t>effects</w:t>
      </w:r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 w:hint="eastAsia"/>
          <w:kern w:val="0"/>
          <w:sz w:val="24"/>
          <w:szCs w:val="24"/>
        </w:rPr>
        <w:t>of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>miR-1265/mimics and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>miR-1265/inhibitor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>
        <w:rPr>
          <w:rFonts w:ascii="Times New Roman" w:eastAsia="Lato-Regular" w:hAnsi="Times New Roman" w:hint="eastAsia"/>
          <w:kern w:val="0"/>
          <w:sz w:val="24"/>
          <w:szCs w:val="24"/>
        </w:rPr>
        <w:t>in</w:t>
      </w:r>
      <w:r w:rsidR="00017830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RKO and 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>HCT8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cells.</w:t>
      </w:r>
      <w:r w:rsidRPr="00EE35C1">
        <w:rPr>
          <w:rFonts w:ascii="Times New Roman" w:eastAsia="Lato-Regular" w:hAnsi="Times New Roman"/>
          <w:b/>
          <w:kern w:val="0"/>
          <w:sz w:val="24"/>
          <w:szCs w:val="24"/>
        </w:rPr>
        <w:t xml:space="preserve"> </w:t>
      </w:r>
      <w:r w:rsidR="00EE35C1" w:rsidRPr="00EE35C1">
        <w:rPr>
          <w:rFonts w:ascii="Times New Roman" w:eastAsia="Lato-Regular" w:hAnsi="Times New Roman" w:hint="eastAsia"/>
          <w:b/>
          <w:kern w:val="0"/>
          <w:sz w:val="24"/>
          <w:szCs w:val="24"/>
        </w:rPr>
        <w:t>b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Colony formation assay was used to detect the 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>miR-1265/mimics and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>miR-1265/inhibitor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>
        <w:rPr>
          <w:rFonts w:ascii="Times New Roman" w:eastAsia="Lato-Regular" w:hAnsi="Times New Roman" w:hint="eastAsia"/>
          <w:kern w:val="0"/>
          <w:sz w:val="24"/>
          <w:szCs w:val="24"/>
        </w:rPr>
        <w:t>in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RKO and 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HCT8 </w:t>
      </w:r>
      <w:r w:rsidRPr="00207109">
        <w:rPr>
          <w:rFonts w:ascii="Times New Roman" w:eastAsia="Lato-Regular" w:hAnsi="Times New Roman"/>
          <w:kern w:val="0"/>
          <w:sz w:val="24"/>
          <w:szCs w:val="24"/>
        </w:rPr>
        <w:t>cells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. </w:t>
      </w:r>
      <w:r w:rsidR="00EE35C1" w:rsidRPr="00EE35C1">
        <w:rPr>
          <w:rFonts w:ascii="Times New Roman" w:eastAsia="Lato-Regular" w:hAnsi="Times New Roman" w:hint="eastAsia"/>
          <w:b/>
          <w:kern w:val="0"/>
          <w:sz w:val="24"/>
          <w:szCs w:val="24"/>
        </w:rPr>
        <w:t>c</w:t>
      </w:r>
      <w:r w:rsidR="00EE35C1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>The</w:t>
      </w:r>
      <w:r w:rsidR="00EE35C1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bookmarkStart w:id="0" w:name="_GoBack"/>
      <w:bookmarkEnd w:id="0"/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changes in cell proliferation </w:t>
      </w:r>
      <w:r w:rsidR="00017830">
        <w:rPr>
          <w:rFonts w:ascii="Times New Roman" w:eastAsia="Lato-Regular" w:hAnsi="Times New Roman"/>
          <w:kern w:val="0"/>
          <w:sz w:val="24"/>
          <w:szCs w:val="24"/>
        </w:rPr>
        <w:t xml:space="preserve">caused </w:t>
      </w:r>
      <w:r w:rsidR="00017830">
        <w:rPr>
          <w:rFonts w:ascii="Times New Roman" w:eastAsia="Lato-Regular" w:hAnsi="Times New Roman" w:hint="eastAsia"/>
          <w:kern w:val="0"/>
          <w:sz w:val="24"/>
          <w:szCs w:val="24"/>
        </w:rPr>
        <w:t>by</w:t>
      </w:r>
      <w:r w:rsidR="00017830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AC4B82">
        <w:rPr>
          <w:rFonts w:ascii="Times New Roman" w:eastAsia="Lato-Regular" w:hAnsi="Times New Roman"/>
          <w:kern w:val="0"/>
          <w:sz w:val="24"/>
          <w:szCs w:val="24"/>
        </w:rPr>
        <w:t>miR-1265/mimics and</w:t>
      </w:r>
      <w:r w:rsidR="00017830"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AC4B82">
        <w:rPr>
          <w:rFonts w:ascii="Times New Roman" w:eastAsia="Lato-Regular" w:hAnsi="Times New Roman"/>
          <w:kern w:val="0"/>
          <w:sz w:val="24"/>
          <w:szCs w:val="24"/>
        </w:rPr>
        <w:t>miR-1265/inhibitor</w:t>
      </w:r>
      <w:r w:rsidR="00017830" w:rsidRPr="00AC4B82">
        <w:rPr>
          <w:rFonts w:eastAsia="Lato-Regular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 w:hint="eastAsia"/>
          <w:kern w:val="0"/>
          <w:sz w:val="24"/>
          <w:szCs w:val="24"/>
        </w:rPr>
        <w:t>were</w:t>
      </w:r>
      <w:r w:rsid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 w:hint="eastAsia"/>
          <w:kern w:val="0"/>
          <w:sz w:val="24"/>
          <w:szCs w:val="24"/>
        </w:rPr>
        <w:t>det</w:t>
      </w:r>
      <w:r w:rsidR="00AC4B82">
        <w:rPr>
          <w:rFonts w:ascii="Times New Roman" w:eastAsia="Lato-Regular" w:hAnsi="Times New Roman" w:hint="eastAsia"/>
          <w:kern w:val="0"/>
          <w:sz w:val="24"/>
          <w:szCs w:val="24"/>
        </w:rPr>
        <w:t>ermin</w:t>
      </w:r>
      <w:r w:rsidR="00017830" w:rsidRPr="008D260E">
        <w:rPr>
          <w:rFonts w:ascii="Times New Roman" w:eastAsia="Lato-Regular" w:hAnsi="Times New Roman" w:hint="eastAsia"/>
          <w:kern w:val="0"/>
          <w:sz w:val="24"/>
          <w:szCs w:val="24"/>
        </w:rPr>
        <w:t>ed</w:t>
      </w:r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 w:hint="eastAsia"/>
          <w:kern w:val="0"/>
          <w:sz w:val="24"/>
          <w:szCs w:val="24"/>
        </w:rPr>
        <w:t>by</w:t>
      </w:r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proofErr w:type="spellStart"/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>EdU</w:t>
      </w:r>
      <w:proofErr w:type="spellEnd"/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 w:hint="eastAsia"/>
          <w:kern w:val="0"/>
          <w:sz w:val="24"/>
          <w:szCs w:val="24"/>
        </w:rPr>
        <w:t>assays</w:t>
      </w:r>
      <w:r w:rsidR="00017830" w:rsidRPr="00AC4B82">
        <w:rPr>
          <w:rFonts w:ascii="Times New Roman" w:eastAsia="Lato-Regular" w:hAnsi="Times New Roman" w:hint="eastAsia"/>
          <w:kern w:val="0"/>
          <w:sz w:val="24"/>
          <w:szCs w:val="24"/>
        </w:rPr>
        <w:t xml:space="preserve"> in</w:t>
      </w:r>
      <w:r w:rsidR="00017830"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017830" w:rsidRPr="008D260E">
        <w:rPr>
          <w:rFonts w:ascii="Times New Roman" w:eastAsia="Lato-Regular" w:hAnsi="Times New Roman"/>
          <w:kern w:val="0"/>
          <w:sz w:val="24"/>
          <w:szCs w:val="24"/>
        </w:rPr>
        <w:t>RKO and HCT8 cells</w:t>
      </w:r>
      <w:r w:rsidR="00017830" w:rsidRPr="00AC4B82">
        <w:rPr>
          <w:rFonts w:ascii="Times New Roman" w:eastAsia="Lato-Regular" w:hAnsi="Times New Roman"/>
          <w:kern w:val="0"/>
          <w:sz w:val="24"/>
          <w:szCs w:val="24"/>
        </w:rPr>
        <w:t>.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EE35C1" w:rsidRPr="00EE35C1">
        <w:rPr>
          <w:rFonts w:ascii="Times New Roman" w:eastAsia="Lato-Regular" w:hAnsi="Times New Roman" w:hint="eastAsia"/>
          <w:b/>
          <w:kern w:val="0"/>
          <w:sz w:val="24"/>
          <w:szCs w:val="24"/>
        </w:rPr>
        <w:t>d</w:t>
      </w:r>
      <w:r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Apoptosis analysis </w:t>
      </w:r>
      <w:r w:rsidR="00DB3B61" w:rsidRPr="00AC4B82">
        <w:rPr>
          <w:rFonts w:ascii="Times New Roman" w:eastAsia="Lato-Regular" w:hAnsi="Times New Roman" w:hint="eastAsia"/>
          <w:kern w:val="0"/>
          <w:sz w:val="24"/>
          <w:szCs w:val="24"/>
        </w:rPr>
        <w:t>were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AC4B82">
        <w:rPr>
          <w:rFonts w:ascii="Times New Roman" w:eastAsia="Lato-Regular" w:hAnsi="Times New Roman" w:hint="eastAsia"/>
          <w:kern w:val="0"/>
          <w:sz w:val="24"/>
          <w:szCs w:val="24"/>
        </w:rPr>
        <w:t>utilized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DB3B61" w:rsidRPr="00AC4B82">
        <w:rPr>
          <w:rFonts w:ascii="Times New Roman" w:eastAsia="Lato-Regular" w:hAnsi="Times New Roman" w:hint="eastAsia"/>
          <w:kern w:val="0"/>
          <w:sz w:val="24"/>
          <w:szCs w:val="24"/>
        </w:rPr>
        <w:t>to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DB3B61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detect the </w:t>
      </w:r>
      <w:r w:rsidR="00DB3B61" w:rsidRPr="008D260E">
        <w:rPr>
          <w:rFonts w:ascii="Times New Roman" w:eastAsia="Lato-Regular" w:hAnsi="Times New Roman" w:hint="eastAsia"/>
          <w:kern w:val="0"/>
          <w:sz w:val="24"/>
          <w:szCs w:val="24"/>
        </w:rPr>
        <w:t>effects</w:t>
      </w:r>
      <w:r w:rsidR="00DB3B61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DB3B61" w:rsidRPr="008D260E">
        <w:rPr>
          <w:rFonts w:ascii="Times New Roman" w:eastAsia="Lato-Regular" w:hAnsi="Times New Roman" w:hint="eastAsia"/>
          <w:kern w:val="0"/>
          <w:sz w:val="24"/>
          <w:szCs w:val="24"/>
        </w:rPr>
        <w:t>of</w:t>
      </w:r>
      <w:r w:rsidR="00DB3B61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>miR-1265/mimics and</w:t>
      </w:r>
      <w:r w:rsidR="00DB3B61" w:rsidRPr="00207109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>miR-1265/inhibitor</w:t>
      </w:r>
      <w:r w:rsidR="00DB3B61" w:rsidRPr="00AC4B82">
        <w:rPr>
          <w:rFonts w:ascii="Times New Roman" w:eastAsia="Lato-Regular" w:hAnsi="Times New Roman" w:hint="eastAsia"/>
          <w:kern w:val="0"/>
          <w:sz w:val="24"/>
          <w:szCs w:val="24"/>
        </w:rPr>
        <w:t xml:space="preserve"> in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 xml:space="preserve"> </w:t>
      </w:r>
      <w:r w:rsidR="00DB3B61" w:rsidRPr="008D260E">
        <w:rPr>
          <w:rFonts w:ascii="Times New Roman" w:eastAsia="Lato-Regular" w:hAnsi="Times New Roman"/>
          <w:kern w:val="0"/>
          <w:sz w:val="24"/>
          <w:szCs w:val="24"/>
        </w:rPr>
        <w:t xml:space="preserve">RKO and HCT8 cells. Three independent experiments were performed for each group 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>(</w:t>
      </w:r>
      <w:r w:rsidR="00DB3B61" w:rsidRPr="008D260E">
        <w:rPr>
          <w:rFonts w:ascii="Times New Roman" w:eastAsia="Lato-Regular" w:hAnsi="Times New Roman"/>
          <w:kern w:val="0"/>
          <w:sz w:val="24"/>
          <w:szCs w:val="24"/>
        </w:rPr>
        <w:t>*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>P</w:t>
      </w:r>
      <w:r w:rsidR="00DB3B61" w:rsidRPr="008D260E">
        <w:rPr>
          <w:rFonts w:ascii="Times New Roman" w:eastAsia="Lato-Regular" w:hAnsi="Times New Roman"/>
          <w:kern w:val="0"/>
          <w:sz w:val="24"/>
          <w:szCs w:val="24"/>
        </w:rPr>
        <w:t>&lt;0.05, **</w:t>
      </w:r>
      <w:r w:rsidR="00DB3B61" w:rsidRPr="00AC4B82">
        <w:rPr>
          <w:rFonts w:ascii="Times New Roman" w:eastAsia="Lato-Regular" w:hAnsi="Times New Roman"/>
          <w:kern w:val="0"/>
          <w:sz w:val="24"/>
          <w:szCs w:val="24"/>
        </w:rPr>
        <w:t>P</w:t>
      </w:r>
      <w:r w:rsidR="00DB3B61" w:rsidRPr="008D260E">
        <w:rPr>
          <w:rFonts w:ascii="Times New Roman" w:eastAsia="Lato-Regular" w:hAnsi="Times New Roman"/>
          <w:kern w:val="0"/>
          <w:sz w:val="24"/>
          <w:szCs w:val="24"/>
        </w:rPr>
        <w:t>&lt;0.01).</w:t>
      </w:r>
    </w:p>
    <w:sectPr w:rsidR="00DE713D" w:rsidRPr="00333C07" w:rsidSect="002A578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9C2DDA" w14:textId="77777777" w:rsidR="00B805DD" w:rsidRDefault="00B805DD" w:rsidP="003B281F">
      <w:r>
        <w:separator/>
      </w:r>
    </w:p>
  </w:endnote>
  <w:endnote w:type="continuationSeparator" w:id="0">
    <w:p w14:paraId="0B2D4E6A" w14:textId="77777777" w:rsidR="00B805DD" w:rsidRDefault="00B805DD" w:rsidP="003B2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o-Regular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229765"/>
      <w:docPartObj>
        <w:docPartGallery w:val="Page Numbers (Bottom of Page)"/>
        <w:docPartUnique/>
      </w:docPartObj>
    </w:sdtPr>
    <w:sdtEndPr/>
    <w:sdtContent>
      <w:p w14:paraId="65B4F7DD" w14:textId="77777777" w:rsidR="000421E3" w:rsidRDefault="0000030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43028">
          <w:rPr>
            <w:noProof/>
            <w:lang w:val="zh-CN"/>
          </w:rPr>
          <w:t>36</w:t>
        </w:r>
        <w:r>
          <w:fldChar w:fldCharType="end"/>
        </w:r>
      </w:p>
    </w:sdtContent>
  </w:sdt>
  <w:p w14:paraId="6A95C5B4" w14:textId="77777777" w:rsidR="000421E3" w:rsidRDefault="00B805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DAB960" w14:textId="77777777" w:rsidR="00B805DD" w:rsidRDefault="00B805DD" w:rsidP="003B281F">
      <w:r>
        <w:separator/>
      </w:r>
    </w:p>
  </w:footnote>
  <w:footnote w:type="continuationSeparator" w:id="0">
    <w:p w14:paraId="7EECDD33" w14:textId="77777777" w:rsidR="00B805DD" w:rsidRDefault="00B805DD" w:rsidP="003B2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BBA"/>
    <w:rsid w:val="0000030E"/>
    <w:rsid w:val="000020F6"/>
    <w:rsid w:val="000113BF"/>
    <w:rsid w:val="00017830"/>
    <w:rsid w:val="000218E2"/>
    <w:rsid w:val="00025990"/>
    <w:rsid w:val="000275F6"/>
    <w:rsid w:val="00046032"/>
    <w:rsid w:val="00067116"/>
    <w:rsid w:val="00096256"/>
    <w:rsid w:val="000A2CBC"/>
    <w:rsid w:val="000E506F"/>
    <w:rsid w:val="00102A92"/>
    <w:rsid w:val="001146E5"/>
    <w:rsid w:val="00123312"/>
    <w:rsid w:val="00144AB9"/>
    <w:rsid w:val="0014555F"/>
    <w:rsid w:val="00152C4D"/>
    <w:rsid w:val="00177B76"/>
    <w:rsid w:val="00181913"/>
    <w:rsid w:val="00190BEC"/>
    <w:rsid w:val="001B1F5D"/>
    <w:rsid w:val="001B2BB6"/>
    <w:rsid w:val="001C5FFE"/>
    <w:rsid w:val="001E3207"/>
    <w:rsid w:val="001E75C8"/>
    <w:rsid w:val="00206427"/>
    <w:rsid w:val="002113E2"/>
    <w:rsid w:val="00233854"/>
    <w:rsid w:val="00237DB3"/>
    <w:rsid w:val="0024780A"/>
    <w:rsid w:val="00250DE2"/>
    <w:rsid w:val="00270CC9"/>
    <w:rsid w:val="00274BB6"/>
    <w:rsid w:val="002931A4"/>
    <w:rsid w:val="002B3F08"/>
    <w:rsid w:val="002B4F0A"/>
    <w:rsid w:val="002C2386"/>
    <w:rsid w:val="002D7EBA"/>
    <w:rsid w:val="002E017B"/>
    <w:rsid w:val="002E3CE0"/>
    <w:rsid w:val="002F03F3"/>
    <w:rsid w:val="00310566"/>
    <w:rsid w:val="00315F12"/>
    <w:rsid w:val="003270FB"/>
    <w:rsid w:val="00333C07"/>
    <w:rsid w:val="00366308"/>
    <w:rsid w:val="0038070A"/>
    <w:rsid w:val="00393EE5"/>
    <w:rsid w:val="003B281F"/>
    <w:rsid w:val="003C0AA1"/>
    <w:rsid w:val="00407FD4"/>
    <w:rsid w:val="00425D41"/>
    <w:rsid w:val="0043186A"/>
    <w:rsid w:val="00434ACE"/>
    <w:rsid w:val="00440D4B"/>
    <w:rsid w:val="00447A6F"/>
    <w:rsid w:val="00463E4B"/>
    <w:rsid w:val="004973D0"/>
    <w:rsid w:val="004D13B2"/>
    <w:rsid w:val="004E3C36"/>
    <w:rsid w:val="004E652B"/>
    <w:rsid w:val="004F71DC"/>
    <w:rsid w:val="00511ACA"/>
    <w:rsid w:val="00526A8A"/>
    <w:rsid w:val="005349D5"/>
    <w:rsid w:val="00562B42"/>
    <w:rsid w:val="00563757"/>
    <w:rsid w:val="005644AA"/>
    <w:rsid w:val="00570945"/>
    <w:rsid w:val="00584616"/>
    <w:rsid w:val="005A49FE"/>
    <w:rsid w:val="005C28FE"/>
    <w:rsid w:val="005D1F9C"/>
    <w:rsid w:val="005D4534"/>
    <w:rsid w:val="005D5E74"/>
    <w:rsid w:val="006038CD"/>
    <w:rsid w:val="0061022E"/>
    <w:rsid w:val="00612D29"/>
    <w:rsid w:val="006452CD"/>
    <w:rsid w:val="00681B1E"/>
    <w:rsid w:val="00692D22"/>
    <w:rsid w:val="006A0AD0"/>
    <w:rsid w:val="006B758D"/>
    <w:rsid w:val="006F0547"/>
    <w:rsid w:val="0075663F"/>
    <w:rsid w:val="00764E13"/>
    <w:rsid w:val="00787894"/>
    <w:rsid w:val="007A046A"/>
    <w:rsid w:val="007C5692"/>
    <w:rsid w:val="007E4AAF"/>
    <w:rsid w:val="007F39F3"/>
    <w:rsid w:val="0081019C"/>
    <w:rsid w:val="00810C0A"/>
    <w:rsid w:val="00812609"/>
    <w:rsid w:val="00817B28"/>
    <w:rsid w:val="0082082C"/>
    <w:rsid w:val="008231F0"/>
    <w:rsid w:val="008300C8"/>
    <w:rsid w:val="00834997"/>
    <w:rsid w:val="00865CE1"/>
    <w:rsid w:val="008A6FCE"/>
    <w:rsid w:val="008B2128"/>
    <w:rsid w:val="008B5B31"/>
    <w:rsid w:val="008C12C0"/>
    <w:rsid w:val="008D04EB"/>
    <w:rsid w:val="008D24F7"/>
    <w:rsid w:val="008D77DC"/>
    <w:rsid w:val="00902157"/>
    <w:rsid w:val="00915228"/>
    <w:rsid w:val="00917304"/>
    <w:rsid w:val="00927821"/>
    <w:rsid w:val="009345B2"/>
    <w:rsid w:val="00935DF5"/>
    <w:rsid w:val="00937EB8"/>
    <w:rsid w:val="00970801"/>
    <w:rsid w:val="00973B21"/>
    <w:rsid w:val="009D55AC"/>
    <w:rsid w:val="00A01E4D"/>
    <w:rsid w:val="00A21063"/>
    <w:rsid w:val="00A54E5C"/>
    <w:rsid w:val="00A623DD"/>
    <w:rsid w:val="00A63544"/>
    <w:rsid w:val="00A95CF9"/>
    <w:rsid w:val="00AA0581"/>
    <w:rsid w:val="00AA56CA"/>
    <w:rsid w:val="00AC4B82"/>
    <w:rsid w:val="00AE244E"/>
    <w:rsid w:val="00AE5AD0"/>
    <w:rsid w:val="00B426F5"/>
    <w:rsid w:val="00B43CBD"/>
    <w:rsid w:val="00B62030"/>
    <w:rsid w:val="00B64481"/>
    <w:rsid w:val="00B805DD"/>
    <w:rsid w:val="00B81133"/>
    <w:rsid w:val="00B94D03"/>
    <w:rsid w:val="00BB0F38"/>
    <w:rsid w:val="00BB12BA"/>
    <w:rsid w:val="00BE2C76"/>
    <w:rsid w:val="00C14301"/>
    <w:rsid w:val="00C22142"/>
    <w:rsid w:val="00C4292D"/>
    <w:rsid w:val="00C5227A"/>
    <w:rsid w:val="00C76DA0"/>
    <w:rsid w:val="00CD0CCD"/>
    <w:rsid w:val="00CF36B7"/>
    <w:rsid w:val="00D168F5"/>
    <w:rsid w:val="00D334FE"/>
    <w:rsid w:val="00D44974"/>
    <w:rsid w:val="00D55E0A"/>
    <w:rsid w:val="00D7617E"/>
    <w:rsid w:val="00D8113B"/>
    <w:rsid w:val="00DA0161"/>
    <w:rsid w:val="00DB090C"/>
    <w:rsid w:val="00DB32EA"/>
    <w:rsid w:val="00DB3B61"/>
    <w:rsid w:val="00DC1EC5"/>
    <w:rsid w:val="00DC6315"/>
    <w:rsid w:val="00DD4A32"/>
    <w:rsid w:val="00DE713D"/>
    <w:rsid w:val="00DF4953"/>
    <w:rsid w:val="00E00376"/>
    <w:rsid w:val="00E00BC3"/>
    <w:rsid w:val="00E15824"/>
    <w:rsid w:val="00E16224"/>
    <w:rsid w:val="00E27D53"/>
    <w:rsid w:val="00E31DBA"/>
    <w:rsid w:val="00E36D4A"/>
    <w:rsid w:val="00E40B0E"/>
    <w:rsid w:val="00E45CDC"/>
    <w:rsid w:val="00E55BF6"/>
    <w:rsid w:val="00E71BC9"/>
    <w:rsid w:val="00E71C76"/>
    <w:rsid w:val="00ED5AFB"/>
    <w:rsid w:val="00EE35C1"/>
    <w:rsid w:val="00EE49FF"/>
    <w:rsid w:val="00EF4680"/>
    <w:rsid w:val="00F01D19"/>
    <w:rsid w:val="00F11A6F"/>
    <w:rsid w:val="00F4138A"/>
    <w:rsid w:val="00F73489"/>
    <w:rsid w:val="00FA436C"/>
    <w:rsid w:val="00FA5072"/>
    <w:rsid w:val="00FB06A9"/>
    <w:rsid w:val="00FB2BBA"/>
    <w:rsid w:val="00FB4465"/>
    <w:rsid w:val="00FC581E"/>
    <w:rsid w:val="00FE6DF0"/>
    <w:rsid w:val="00FF5510"/>
    <w:rsid w:val="00FF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D61D9"/>
  <w15:chartTrackingRefBased/>
  <w15:docId w15:val="{ACE53E1D-5588-4DE8-B4F4-B6201DA7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28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81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B28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281F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810C0A"/>
    <w:rPr>
      <w:rFonts w:ascii="Calibri" w:eastAsia="宋体" w:hAnsi="Calibri" w:cs="Times New Roman"/>
    </w:rPr>
  </w:style>
  <w:style w:type="character" w:styleId="aa">
    <w:name w:val="Hyperlink"/>
    <w:basedOn w:val="a0"/>
    <w:uiPriority w:val="99"/>
    <w:unhideWhenUsed/>
    <w:rsid w:val="000178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泽印</dc:creator>
  <cp:keywords/>
  <dc:description/>
  <cp:lastModifiedBy>Windows User</cp:lastModifiedBy>
  <cp:revision>209</cp:revision>
  <dcterms:created xsi:type="dcterms:W3CDTF">2019-03-27T05:53:00Z</dcterms:created>
  <dcterms:modified xsi:type="dcterms:W3CDTF">2021-06-16T08:07:00Z</dcterms:modified>
</cp:coreProperties>
</file>