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8E45" w14:textId="77777777" w:rsidR="006C0C21" w:rsidRPr="00295CC9" w:rsidRDefault="006C0C21" w:rsidP="006C0C21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  <w:r w:rsidRPr="00295CC9">
        <w:rPr>
          <w:rFonts w:asciiTheme="majorBidi" w:hAnsiTheme="majorBidi" w:cstheme="majorBidi"/>
          <w:b/>
          <w:bCs/>
          <w:i/>
          <w:iCs/>
          <w:sz w:val="20"/>
          <w:szCs w:val="20"/>
          <w:lang w:val="id-ID"/>
        </w:rPr>
        <w:t>Appendix 1.</w:t>
      </w:r>
      <w:r w:rsidRPr="00295CC9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 </w:t>
      </w:r>
      <w:r w:rsidRPr="00295CC9">
        <w:rPr>
          <w:rFonts w:asciiTheme="majorBidi" w:hAnsiTheme="majorBidi" w:cstheme="majorBidi"/>
          <w:b/>
          <w:bCs/>
          <w:i/>
          <w:iCs/>
          <w:sz w:val="20"/>
          <w:szCs w:val="20"/>
          <w:lang w:val="id-ID"/>
        </w:rPr>
        <w:t xml:space="preserve">Approaches of collaboration in the forest and fires mitigation  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780"/>
        <w:gridCol w:w="2495"/>
        <w:gridCol w:w="2723"/>
        <w:gridCol w:w="2352"/>
      </w:tblGrid>
      <w:tr w:rsidR="006C0C21" w:rsidRPr="00295CC9" w14:paraId="66A6CE2B" w14:textId="77777777" w:rsidTr="00006240">
        <w:trPr>
          <w:jc w:val="right"/>
        </w:trPr>
        <w:tc>
          <w:tcPr>
            <w:tcW w:w="952" w:type="pct"/>
            <w:vMerge w:val="restart"/>
          </w:tcPr>
          <w:p w14:paraId="6292E9AC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Activities </w:t>
            </w:r>
          </w:p>
        </w:tc>
        <w:tc>
          <w:tcPr>
            <w:tcW w:w="4048" w:type="pct"/>
            <w:gridSpan w:val="3"/>
          </w:tcPr>
          <w:p w14:paraId="391B4806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Collaborative approaches</w:t>
            </w:r>
          </w:p>
        </w:tc>
      </w:tr>
      <w:tr w:rsidR="006C0C21" w:rsidRPr="00295CC9" w14:paraId="5EDA42E9" w14:textId="77777777" w:rsidTr="00006240">
        <w:trPr>
          <w:jc w:val="right"/>
        </w:trPr>
        <w:tc>
          <w:tcPr>
            <w:tcW w:w="952" w:type="pct"/>
            <w:vMerge/>
          </w:tcPr>
          <w:p w14:paraId="2840261C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pct"/>
          </w:tcPr>
          <w:p w14:paraId="4002B585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Structural arrangement </w:t>
            </w:r>
          </w:p>
        </w:tc>
        <w:tc>
          <w:tcPr>
            <w:tcW w:w="1456" w:type="pct"/>
          </w:tcPr>
          <w:p w14:paraId="42FA95BE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Knowledge and learning </w:t>
            </w:r>
          </w:p>
        </w:tc>
        <w:tc>
          <w:tcPr>
            <w:tcW w:w="1258" w:type="pct"/>
          </w:tcPr>
          <w:p w14:paraId="224F7F7A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Resource sharing </w:t>
            </w:r>
          </w:p>
        </w:tc>
      </w:tr>
      <w:tr w:rsidR="006C0C21" w:rsidRPr="00295CC9" w14:paraId="55638A87" w14:textId="77777777" w:rsidTr="00006240">
        <w:trPr>
          <w:jc w:val="right"/>
        </w:trPr>
        <w:tc>
          <w:tcPr>
            <w:tcW w:w="952" w:type="pct"/>
          </w:tcPr>
          <w:p w14:paraId="7645CB71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Fire awarness campaigns </w:t>
            </w:r>
          </w:p>
        </w:tc>
        <w:tc>
          <w:tcPr>
            <w:tcW w:w="1334" w:type="pct"/>
          </w:tcPr>
          <w:p w14:paraId="6E9AB658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company and government institutions at the sub-district level are the dominant actors in fire awareness campaign activities.</w:t>
            </w:r>
          </w:p>
        </w:tc>
        <w:tc>
          <w:tcPr>
            <w:tcW w:w="1456" w:type="pct"/>
          </w:tcPr>
          <w:p w14:paraId="40523765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All collaborating actors have their respective roles in providing information for fire awareness campaigns. </w:t>
            </w:r>
          </w:p>
        </w:tc>
        <w:tc>
          <w:tcPr>
            <w:tcW w:w="1258" w:type="pct"/>
          </w:tcPr>
          <w:p w14:paraId="2D23E70C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company allocates substantial resources for signboards, while the village office provides food refreshments during the fire awareness dissemination.</w:t>
            </w:r>
          </w:p>
        </w:tc>
      </w:tr>
      <w:tr w:rsidR="006C0C21" w:rsidRPr="00295CC9" w14:paraId="0147928D" w14:textId="77777777" w:rsidTr="00006240">
        <w:trPr>
          <w:jc w:val="right"/>
        </w:trPr>
        <w:tc>
          <w:tcPr>
            <w:tcW w:w="952" w:type="pct"/>
          </w:tcPr>
          <w:p w14:paraId="66C64EB5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Prepardness  </w:t>
            </w:r>
          </w:p>
        </w:tc>
        <w:tc>
          <w:tcPr>
            <w:tcW w:w="1334" w:type="pct"/>
          </w:tcPr>
          <w:p w14:paraId="60C664A5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company plays a dominant role in fire preparedness drills and the initiation of MoUs, while the emergency fire response post is primarily initiated by government institutions at the sub-district level.</w:t>
            </w:r>
          </w:p>
        </w:tc>
        <w:tc>
          <w:tcPr>
            <w:tcW w:w="1456" w:type="pct"/>
          </w:tcPr>
          <w:p w14:paraId="3610078D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process of knowledge and learning occurs in one direction, where the company conducts fire simulation and training with the help of Mangga Agni.</w:t>
            </w:r>
          </w:p>
        </w:tc>
        <w:tc>
          <w:tcPr>
            <w:tcW w:w="1258" w:type="pct"/>
          </w:tcPr>
          <w:p w14:paraId="1FFE7E7F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company covers all expenses for the fire preparedness drill and provides equipment for the emergency post. The company also supplies drones and vehicles for patrol.</w:t>
            </w:r>
          </w:p>
        </w:tc>
      </w:tr>
      <w:tr w:rsidR="006C0C21" w:rsidRPr="00295CC9" w14:paraId="0EF25E7E" w14:textId="77777777" w:rsidTr="00006240">
        <w:trPr>
          <w:jc w:val="right"/>
        </w:trPr>
        <w:tc>
          <w:tcPr>
            <w:tcW w:w="952" w:type="pct"/>
          </w:tcPr>
          <w:p w14:paraId="31CDD87B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Fighting against the fires </w:t>
            </w:r>
          </w:p>
        </w:tc>
        <w:tc>
          <w:tcPr>
            <w:tcW w:w="1334" w:type="pct"/>
          </w:tcPr>
          <w:p w14:paraId="40F6B56F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The village office has become a powerful institution with the legitimacy to approve or reject slash-and-burn proposals. For large-scale fires, BPBD acts as the team leader and decision-maker, representing the district government. </w:t>
            </w:r>
          </w:p>
        </w:tc>
        <w:tc>
          <w:tcPr>
            <w:tcW w:w="1456" w:type="pct"/>
          </w:tcPr>
          <w:p w14:paraId="539B44FE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community receives information about burn timings from the company, and the company’s firefighters learn to interpret wind directions and control fires using firebreaks established from the community.</w:t>
            </w:r>
          </w:p>
        </w:tc>
        <w:tc>
          <w:tcPr>
            <w:tcW w:w="1258" w:type="pct"/>
          </w:tcPr>
          <w:p w14:paraId="06B2A862" w14:textId="77777777" w:rsidR="006C0C21" w:rsidRPr="00295CC9" w:rsidRDefault="006C0C21" w:rsidP="00006240">
            <w:pPr>
              <w:pStyle w:val="ListParagraph"/>
              <w:spacing w:line="276" w:lineRule="auto"/>
              <w:ind w:left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95CC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The company provides firefighting equipment, while the village office, the subdistrict military, and police stations supply personnel.</w:t>
            </w:r>
          </w:p>
        </w:tc>
      </w:tr>
    </w:tbl>
    <w:p w14:paraId="78D652B0" w14:textId="77777777" w:rsidR="003D163D" w:rsidRDefault="003D163D"/>
    <w:sectPr w:rsidR="003D1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21"/>
    <w:rsid w:val="003334A0"/>
    <w:rsid w:val="003D163D"/>
    <w:rsid w:val="00425FEE"/>
    <w:rsid w:val="004720D6"/>
    <w:rsid w:val="006C0C21"/>
    <w:rsid w:val="008961E0"/>
    <w:rsid w:val="00957E3C"/>
    <w:rsid w:val="00AB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6D945"/>
  <w15:chartTrackingRefBased/>
  <w15:docId w15:val="{A72DD1AA-3F9D-2B45-99C9-9717856C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2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6C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6C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C21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6C0C2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C0C21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6C0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C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0C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6C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 Al-Hifdhi</dc:creator>
  <cp:keywords/>
  <dc:description/>
  <cp:lastModifiedBy>Hefi Al-Hifdhi</cp:lastModifiedBy>
  <cp:revision>1</cp:revision>
  <dcterms:created xsi:type="dcterms:W3CDTF">2025-03-22T03:03:00Z</dcterms:created>
  <dcterms:modified xsi:type="dcterms:W3CDTF">2025-03-22T03:29:00Z</dcterms:modified>
</cp:coreProperties>
</file>