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79D3" w14:textId="3E6C826F" w:rsidR="00C96CFF" w:rsidRDefault="00C96CFF" w:rsidP="002651EA">
      <w:pPr>
        <w:spacing w:before="100" w:beforeAutospacing="1" w:after="100" w:afterAutospacing="1"/>
        <w:ind w:left="360"/>
        <w:rPr>
          <w:rFonts w:ascii="Cambria" w:hAnsi="Cambria"/>
          <w:sz w:val="22"/>
          <w:szCs w:val="22"/>
          <w:lang w:val="en-US"/>
        </w:rPr>
      </w:pPr>
      <w:r>
        <w:rPr>
          <w:rFonts w:ascii="Cambria" w:hAnsi="Cambria"/>
          <w:sz w:val="22"/>
          <w:szCs w:val="22"/>
          <w:lang w:val="en-US"/>
        </w:rPr>
        <w:t>Supplementary file 1</w:t>
      </w:r>
    </w:p>
    <w:p w14:paraId="4A79BB72" w14:textId="2872783D" w:rsidR="001F60E8" w:rsidRPr="001F60E8" w:rsidRDefault="001F60E8" w:rsidP="002651EA">
      <w:pPr>
        <w:spacing w:before="100" w:beforeAutospacing="1" w:after="100" w:afterAutospacing="1"/>
        <w:ind w:left="360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1F60E8">
        <w:rPr>
          <w:rFonts w:ascii="Cambria" w:hAnsi="Cambria"/>
          <w:sz w:val="22"/>
          <w:szCs w:val="22"/>
          <w:lang w:val="en-US"/>
        </w:rPr>
        <w:t xml:space="preserve">True-false questions used to assess learning </w:t>
      </w:r>
      <w:proofErr w:type="gramStart"/>
      <w:r w:rsidRPr="001F60E8">
        <w:rPr>
          <w:rFonts w:ascii="Cambria" w:hAnsi="Cambria"/>
          <w:sz w:val="22"/>
          <w:szCs w:val="22"/>
          <w:lang w:val="en-US"/>
        </w:rPr>
        <w:t>gain,</w:t>
      </w:r>
      <w:proofErr w:type="gramEnd"/>
      <w:r w:rsidRPr="001F60E8">
        <w:rPr>
          <w:rFonts w:ascii="Cambria" w:hAnsi="Cambria"/>
          <w:sz w:val="22"/>
          <w:szCs w:val="22"/>
          <w:lang w:val="en-US"/>
        </w:rPr>
        <w:t xml:space="preserve"> the number of true responses is equivalent to false responses:</w:t>
      </w:r>
    </w:p>
    <w:p w14:paraId="267599B6" w14:textId="0865F522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In metabolic pathways, enzymes that catalyze irreversible reactions are potential control points.</w:t>
      </w:r>
    </w:p>
    <w:p w14:paraId="0896A394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In glycolysis, the control points are the reactions catalyzed by phosphofructokinase, aldolase, and pyruvate kinase.</w:t>
      </w:r>
    </w:p>
    <w:p w14:paraId="160E0AAF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Glyceraldehyde-3-phosphate dehydrogenase is the main control point of glycolysis.</w:t>
      </w:r>
    </w:p>
    <w:p w14:paraId="33BC8B9B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Phosphofructokinase-1 is inhibited by high [ATP] because it decreases its affinity for fructose 6-phosphate.</w:t>
      </w:r>
    </w:p>
    <w:p w14:paraId="63447D57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Phosphorylation of glycogen phosphorylase activates the breakdown of glycogen.</w:t>
      </w:r>
    </w:p>
    <w:p w14:paraId="5589701C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A carbon leaves the Krebs cycle in the form of CO</w:t>
      </w:r>
      <w:r w:rsidRPr="00F37089">
        <w:rPr>
          <w:rFonts w:ascii="Cambria" w:eastAsia="Times New Roman" w:hAnsi="Cambria" w:cs="Times New Roman"/>
          <w:sz w:val="22"/>
          <w:szCs w:val="22"/>
          <w:vertAlign w:val="subscript"/>
          <w:lang w:val="en-US" w:eastAsia="es-MX"/>
        </w:rPr>
        <w:t>2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through the oxidation of isocitrate and alpha-ketoglutarate.</w:t>
      </w:r>
    </w:p>
    <w:p w14:paraId="149EC588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In the conversion of succinyl-CoA to succinate, one GTP is hydrolyzed to GDP.</w:t>
      </w:r>
    </w:p>
    <w:p w14:paraId="2A0CA057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The lactate formed mainly in the muscle is released into the blood and transported to the intestine where it is metabolized back to glucose.</w:t>
      </w:r>
    </w:p>
    <w:p w14:paraId="416FEA58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In aerobic organisms, the citric acid cycle is an important source of energy, so replenishment reactions known as </w:t>
      </w:r>
      <w:proofErr w:type="spellStart"/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anaplerotic</w:t>
      </w:r>
      <w:proofErr w:type="spellEnd"/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reactions are necessary to restore the intermediates of the cycle.</w:t>
      </w:r>
    </w:p>
    <w:p w14:paraId="7D7E0968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The presence of high cytosolic concentrations of citrate in the presence of ATP causes the accumulation of glucose 6-P and fructose 6-P.</w:t>
      </w:r>
    </w:p>
    <w:p w14:paraId="673BDA02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The accumulation of fructose 2,6-bisphosphate activates hexokinase.</w:t>
      </w:r>
    </w:p>
    <w:p w14:paraId="7E27690C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In the Cori cycle, glucose is released from the muscle into the bloodstream and transported to the liver.</w:t>
      </w:r>
    </w:p>
    <w:p w14:paraId="48F5E7E5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The increase in mitochondrial Ca</w:t>
      </w:r>
      <w:r w:rsidRPr="00F37089">
        <w:rPr>
          <w:rFonts w:ascii="Cambria" w:eastAsia="Times New Roman" w:hAnsi="Cambria" w:cs="Times New Roman"/>
          <w:sz w:val="22"/>
          <w:szCs w:val="22"/>
          <w:vertAlign w:val="superscript"/>
          <w:lang w:val="en-US" w:eastAsia="es-MX"/>
        </w:rPr>
        <w:t>2+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concentration inhibits the citric acid cycle.</w:t>
      </w:r>
    </w:p>
    <w:p w14:paraId="1CCE23D2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An important pathway where NADPH is produced is the oxidative phase of the pentose phosphate pathway.</w:t>
      </w:r>
    </w:p>
    <w:p w14:paraId="2B40EAC9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Uridine diphosphate glucose (UDP-glucose or UDPG) is involved in the exchange of </w:t>
      </w:r>
      <w:proofErr w:type="spellStart"/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phosphoanhydrides</w:t>
      </w:r>
      <w:proofErr w:type="spellEnd"/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in glycogenesis.</w:t>
      </w:r>
    </w:p>
    <w:p w14:paraId="747BDD09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Fatty acids are stored as triglycerides in adipocytes.</w:t>
      </w:r>
    </w:p>
    <w:p w14:paraId="4EDB8F11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The activation process involves the binding of long-chain fatty acids to carnitine to form acyl-carnitine.</w:t>
      </w:r>
    </w:p>
    <w:p w14:paraId="580C4F20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In </w:t>
      </w:r>
      <w:r w:rsidRPr="00F37089">
        <w:rPr>
          <w:rFonts w:ascii="Cambria" w:eastAsia="Times New Roman" w:hAnsi="Cambria" w:cs="Times New Roman"/>
          <w:sz w:val="22"/>
          <w:szCs w:val="22"/>
          <w:lang w:eastAsia="es-MX"/>
        </w:rPr>
        <w:t>β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-oxidation, ATP, NADH, and FADH</w:t>
      </w:r>
      <w:r w:rsidRPr="00F37089">
        <w:rPr>
          <w:rFonts w:ascii="Cambria" w:eastAsia="Times New Roman" w:hAnsi="Cambria" w:cs="Times New Roman"/>
          <w:sz w:val="22"/>
          <w:szCs w:val="22"/>
          <w:vertAlign w:val="subscript"/>
          <w:lang w:val="en-US" w:eastAsia="es-MX"/>
        </w:rPr>
        <w:t>2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are consumed to degrade amino acids.</w:t>
      </w:r>
    </w:p>
    <w:p w14:paraId="6B445132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Ketone bodies are synthesized in the peroxisome.</w:t>
      </w:r>
    </w:p>
    <w:p w14:paraId="36EBCB73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The first step in fatty acid synthesis is the formation of malate.</w:t>
      </w:r>
    </w:p>
    <w:p w14:paraId="0EE8BDFE" w14:textId="1A4F6A08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eastAsia="es-MX"/>
        </w:rPr>
        <w:t>β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-oxidation involves the sequential </w:t>
      </w:r>
      <w:r>
        <w:rPr>
          <w:rFonts w:ascii="Cambria" w:eastAsia="Times New Roman" w:hAnsi="Cambria" w:cs="Times New Roman"/>
          <w:sz w:val="22"/>
          <w:szCs w:val="22"/>
          <w:lang w:val="en-US" w:eastAsia="es-MX"/>
        </w:rPr>
        <w:t>removal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of two-carbon units from the fatty acid chain.</w:t>
      </w:r>
    </w:p>
    <w:p w14:paraId="11CD6A21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eastAsia="es-MX"/>
        </w:rPr>
        <w:t>β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-Hydroxy </w:t>
      </w:r>
      <w:r w:rsidRPr="00F37089">
        <w:rPr>
          <w:rFonts w:ascii="Cambria" w:eastAsia="Times New Roman" w:hAnsi="Cambria" w:cs="Times New Roman"/>
          <w:sz w:val="22"/>
          <w:szCs w:val="22"/>
          <w:lang w:eastAsia="es-MX"/>
        </w:rPr>
        <w:t>β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-</w:t>
      </w:r>
      <w:proofErr w:type="spellStart"/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methylglutaryl</w:t>
      </w:r>
      <w:proofErr w:type="spellEnd"/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-CoA reductase is the most regulated enzyme in cholesterol synthesis.</w:t>
      </w:r>
    </w:p>
    <w:p w14:paraId="106D37F4" w14:textId="397EBFE0" w:rsidR="00F37089" w:rsidRPr="00F37089" w:rsidRDefault="00906DD2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>
        <w:rPr>
          <w:rFonts w:ascii="Cambria" w:eastAsia="Times New Roman" w:hAnsi="Cambria" w:cs="Times New Roman"/>
          <w:sz w:val="22"/>
          <w:szCs w:val="22"/>
          <w:lang w:val="en-US" w:eastAsia="es-MX"/>
        </w:rPr>
        <w:t>Chy</w:t>
      </w:r>
      <w:r w:rsid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lomicron</w:t>
      </w:r>
      <w:r w:rsidR="00F37089"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are very large lipoproteins that primarily transport triacylglycerols from food from the intestine.</w:t>
      </w:r>
    </w:p>
    <w:p w14:paraId="49083573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Peripheral tissues can transport nitrogen to the liver, where it is converted into urea.</w:t>
      </w:r>
    </w:p>
    <w:p w14:paraId="5AF76441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Acetyl-CoA is essential in the urea cycle because it is the second nitrogen donor.</w:t>
      </w:r>
    </w:p>
    <w:p w14:paraId="5FCDE588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Lactate participates in the Cori cycle.</w:t>
      </w:r>
    </w:p>
    <w:p w14:paraId="78EB7D07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Enolase participates in both glycolysis and gluconeogenesis.</w:t>
      </w:r>
    </w:p>
    <w:p w14:paraId="7D286196" w14:textId="3339463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Acyl-CoA is the </w:t>
      </w:r>
      <w:r>
        <w:rPr>
          <w:rFonts w:ascii="Cambria" w:eastAsia="Times New Roman" w:hAnsi="Cambria" w:cs="Times New Roman"/>
          <w:sz w:val="22"/>
          <w:szCs w:val="22"/>
          <w:lang w:val="en-US" w:eastAsia="es-MX"/>
        </w:rPr>
        <w:t>main substrate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in cholesterol synthesis.</w:t>
      </w:r>
    </w:p>
    <w:p w14:paraId="1134B500" w14:textId="54532FFE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Xylulose-5-phosphate is an intermediate in the </w:t>
      </w:r>
      <w:r w:rsidR="00673E3C">
        <w:rPr>
          <w:rFonts w:ascii="Cambria" w:eastAsia="Times New Roman" w:hAnsi="Cambria" w:cs="Times New Roman"/>
          <w:sz w:val="22"/>
          <w:szCs w:val="22"/>
          <w:lang w:val="en-US" w:eastAsia="es-MX"/>
        </w:rPr>
        <w:t>non-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oxidative phase of the pentose phosphate pathway.</w:t>
      </w:r>
    </w:p>
    <w:p w14:paraId="2E107E11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lastRenderedPageBreak/>
        <w:t>Trypsin hydrolyzes proteins at their aromatic residues.</w:t>
      </w:r>
    </w:p>
    <w:p w14:paraId="49C12D70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Glutamate donates amino groups to pyruvate in the Cori cycle.</w:t>
      </w:r>
    </w:p>
    <w:p w14:paraId="12F904AC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eastAsia="es-MX"/>
        </w:rPr>
        <w:t>α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-Ketoglutarate is an intermediate in amino acid degradation and the citric acid cycle.</w:t>
      </w:r>
    </w:p>
    <w:p w14:paraId="7634EBEF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The regulation of the urea cycle is controlled by carbamoyl-phosphate synthetase I.</w:t>
      </w:r>
    </w:p>
    <w:p w14:paraId="674C2B87" w14:textId="6A0D250C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Glycine is </w:t>
      </w:r>
      <w:r w:rsidR="00906DD2">
        <w:rPr>
          <w:rFonts w:ascii="Cambria" w:eastAsia="Times New Roman" w:hAnsi="Cambria" w:cs="Times New Roman"/>
          <w:sz w:val="22"/>
          <w:szCs w:val="22"/>
          <w:lang w:val="en-US" w:eastAsia="es-MX"/>
        </w:rPr>
        <w:t>a ketogenic amino acid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.</w:t>
      </w:r>
    </w:p>
    <w:p w14:paraId="702ED60C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Glutamate is an amino acid that forms </w:t>
      </w:r>
      <w:r w:rsidRPr="00F37089">
        <w:rPr>
          <w:rFonts w:ascii="Cambria" w:eastAsia="Times New Roman" w:hAnsi="Cambria" w:cs="Times New Roman"/>
          <w:sz w:val="22"/>
          <w:szCs w:val="22"/>
          <w:lang w:eastAsia="es-MX"/>
        </w:rPr>
        <w:t>α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-ketoglutarate in its anabolic pathway.</w:t>
      </w:r>
    </w:p>
    <w:p w14:paraId="4FD67BCD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All the nitrogen necessary to generate </w:t>
      </w:r>
      <w:r w:rsidRPr="00F37089">
        <w:rPr>
          <w:rFonts w:ascii="Cambria" w:eastAsia="Times New Roman" w:hAnsi="Cambria" w:cs="Times New Roman"/>
          <w:i/>
          <w:iCs/>
          <w:sz w:val="22"/>
          <w:szCs w:val="22"/>
          <w:lang w:val="en-US" w:eastAsia="es-MX"/>
        </w:rPr>
        <w:t>de novo</w:t>
      </w: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pyrimidines comes from amino acids.</w:t>
      </w:r>
    </w:p>
    <w:p w14:paraId="599745A3" w14:textId="77777777" w:rsidR="00906DD2" w:rsidRDefault="00906DD2" w:rsidP="00906DD2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906DD2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Vitamin B12 is necessary for the </w:t>
      </w:r>
      <w:r w:rsidRPr="00906DD2">
        <w:rPr>
          <w:rFonts w:ascii="Cambria" w:eastAsia="Times New Roman" w:hAnsi="Cambria" w:cs="Times New Roman"/>
          <w:i/>
          <w:iCs/>
          <w:sz w:val="22"/>
          <w:szCs w:val="22"/>
          <w:lang w:val="en-US" w:eastAsia="es-MX"/>
        </w:rPr>
        <w:t>de novo</w:t>
      </w:r>
      <w:r w:rsidRPr="00906DD2">
        <w:rPr>
          <w:rFonts w:ascii="Cambria" w:eastAsia="Times New Roman" w:hAnsi="Cambria" w:cs="Times New Roman"/>
          <w:sz w:val="22"/>
          <w:szCs w:val="22"/>
          <w:lang w:val="en-US" w:eastAsia="es-MX"/>
        </w:rPr>
        <w:t xml:space="preserve"> synthesis of purines.</w:t>
      </w:r>
    </w:p>
    <w:p w14:paraId="3ED9EB38" w14:textId="0BEB3685" w:rsidR="00F37089" w:rsidRPr="00F37089" w:rsidRDefault="00F37089" w:rsidP="00906DD2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Carbamoyl-phosphate synthetase II is involved in nucleotide synthesis.</w:t>
      </w:r>
    </w:p>
    <w:p w14:paraId="49218C66" w14:textId="61DB5BEA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Ribonucleotide reductase participates in the formation of ribonucleotides.</w:t>
      </w:r>
    </w:p>
    <w:p w14:paraId="271402B8" w14:textId="77777777" w:rsidR="00F37089" w:rsidRPr="00F37089" w:rsidRDefault="00F37089" w:rsidP="00F37089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val="en-US" w:eastAsia="es-MX"/>
        </w:rPr>
      </w:pPr>
      <w:r w:rsidRPr="00F37089">
        <w:rPr>
          <w:rFonts w:ascii="Cambria" w:eastAsia="Times New Roman" w:hAnsi="Cambria" w:cs="Times New Roman"/>
          <w:sz w:val="22"/>
          <w:szCs w:val="22"/>
          <w:lang w:val="en-US" w:eastAsia="es-MX"/>
        </w:rPr>
        <w:t>Nucleotide synthesis requires the involvement of various precursors, including fatty acids.</w:t>
      </w:r>
    </w:p>
    <w:p w14:paraId="357D8510" w14:textId="77777777" w:rsidR="00295E5B" w:rsidRPr="00F37089" w:rsidRDefault="00295E5B" w:rsidP="00F37089">
      <w:pPr>
        <w:spacing w:before="100" w:beforeAutospacing="1" w:after="100" w:afterAutospacing="1"/>
        <w:ind w:left="720"/>
        <w:rPr>
          <w:rFonts w:ascii="Cambria" w:hAnsi="Cambria"/>
          <w:sz w:val="22"/>
          <w:szCs w:val="22"/>
          <w:lang w:val="en-US"/>
        </w:rPr>
      </w:pPr>
    </w:p>
    <w:sectPr w:rsidR="00295E5B" w:rsidRPr="00F37089" w:rsidSect="004868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5527"/>
    <w:multiLevelType w:val="multilevel"/>
    <w:tmpl w:val="10F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67286"/>
    <w:multiLevelType w:val="multilevel"/>
    <w:tmpl w:val="AC269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A21CF2"/>
    <w:multiLevelType w:val="multilevel"/>
    <w:tmpl w:val="585A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363"/>
    <w:multiLevelType w:val="multilevel"/>
    <w:tmpl w:val="1F5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733C6"/>
    <w:multiLevelType w:val="multilevel"/>
    <w:tmpl w:val="CF1A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B30FC"/>
    <w:multiLevelType w:val="multilevel"/>
    <w:tmpl w:val="EB9C4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510E1E"/>
    <w:multiLevelType w:val="multilevel"/>
    <w:tmpl w:val="9A3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3F"/>
    <w:rsid w:val="0016146F"/>
    <w:rsid w:val="001C7B30"/>
    <w:rsid w:val="001F60E8"/>
    <w:rsid w:val="00251F6A"/>
    <w:rsid w:val="002651EA"/>
    <w:rsid w:val="00295E5B"/>
    <w:rsid w:val="002B56E2"/>
    <w:rsid w:val="003A3B5D"/>
    <w:rsid w:val="004512B6"/>
    <w:rsid w:val="00486852"/>
    <w:rsid w:val="004C505B"/>
    <w:rsid w:val="005002B9"/>
    <w:rsid w:val="00673E3C"/>
    <w:rsid w:val="00906DD2"/>
    <w:rsid w:val="00C96CFF"/>
    <w:rsid w:val="00DA593F"/>
    <w:rsid w:val="00F14BD7"/>
    <w:rsid w:val="00F3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1BDB9D"/>
  <w15:chartTrackingRefBased/>
  <w15:docId w15:val="{0A5734B4-8D9D-F140-86BD-25D68759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46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59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Prrafodelista">
    <w:name w:val="List Paragraph"/>
    <w:basedOn w:val="Normal"/>
    <w:uiPriority w:val="34"/>
    <w:qFormat/>
    <w:rsid w:val="00DA5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9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Bazán Perkins</dc:creator>
  <cp:keywords/>
  <dc:description/>
  <cp:lastModifiedBy>Blanca Margarita Bazán Perkins</cp:lastModifiedBy>
  <cp:revision>6</cp:revision>
  <dcterms:created xsi:type="dcterms:W3CDTF">2025-04-02T22:43:00Z</dcterms:created>
  <dcterms:modified xsi:type="dcterms:W3CDTF">2025-04-02T23:09:00Z</dcterms:modified>
</cp:coreProperties>
</file>