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85F5CF" w14:textId="77777777" w:rsidR="006D4CAC" w:rsidRPr="006D4CAC" w:rsidRDefault="006D4CAC" w:rsidP="00111BA0">
      <w:pPr>
        <w:spacing w:after="240" w:line="360" w:lineRule="auto"/>
        <w:jc w:val="both"/>
        <w:rPr>
          <w:rFonts w:ascii="Times New Roman" w:eastAsia="Times New Roman" w:hAnsi="Times New Roman" w:cs="Times New Roman"/>
          <w:color w:val="000000"/>
          <w:lang w:eastAsia="en-GB"/>
        </w:rPr>
      </w:pPr>
      <w:r w:rsidRPr="006D4CAC">
        <w:rPr>
          <w:rFonts w:ascii="Arial" w:eastAsia="Times New Roman" w:hAnsi="Arial" w:cs="Arial"/>
          <w:b/>
          <w:bCs/>
          <w:color w:val="000000"/>
          <w:lang w:eastAsia="en-GB"/>
        </w:rPr>
        <w:t>MER57E3 transposable element subfamily co-opted for gene regulation in human early neural development</w:t>
      </w:r>
    </w:p>
    <w:p w14:paraId="7A33DBB0" w14:textId="7979EB7E" w:rsidR="006D4CAC" w:rsidRPr="006D4CAC" w:rsidRDefault="006D4CAC" w:rsidP="006D4CA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lang w:eastAsia="en-GB"/>
        </w:rPr>
      </w:pPr>
      <w:r w:rsidRPr="006D4CAC">
        <w:rPr>
          <w:rFonts w:ascii="Arial" w:eastAsia="Times New Roman" w:hAnsi="Arial" w:cs="Arial"/>
          <w:color w:val="000000"/>
          <w:lang w:eastAsia="en-GB"/>
        </w:rPr>
        <w:t xml:space="preserve">Michelle Almeida da Paz </w:t>
      </w:r>
      <w:r w:rsidRPr="006D4CAC">
        <w:rPr>
          <w:rFonts w:ascii="Arial" w:eastAsia="Times New Roman" w:hAnsi="Arial" w:cs="Arial"/>
          <w:color w:val="000000"/>
          <w:vertAlign w:val="superscript"/>
          <w:lang w:eastAsia="en-GB"/>
        </w:rPr>
        <w:t>1, 2</w:t>
      </w:r>
    </w:p>
    <w:p w14:paraId="241094B2" w14:textId="4E9A0034" w:rsidR="00E32B59" w:rsidRPr="00E32B59" w:rsidRDefault="00E32B59" w:rsidP="006D4CA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lang w:eastAsia="en-GB"/>
        </w:rPr>
      </w:pPr>
      <w:r w:rsidRPr="006D4CAC">
        <w:rPr>
          <w:rFonts w:ascii="Arial" w:eastAsia="Times New Roman" w:hAnsi="Arial" w:cs="Arial"/>
          <w:color w:val="000000"/>
          <w:lang w:eastAsia="en-GB"/>
        </w:rPr>
        <w:t xml:space="preserve">Umut Yildiz </w:t>
      </w:r>
      <w:r w:rsidRPr="006D4CAC">
        <w:rPr>
          <w:rFonts w:ascii="Arial" w:eastAsia="Times New Roman" w:hAnsi="Arial" w:cs="Arial"/>
          <w:color w:val="000000"/>
          <w:vertAlign w:val="superscript"/>
          <w:lang w:eastAsia="en-GB"/>
        </w:rPr>
        <w:t>2</w:t>
      </w:r>
    </w:p>
    <w:p w14:paraId="327FF8CF" w14:textId="6A3C3D82" w:rsidR="006D4CAC" w:rsidRPr="006D4CAC" w:rsidRDefault="006D4CAC" w:rsidP="006D4CA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lang w:eastAsia="en-GB"/>
        </w:rPr>
      </w:pPr>
      <w:r w:rsidRPr="006D4CAC">
        <w:rPr>
          <w:rFonts w:ascii="Arial" w:eastAsia="Times New Roman" w:hAnsi="Arial" w:cs="Arial"/>
          <w:color w:val="000000"/>
          <w:lang w:eastAsia="en-GB"/>
        </w:rPr>
        <w:t xml:space="preserve">Minyoung Kim </w:t>
      </w:r>
      <w:r w:rsidRPr="006D4CAC">
        <w:rPr>
          <w:rFonts w:ascii="Arial" w:eastAsia="Times New Roman" w:hAnsi="Arial" w:cs="Arial"/>
          <w:color w:val="000000"/>
          <w:vertAlign w:val="superscript"/>
          <w:lang w:eastAsia="en-GB"/>
        </w:rPr>
        <w:t>2, 3</w:t>
      </w:r>
    </w:p>
    <w:p w14:paraId="212C400A" w14:textId="77777777" w:rsidR="006D4CAC" w:rsidRPr="006D4CAC" w:rsidRDefault="006D4CAC" w:rsidP="006D4CA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lang w:eastAsia="en-GB"/>
        </w:rPr>
      </w:pPr>
      <w:r w:rsidRPr="006D4CAC">
        <w:rPr>
          <w:rFonts w:ascii="Arial" w:eastAsia="Times New Roman" w:hAnsi="Arial" w:cs="Arial"/>
          <w:color w:val="000000"/>
          <w:lang w:eastAsia="en-GB"/>
        </w:rPr>
        <w:t>Víctor Campos-Fornés</w:t>
      </w:r>
      <w:r w:rsidRPr="006D4CAC">
        <w:rPr>
          <w:rFonts w:ascii="Arial" w:eastAsia="Times New Roman" w:hAnsi="Arial" w:cs="Arial"/>
          <w:color w:val="000000"/>
          <w:vertAlign w:val="superscript"/>
          <w:lang w:eastAsia="en-GB"/>
        </w:rPr>
        <w:t xml:space="preserve"> 2, 4</w:t>
      </w:r>
    </w:p>
    <w:p w14:paraId="39A17176" w14:textId="77777777" w:rsidR="006D4CAC" w:rsidRPr="006D4CAC" w:rsidRDefault="006D4CAC" w:rsidP="006D4CA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lang w:eastAsia="en-GB"/>
        </w:rPr>
      </w:pPr>
      <w:r w:rsidRPr="006D4CAC">
        <w:rPr>
          <w:rFonts w:ascii="Arial" w:eastAsia="Times New Roman" w:hAnsi="Arial" w:cs="Arial"/>
          <w:color w:val="000000"/>
          <w:lang w:eastAsia="en-GB"/>
        </w:rPr>
        <w:t>Marina Pinkasz</w:t>
      </w:r>
      <w:r w:rsidRPr="006D4CAC">
        <w:rPr>
          <w:rFonts w:ascii="Arial" w:eastAsia="Times New Roman" w:hAnsi="Arial" w:cs="Arial"/>
          <w:color w:val="000000"/>
          <w:vertAlign w:val="superscript"/>
          <w:lang w:eastAsia="en-GB"/>
        </w:rPr>
        <w:t xml:space="preserve"> 2, 5, 6</w:t>
      </w:r>
    </w:p>
    <w:p w14:paraId="018A8DB1" w14:textId="77777777" w:rsidR="006D4CAC" w:rsidRPr="006D4CAC" w:rsidRDefault="006D4CAC" w:rsidP="006D4CA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lang w:eastAsia="en-GB"/>
        </w:rPr>
      </w:pPr>
      <w:r w:rsidRPr="006D4CAC">
        <w:rPr>
          <w:rFonts w:ascii="Arial" w:eastAsia="Times New Roman" w:hAnsi="Arial" w:cs="Arial"/>
          <w:color w:val="000000"/>
          <w:lang w:eastAsia="en-GB"/>
        </w:rPr>
        <w:t xml:space="preserve">Thomas Dahlet </w:t>
      </w:r>
      <w:r w:rsidRPr="006D4CAC">
        <w:rPr>
          <w:rFonts w:ascii="Arial" w:eastAsia="Times New Roman" w:hAnsi="Arial" w:cs="Arial"/>
          <w:color w:val="000000"/>
          <w:vertAlign w:val="superscript"/>
          <w:lang w:eastAsia="en-GB"/>
        </w:rPr>
        <w:t>2, 7</w:t>
      </w:r>
    </w:p>
    <w:p w14:paraId="3B6A8044" w14:textId="77777777" w:rsidR="006D4CAC" w:rsidRPr="006D4CAC" w:rsidRDefault="006D4CAC" w:rsidP="006D4CA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lang w:eastAsia="en-GB"/>
        </w:rPr>
      </w:pPr>
      <w:r w:rsidRPr="006D4CAC">
        <w:rPr>
          <w:rFonts w:ascii="Arial" w:eastAsia="Times New Roman" w:hAnsi="Arial" w:cs="Arial"/>
          <w:color w:val="000000"/>
          <w:lang w:eastAsia="en-GB"/>
        </w:rPr>
        <w:t xml:space="preserve">Kyung-Min Noh </w:t>
      </w:r>
      <w:r w:rsidRPr="006D4CAC">
        <w:rPr>
          <w:rFonts w:ascii="Arial" w:eastAsia="Times New Roman" w:hAnsi="Arial" w:cs="Arial"/>
          <w:color w:val="000000"/>
          <w:vertAlign w:val="superscript"/>
          <w:lang w:eastAsia="en-GB"/>
        </w:rPr>
        <w:t>2, 8</w:t>
      </w:r>
    </w:p>
    <w:p w14:paraId="7FC776AF" w14:textId="69CFE3B4" w:rsidR="006D4CAC" w:rsidRPr="006D4CAC" w:rsidRDefault="006D4CAC" w:rsidP="006D4CA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lang w:eastAsia="en-GB"/>
        </w:rPr>
      </w:pPr>
      <w:r w:rsidRPr="006D4CAC">
        <w:rPr>
          <w:rFonts w:ascii="Arial" w:eastAsia="Times New Roman" w:hAnsi="Arial" w:cs="Arial"/>
          <w:color w:val="000000"/>
          <w:lang w:eastAsia="en-GB"/>
        </w:rPr>
        <w:t xml:space="preserve">Leila Taher </w:t>
      </w:r>
      <w:r w:rsidRPr="006D4CAC">
        <w:rPr>
          <w:rFonts w:ascii="Arial" w:eastAsia="Times New Roman" w:hAnsi="Arial" w:cs="Arial"/>
          <w:color w:val="000000"/>
          <w:vertAlign w:val="superscript"/>
          <w:lang w:eastAsia="en-GB"/>
        </w:rPr>
        <w:t>1</w:t>
      </w:r>
    </w:p>
    <w:p w14:paraId="222115E8" w14:textId="77777777" w:rsidR="006D4CAC" w:rsidRPr="006D4CAC" w:rsidRDefault="006D4CAC" w:rsidP="006D4CA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lang w:eastAsia="en-GB"/>
        </w:rPr>
      </w:pPr>
    </w:p>
    <w:p w14:paraId="6A522232" w14:textId="77777777" w:rsidR="006D4CAC" w:rsidRPr="006D4CAC" w:rsidRDefault="006D4CAC" w:rsidP="006D4CA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lang w:eastAsia="en-GB"/>
        </w:rPr>
      </w:pPr>
      <w:r w:rsidRPr="006D4CAC">
        <w:rPr>
          <w:rFonts w:ascii="Arial" w:eastAsia="Times New Roman" w:hAnsi="Arial" w:cs="Arial"/>
          <w:color w:val="000000"/>
          <w:vertAlign w:val="superscript"/>
          <w:lang w:eastAsia="en-GB"/>
        </w:rPr>
        <w:t>1</w:t>
      </w:r>
      <w:r w:rsidRPr="006D4CAC">
        <w:rPr>
          <w:rFonts w:ascii="Arial" w:eastAsia="Times New Roman" w:hAnsi="Arial" w:cs="Arial"/>
          <w:color w:val="000000"/>
          <w:lang w:eastAsia="en-GB"/>
        </w:rPr>
        <w:t xml:space="preserve"> Institute of Biomedical Informatics, Graz University of Technology, Graz, Austria</w:t>
      </w:r>
    </w:p>
    <w:p w14:paraId="6BF6CBDA" w14:textId="77777777" w:rsidR="006D4CAC" w:rsidRPr="006D4CAC" w:rsidRDefault="006D4CAC" w:rsidP="006D4CA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lang w:eastAsia="en-GB"/>
        </w:rPr>
      </w:pPr>
      <w:r w:rsidRPr="006D4CAC">
        <w:rPr>
          <w:rFonts w:ascii="Arial" w:eastAsia="Times New Roman" w:hAnsi="Arial" w:cs="Arial"/>
          <w:color w:val="000000"/>
          <w:vertAlign w:val="superscript"/>
          <w:lang w:eastAsia="en-GB"/>
        </w:rPr>
        <w:t>2</w:t>
      </w:r>
      <w:r w:rsidRPr="006D4CAC">
        <w:rPr>
          <w:rFonts w:ascii="Arial" w:eastAsia="Times New Roman" w:hAnsi="Arial" w:cs="Arial"/>
          <w:color w:val="000000"/>
          <w:lang w:eastAsia="en-GB"/>
        </w:rPr>
        <w:t xml:space="preserve"> European Molecular Biology Laboratory (EMBL), Genome Biology Unit, Heidelberg, Germany</w:t>
      </w:r>
    </w:p>
    <w:p w14:paraId="75F7556A" w14:textId="77777777" w:rsidR="006D4CAC" w:rsidRPr="006D4CAC" w:rsidRDefault="006D4CAC" w:rsidP="006D4CA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lang w:eastAsia="en-GB"/>
        </w:rPr>
      </w:pPr>
      <w:r w:rsidRPr="006D4CAC">
        <w:rPr>
          <w:rFonts w:ascii="Arial" w:eastAsia="Times New Roman" w:hAnsi="Arial" w:cs="Arial"/>
          <w:color w:val="000000"/>
          <w:vertAlign w:val="superscript"/>
          <w:lang w:eastAsia="en-GB"/>
        </w:rPr>
        <w:t>3</w:t>
      </w:r>
      <w:r w:rsidRPr="006D4CAC">
        <w:rPr>
          <w:rFonts w:ascii="Arial" w:eastAsia="Times New Roman" w:hAnsi="Arial" w:cs="Arial"/>
          <w:color w:val="000000"/>
          <w:lang w:eastAsia="en-GB"/>
        </w:rPr>
        <w:t xml:space="preserve"> Faculty of Biosciences, Molecular Biosciences: Neuroscience Major, Heidelberg University, 69120, Heidelberg, Germany</w:t>
      </w:r>
    </w:p>
    <w:p w14:paraId="2C94C104" w14:textId="77777777" w:rsidR="006D4CAC" w:rsidRPr="006D4CAC" w:rsidRDefault="006D4CAC" w:rsidP="006D4CA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lang w:eastAsia="en-GB"/>
        </w:rPr>
      </w:pPr>
      <w:r w:rsidRPr="006D4CAC">
        <w:rPr>
          <w:rFonts w:ascii="Arial" w:eastAsia="Times New Roman" w:hAnsi="Arial" w:cs="Arial"/>
          <w:color w:val="000000"/>
          <w:vertAlign w:val="superscript"/>
          <w:lang w:eastAsia="en-GB"/>
        </w:rPr>
        <w:t>4</w:t>
      </w:r>
      <w:r w:rsidRPr="006D4CAC">
        <w:rPr>
          <w:rFonts w:ascii="Arial" w:eastAsia="Times New Roman" w:hAnsi="Arial" w:cs="Arial"/>
          <w:color w:val="000000"/>
          <w:lang w:eastAsia="en-GB"/>
        </w:rPr>
        <w:t xml:space="preserve"> Faculty of Biosciences, Collaboration for Joint PhD Degree between EMBL and Heidelberg</w:t>
      </w:r>
    </w:p>
    <w:p w14:paraId="61BD7385" w14:textId="77777777" w:rsidR="006D4CAC" w:rsidRPr="006D4CAC" w:rsidRDefault="006D4CAC" w:rsidP="006D4CA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lang w:eastAsia="en-GB"/>
        </w:rPr>
      </w:pPr>
      <w:r w:rsidRPr="006D4CAC">
        <w:rPr>
          <w:rFonts w:ascii="Arial" w:eastAsia="Times New Roman" w:hAnsi="Arial" w:cs="Arial"/>
          <w:color w:val="000000"/>
          <w:vertAlign w:val="superscript"/>
          <w:lang w:eastAsia="en-GB"/>
        </w:rPr>
        <w:t>5</w:t>
      </w:r>
      <w:r w:rsidRPr="006D4CAC">
        <w:rPr>
          <w:rFonts w:ascii="Arial" w:eastAsia="Times New Roman" w:hAnsi="Arial" w:cs="Arial"/>
          <w:color w:val="000000"/>
          <w:lang w:eastAsia="en-GB"/>
        </w:rPr>
        <w:t xml:space="preserve"> Departamento de Fisiología, Biología Molecular y Celular, Facultad de Ciencias Exactas y Naturales, Universidad de Buenos Aires, Buenos Aires, Argentina</w:t>
      </w:r>
    </w:p>
    <w:p w14:paraId="3C059094" w14:textId="77777777" w:rsidR="006D4CAC" w:rsidRPr="006D4CAC" w:rsidRDefault="006D4CAC" w:rsidP="006D4CA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lang w:eastAsia="en-GB"/>
        </w:rPr>
      </w:pPr>
      <w:r w:rsidRPr="006D4CAC">
        <w:rPr>
          <w:rFonts w:ascii="Arial" w:eastAsia="Times New Roman" w:hAnsi="Arial" w:cs="Arial"/>
          <w:color w:val="000000"/>
          <w:vertAlign w:val="superscript"/>
          <w:lang w:eastAsia="en-GB"/>
        </w:rPr>
        <w:t>6</w:t>
      </w:r>
      <w:r w:rsidRPr="006D4CAC">
        <w:rPr>
          <w:rFonts w:ascii="Arial" w:eastAsia="Times New Roman" w:hAnsi="Arial" w:cs="Arial"/>
          <w:color w:val="000000"/>
          <w:lang w:eastAsia="en-GB"/>
        </w:rPr>
        <w:t xml:space="preserve"> Instituto de Fisiología, Biología Molecular y Neurociencias, Universidad de Buenos Aires, CONICET, Buenos Aires, Argentina</w:t>
      </w:r>
    </w:p>
    <w:p w14:paraId="3C8860BF" w14:textId="77777777" w:rsidR="006D4CAC" w:rsidRPr="006D4CAC" w:rsidRDefault="006D4CAC" w:rsidP="006D4CA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lang w:eastAsia="en-GB"/>
        </w:rPr>
      </w:pPr>
      <w:r w:rsidRPr="006D4CAC">
        <w:rPr>
          <w:rFonts w:ascii="Arial" w:eastAsia="Times New Roman" w:hAnsi="Arial" w:cs="Arial"/>
          <w:color w:val="000000"/>
          <w:vertAlign w:val="superscript"/>
          <w:lang w:eastAsia="en-GB"/>
        </w:rPr>
        <w:t>7</w:t>
      </w:r>
      <w:r w:rsidRPr="006D4CAC">
        <w:rPr>
          <w:rFonts w:ascii="Arial" w:eastAsia="Times New Roman" w:hAnsi="Arial" w:cs="Arial"/>
          <w:color w:val="000000"/>
          <w:lang w:eastAsia="en-GB"/>
        </w:rPr>
        <w:t xml:space="preserve"> Molecular Systems Biology Unit, European Molecular Biology Laboratory (EMBL), Heidelberg, Germany</w:t>
      </w:r>
    </w:p>
    <w:p w14:paraId="7147E1BF" w14:textId="56F45734" w:rsidR="00BB0B59" w:rsidRDefault="006D4CAC" w:rsidP="006D4CAC">
      <w:pPr>
        <w:spacing w:line="360" w:lineRule="auto"/>
        <w:jc w:val="both"/>
        <w:rPr>
          <w:rFonts w:ascii="Arial" w:eastAsia="Times New Roman" w:hAnsi="Arial" w:cs="Arial"/>
          <w:color w:val="000000"/>
          <w:lang w:eastAsia="en-GB"/>
        </w:rPr>
      </w:pPr>
      <w:r w:rsidRPr="006D4CAC">
        <w:rPr>
          <w:rFonts w:ascii="Arial" w:eastAsia="Times New Roman" w:hAnsi="Arial" w:cs="Arial"/>
          <w:color w:val="000000"/>
          <w:vertAlign w:val="superscript"/>
          <w:lang w:eastAsia="en-GB"/>
        </w:rPr>
        <w:t>8</w:t>
      </w:r>
      <w:r w:rsidRPr="006D4CAC">
        <w:rPr>
          <w:rFonts w:ascii="Arial" w:eastAsia="Times New Roman" w:hAnsi="Arial" w:cs="Arial"/>
          <w:color w:val="000000"/>
          <w:lang w:eastAsia="en-GB"/>
        </w:rPr>
        <w:t xml:space="preserve"> Department of Biomedicine, Aarhus University, Denmark</w:t>
      </w:r>
    </w:p>
    <w:p w14:paraId="42C7F858" w14:textId="77777777" w:rsidR="00111BA0" w:rsidRDefault="00111BA0" w:rsidP="006D4CAC">
      <w:pPr>
        <w:spacing w:line="360" w:lineRule="auto"/>
        <w:jc w:val="both"/>
        <w:rPr>
          <w:rFonts w:ascii="Arial" w:eastAsia="Times New Roman" w:hAnsi="Arial" w:cs="Arial"/>
          <w:color w:val="000000"/>
          <w:lang w:eastAsia="en-GB"/>
        </w:rPr>
      </w:pPr>
    </w:p>
    <w:p w14:paraId="74D39035" w14:textId="266E4095" w:rsidR="003E74D5" w:rsidRDefault="00111BA0" w:rsidP="001F3BE2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lang w:eastAsia="en-GB"/>
        </w:rPr>
      </w:pPr>
      <w:r w:rsidRPr="00111BA0">
        <w:rPr>
          <w:rFonts w:ascii="Arial" w:eastAsia="Times New Roman" w:hAnsi="Arial" w:cs="Arial"/>
          <w:b/>
          <w:bCs/>
          <w:color w:val="000000"/>
          <w:lang w:eastAsia="en-GB"/>
        </w:rPr>
        <w:t>SUPPLEMENTARY FIGURES</w:t>
      </w:r>
      <w:r w:rsidR="003E74D5">
        <w:rPr>
          <w:rFonts w:ascii="Arial" w:eastAsia="Times New Roman" w:hAnsi="Arial" w:cs="Arial"/>
          <w:b/>
          <w:bCs/>
          <w:color w:val="000000"/>
          <w:lang w:eastAsia="en-GB"/>
        </w:rPr>
        <w:br w:type="page"/>
      </w:r>
    </w:p>
    <w:p w14:paraId="5548238A" w14:textId="501D56C9" w:rsidR="003E74D5" w:rsidRDefault="003E74D5" w:rsidP="00F31FF6">
      <w:pPr>
        <w:spacing w:line="360" w:lineRule="auto"/>
        <w:jc w:val="center"/>
        <w:rPr>
          <w:rFonts w:ascii="Arial" w:eastAsia="Times New Roman" w:hAnsi="Arial" w:cs="Arial"/>
          <w:b/>
          <w:bCs/>
          <w:color w:val="000000"/>
          <w:lang w:eastAsia="en-GB"/>
        </w:rPr>
      </w:pPr>
      <w:r w:rsidRPr="003E74D5">
        <w:rPr>
          <w:rFonts w:ascii="Arial" w:eastAsia="Times New Roman" w:hAnsi="Arial" w:cs="Arial"/>
          <w:b/>
          <w:bCs/>
          <w:noProof/>
          <w:color w:val="000000"/>
          <w:lang w:eastAsia="en-GB"/>
        </w:rPr>
        <w:lastRenderedPageBreak/>
        <w:drawing>
          <wp:inline distT="0" distB="0" distL="0" distR="0" wp14:anchorId="109731FE" wp14:editId="5E2D6EEE">
            <wp:extent cx="5627077" cy="5627077"/>
            <wp:effectExtent l="0" t="0" r="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927765A-21E9-1C33-6548-577AA22A72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4927765A-21E9-1C33-6548-577AA22A72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2724" cy="564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6B543" w14:textId="323E6BFD" w:rsidR="007525F5" w:rsidRPr="00451544" w:rsidRDefault="003E74D5" w:rsidP="00451544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</w:pPr>
      <w:r w:rsidRPr="00451544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t xml:space="preserve">Suppl. Fig. </w:t>
      </w:r>
      <w:r w:rsidR="001F3BE2" w:rsidRPr="001F3BE2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1</w:t>
      </w:r>
      <w:r w:rsidRPr="00451544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t xml:space="preserve">. </w:t>
      </w:r>
      <w:r w:rsidR="0052551C" w:rsidRPr="00451544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Gene ontology (GO) enrichment analysis of the genes whose TSS resides within 2kbp of MER57E3 copies. </w:t>
      </w:r>
      <w:r w:rsidR="00451544" w:rsidRPr="00451544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Gene ratio (x-axis) represents the the ratio between the number of genes in the given GO term and the number of genes annotated in each category. </w:t>
      </w:r>
      <w:r w:rsidR="0052551C" w:rsidRPr="00451544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Dot size </w:t>
      </w:r>
      <w:r w:rsidR="00451544" w:rsidRPr="00451544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indicates the gene count. </w:t>
      </w:r>
      <w:r w:rsidR="0052551C" w:rsidRPr="00451544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Dot colour indicates the </w:t>
      </w:r>
      <w:r w:rsidR="0052551C" w:rsidRPr="00451544">
        <w:rPr>
          <w:rFonts w:ascii="Arial" w:eastAsia="Times New Roman" w:hAnsi="Arial" w:cs="Arial"/>
          <w:i/>
          <w:iCs/>
          <w:color w:val="000000"/>
          <w:sz w:val="20"/>
          <w:szCs w:val="20"/>
          <w:lang w:eastAsia="en-GB"/>
        </w:rPr>
        <w:t>P</w:t>
      </w:r>
      <w:r w:rsidR="0052551C" w:rsidRPr="00451544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-value adjusted by Benjamini-Hochberg (BH, “p-adjust”).</w:t>
      </w:r>
      <w:r w:rsidR="00451544" w:rsidRPr="00451544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 Genes near MER57E3 copies are associated with activities related to DNA-binding transcription repressor and activator.</w:t>
      </w:r>
      <w:r w:rsidR="00111BA0" w:rsidRPr="00451544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br w:type="page"/>
      </w:r>
    </w:p>
    <w:p w14:paraId="3CA97D3C" w14:textId="7B94E417" w:rsidR="00111BA0" w:rsidRDefault="007525F5" w:rsidP="00F31FF6">
      <w:pPr>
        <w:jc w:val="center"/>
        <w:rPr>
          <w:rFonts w:ascii="Arial" w:eastAsia="Times New Roman" w:hAnsi="Arial" w:cs="Arial"/>
          <w:b/>
          <w:bCs/>
          <w:color w:val="000000"/>
          <w:lang w:eastAsia="en-GB"/>
        </w:rPr>
      </w:pPr>
      <w:r w:rsidRPr="007525F5">
        <w:rPr>
          <w:rFonts w:ascii="Arial" w:eastAsia="Times New Roman" w:hAnsi="Arial" w:cs="Arial"/>
          <w:b/>
          <w:bCs/>
          <w:noProof/>
          <w:color w:val="000000"/>
          <w:lang w:eastAsia="en-GB"/>
        </w:rPr>
        <w:lastRenderedPageBreak/>
        <w:drawing>
          <wp:inline distT="0" distB="0" distL="0" distR="0" wp14:anchorId="19FF4E47" wp14:editId="230800B4">
            <wp:extent cx="3974123" cy="7948246"/>
            <wp:effectExtent l="0" t="0" r="0" b="2540"/>
            <wp:docPr id="77" name="Picture 76">
              <a:extLst xmlns:a="http://schemas.openxmlformats.org/drawingml/2006/main">
                <a:ext uri="{FF2B5EF4-FFF2-40B4-BE49-F238E27FC236}">
                  <a16:creationId xmlns:a16="http://schemas.microsoft.com/office/drawing/2014/main" id="{55B4A505-1EA7-7C64-B775-6DD2B8C6E5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6">
                      <a:extLst>
                        <a:ext uri="{FF2B5EF4-FFF2-40B4-BE49-F238E27FC236}">
                          <a16:creationId xmlns:a16="http://schemas.microsoft.com/office/drawing/2014/main" id="{55B4A505-1EA7-7C64-B775-6DD2B8C6E5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7986" cy="795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44123" w14:textId="0D854E63" w:rsidR="00C86C12" w:rsidRPr="008A435C" w:rsidRDefault="007525F5" w:rsidP="008A435C">
      <w:pPr>
        <w:spacing w:line="36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8A435C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t xml:space="preserve">Suppl. Fig. </w:t>
      </w:r>
      <w:r w:rsidR="001F3BE2" w:rsidRPr="008A435C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t>2</w:t>
      </w:r>
      <w:r w:rsidRPr="008A435C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t>.</w:t>
      </w:r>
      <w:r w:rsidRPr="008A435C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 </w:t>
      </w:r>
      <w:r w:rsidR="00C86C12" w:rsidRPr="008A435C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Transcription factor regulatory motifs found within MER57E3 copies compared to their expected frequency in the entire human genome used as background</w:t>
      </w:r>
      <w:r w:rsidR="008A435C" w:rsidRPr="008A435C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 (threshold a</w:t>
      </w:r>
      <w:r w:rsidR="00C86C12" w:rsidRPr="008A435C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djusted P-value </w:t>
      </w:r>
      <w:r w:rsidR="008A435C" w:rsidRPr="008A435C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&lt; </w:t>
      </w:r>
      <w:r w:rsidR="008A435C" w:rsidRPr="008A435C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0.000001</w:t>
      </w:r>
      <w:r w:rsidR="008A435C" w:rsidRPr="008A435C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)</w:t>
      </w:r>
      <w:r w:rsidR="00C86C12" w:rsidRPr="008A435C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.</w:t>
      </w:r>
      <w:r w:rsidR="008A435C" w:rsidRPr="008A435C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 MER57E3 elements embed serveral motifs for brain-specific transcription factors.</w:t>
      </w:r>
    </w:p>
    <w:p w14:paraId="2069CCD5" w14:textId="15E3CCD7" w:rsidR="00C86C12" w:rsidRDefault="007525F5">
      <w:pPr>
        <w:rPr>
          <w:rFonts w:ascii="Arial" w:eastAsia="Times New Roman" w:hAnsi="Arial" w:cs="Arial"/>
          <w:b/>
          <w:bCs/>
          <w:color w:val="000000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lang w:eastAsia="en-GB"/>
        </w:rPr>
        <w:br w:type="page"/>
      </w:r>
    </w:p>
    <w:p w14:paraId="0AA65A53" w14:textId="026D48D1" w:rsidR="00111BA0" w:rsidRDefault="00111BA0" w:rsidP="00F31FF6">
      <w:pPr>
        <w:spacing w:line="360" w:lineRule="auto"/>
        <w:jc w:val="center"/>
        <w:rPr>
          <w:rFonts w:ascii="Arial" w:eastAsia="Times New Roman" w:hAnsi="Arial" w:cs="Arial"/>
          <w:b/>
          <w:bCs/>
          <w:color w:val="000000"/>
          <w:lang w:eastAsia="en-GB"/>
        </w:rPr>
      </w:pPr>
      <w:r>
        <w:rPr>
          <w:rFonts w:ascii="Arial" w:eastAsia="Times New Roman" w:hAnsi="Arial" w:cs="Arial"/>
          <w:b/>
          <w:bCs/>
          <w:noProof/>
          <w:color w:val="000000"/>
          <w:lang w:eastAsia="en-GB"/>
        </w:rPr>
        <w:lastRenderedPageBreak/>
        <w:drawing>
          <wp:inline distT="0" distB="0" distL="0" distR="0" wp14:anchorId="358F3C8A" wp14:editId="1F0BBC6A">
            <wp:extent cx="4246323" cy="7386614"/>
            <wp:effectExtent l="0" t="0" r="0" b="5080"/>
            <wp:docPr id="14028884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888499" name="Picture 140288849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249" cy="747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34D3D" w14:textId="4C860205" w:rsidR="00111BA0" w:rsidRDefault="00111BA0" w:rsidP="008D409C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lang w:eastAsia="en-GB"/>
        </w:rPr>
      </w:pPr>
      <w:r w:rsidRPr="00094643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t xml:space="preserve">Suppl. Fig. </w:t>
      </w:r>
      <w:r w:rsidR="001F3BE2" w:rsidRPr="00094643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t>3</w:t>
      </w:r>
      <w:r w:rsidRPr="00094643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t>.</w:t>
      </w:r>
      <w:r w:rsidR="00094643" w:rsidRPr="00094643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t xml:space="preserve"> </w:t>
      </w:r>
      <w:r w:rsidR="0030000E" w:rsidRPr="0030000E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Two </w:t>
      </w:r>
      <w:r w:rsidR="0030000E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biological replicates (clones 10 and 11)</w:t>
      </w:r>
      <w:r w:rsidR="0030000E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 of the d</w:t>
      </w:r>
      <w:r w:rsidR="0009464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ifferentiated neural progenitor cells (N</w:t>
      </w:r>
      <w:r w:rsidR="00094643" w:rsidRPr="0009464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PC</w:t>
      </w:r>
      <w:r w:rsidR="0009464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s)</w:t>
      </w:r>
      <w:r w:rsidR="0030000E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, </w:t>
      </w:r>
      <w:r w:rsidR="0009464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CRISPRi-mediated knockdown of the MER57E3 </w:t>
      </w:r>
      <w:r w:rsidR="00094643" w:rsidRPr="00094643">
        <w:rPr>
          <w:rFonts w:ascii="Arial" w:eastAsia="Times New Roman" w:hAnsi="Arial" w:cs="Arial"/>
          <w:i/>
          <w:iCs/>
          <w:color w:val="000000"/>
          <w:sz w:val="20"/>
          <w:szCs w:val="20"/>
          <w:lang w:eastAsia="en-GB"/>
        </w:rPr>
        <w:t>copy 1</w:t>
      </w:r>
      <w:r w:rsidR="0009464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 (MER </w:t>
      </w:r>
      <w:r w:rsidR="00094643" w:rsidRPr="00094643">
        <w:rPr>
          <w:rFonts w:ascii="Arial" w:eastAsia="Times New Roman" w:hAnsi="Arial" w:cs="Arial"/>
          <w:i/>
          <w:iCs/>
          <w:color w:val="000000"/>
          <w:sz w:val="20"/>
          <w:szCs w:val="20"/>
          <w:lang w:eastAsia="en-GB"/>
        </w:rPr>
        <w:t>copy 1</w:t>
      </w:r>
      <w:r w:rsidR="0009464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-KD)</w:t>
      </w:r>
      <w:r w:rsidR="0030000E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, MER57E3 multi-copies (MER57E3 sets 1–3</w:t>
      </w:r>
      <w:r w:rsidR="008D409C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-KD</w:t>
      </w:r>
      <w:r w:rsidR="0030000E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, targeting 18, 10 and 7 </w:t>
      </w:r>
      <w:r w:rsidR="008D409C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copies, respectively</w:t>
      </w:r>
      <w:r w:rsidR="0030000E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)</w:t>
      </w:r>
      <w:r w:rsidR="008D409C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, </w:t>
      </w:r>
      <w:r w:rsidR="0030000E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MER57E3 combined-KD</w:t>
      </w:r>
      <w:r w:rsidR="008D409C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 (</w:t>
      </w:r>
      <w:r w:rsidR="008D409C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targeting</w:t>
      </w:r>
      <w:r w:rsidR="008D409C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 a total of 35 copies), and </w:t>
      </w:r>
      <w:r w:rsidR="008D409C" w:rsidRPr="008D409C">
        <w:rPr>
          <w:rFonts w:ascii="Arial" w:eastAsia="Times New Roman" w:hAnsi="Arial" w:cs="Arial"/>
          <w:i/>
          <w:iCs/>
          <w:color w:val="000000"/>
          <w:sz w:val="20"/>
          <w:szCs w:val="20"/>
          <w:lang w:eastAsia="en-GB"/>
        </w:rPr>
        <w:t>ZNF678</w:t>
      </w:r>
      <w:r w:rsidR="008D409C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 </w:t>
      </w:r>
      <w:r w:rsidR="008D409C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promoter</w:t>
      </w:r>
      <w:r w:rsidR="008D409C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 (</w:t>
      </w:r>
      <w:r w:rsidR="008D409C" w:rsidRPr="008D409C">
        <w:rPr>
          <w:rFonts w:ascii="Arial" w:eastAsia="Times New Roman" w:hAnsi="Arial" w:cs="Arial"/>
          <w:i/>
          <w:iCs/>
          <w:color w:val="000000"/>
          <w:sz w:val="20"/>
          <w:szCs w:val="20"/>
          <w:lang w:eastAsia="en-GB"/>
        </w:rPr>
        <w:t>ZNF678</w:t>
      </w:r>
      <w:r w:rsidR="008D409C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-KD). A </w:t>
      </w:r>
      <w:r w:rsidR="008D409C" w:rsidRPr="008D409C">
        <w:rPr>
          <w:rFonts w:ascii="Arial" w:eastAsia="Times New Roman" w:hAnsi="Arial" w:cs="Arial"/>
          <w:i/>
          <w:iCs/>
          <w:color w:val="000000"/>
          <w:sz w:val="20"/>
          <w:szCs w:val="20"/>
          <w:lang w:eastAsia="en-GB"/>
        </w:rPr>
        <w:t>lacZ</w:t>
      </w:r>
      <w:r w:rsidR="008D409C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-targeting sgRNA</w:t>
      </w:r>
      <w:r w:rsidR="008D409C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 (n</w:t>
      </w:r>
      <w:r w:rsidR="008D409C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on-targeting control</w:t>
      </w:r>
      <w:r w:rsidR="008D409C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, </w:t>
      </w:r>
      <w:r w:rsidR="008D409C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NT-control)</w:t>
      </w:r>
      <w:r w:rsidR="008D409C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 and wild-type were used as controls. CRISPRi mediated knockdown of MER57E3 </w:t>
      </w:r>
      <w:r w:rsidR="008D409C" w:rsidRPr="008D409C">
        <w:rPr>
          <w:rFonts w:ascii="Arial" w:eastAsia="Times New Roman" w:hAnsi="Arial" w:cs="Arial"/>
          <w:i/>
          <w:iCs/>
          <w:color w:val="000000"/>
          <w:sz w:val="20"/>
          <w:szCs w:val="20"/>
          <w:lang w:eastAsia="en-GB"/>
        </w:rPr>
        <w:t>copy 1</w:t>
      </w:r>
      <w:r w:rsidR="008D409C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 shows reduced proliferation and cell adhesion.</w:t>
      </w:r>
      <w:r>
        <w:rPr>
          <w:rFonts w:ascii="Arial" w:eastAsia="Times New Roman" w:hAnsi="Arial" w:cs="Arial"/>
          <w:b/>
          <w:bCs/>
          <w:color w:val="000000"/>
          <w:lang w:eastAsia="en-GB"/>
        </w:rPr>
        <w:br w:type="page"/>
      </w:r>
    </w:p>
    <w:p w14:paraId="276C4644" w14:textId="15AA4335" w:rsidR="00B9659C" w:rsidRDefault="00B9659C" w:rsidP="00F31FF6">
      <w:pPr>
        <w:spacing w:line="360" w:lineRule="auto"/>
        <w:jc w:val="center"/>
        <w:rPr>
          <w:rFonts w:ascii="Arial" w:eastAsia="Times New Roman" w:hAnsi="Arial" w:cs="Arial"/>
          <w:b/>
          <w:bCs/>
          <w:color w:val="000000"/>
          <w:lang w:eastAsia="en-GB"/>
        </w:rPr>
      </w:pPr>
      <w:r>
        <w:rPr>
          <w:rFonts w:ascii="Arial" w:eastAsia="Times New Roman" w:hAnsi="Arial" w:cs="Arial"/>
          <w:b/>
          <w:bCs/>
          <w:noProof/>
          <w:color w:val="000000"/>
          <w:lang w:eastAsia="en-GB"/>
        </w:rPr>
        <w:lastRenderedPageBreak/>
        <w:drawing>
          <wp:inline distT="0" distB="0" distL="0" distR="0" wp14:anchorId="3FE10253" wp14:editId="11851063">
            <wp:extent cx="5486400" cy="5486400"/>
            <wp:effectExtent l="0" t="0" r="0" b="0"/>
            <wp:docPr id="16833764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376438" name="Picture 168337643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0278" cy="549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D8748" w14:textId="2FEB9D9C" w:rsidR="008D409C" w:rsidRPr="00487811" w:rsidRDefault="00111BA0" w:rsidP="00487811">
      <w:pPr>
        <w:spacing w:line="36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8D409C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t xml:space="preserve">Suppl. Fig. </w:t>
      </w:r>
      <w:r w:rsidR="001F3BE2" w:rsidRPr="008D409C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t>4</w:t>
      </w:r>
      <w:r w:rsidRPr="008D409C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t xml:space="preserve">. </w:t>
      </w:r>
      <w:r w:rsidR="008D409C" w:rsidRPr="008D409C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Volcano plot shows differentially expressed genes for the CRISPRi-mediated knockdown of </w:t>
      </w:r>
      <w:r w:rsidR="008D409C" w:rsidRPr="00487811">
        <w:rPr>
          <w:rFonts w:ascii="Arial" w:eastAsia="Times New Roman" w:hAnsi="Arial" w:cs="Arial"/>
          <w:i/>
          <w:iCs/>
          <w:color w:val="000000"/>
          <w:sz w:val="20"/>
          <w:szCs w:val="20"/>
          <w:lang w:eastAsia="en-GB"/>
        </w:rPr>
        <w:t>ZNF678</w:t>
      </w:r>
      <w:r w:rsidR="008D409C" w:rsidRPr="00487811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 </w:t>
      </w:r>
      <w:r w:rsidR="008D409C" w:rsidRPr="008D409C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compared to the NT control</w:t>
      </w:r>
      <w:r w:rsidR="00487811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. </w:t>
      </w:r>
      <w:r w:rsidR="00487811" w:rsidRPr="00487811">
        <w:rPr>
          <w:rFonts w:ascii="Arial" w:eastAsia="Times New Roman" w:hAnsi="Arial" w:cs="Arial"/>
          <w:i/>
          <w:iCs/>
          <w:color w:val="000000"/>
          <w:sz w:val="20"/>
          <w:szCs w:val="20"/>
          <w:lang w:eastAsia="en-GB"/>
        </w:rPr>
        <w:t>ZNF678</w:t>
      </w:r>
      <w:r w:rsidR="00487811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 promoter</w:t>
      </w:r>
      <w:r w:rsidR="008D409C" w:rsidRPr="008D409C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 knockdown disrupts the regulation of </w:t>
      </w:r>
      <w:r w:rsidR="00487811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a total of 39 </w:t>
      </w:r>
      <w:r w:rsidR="008D409C" w:rsidRPr="008D409C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genes</w:t>
      </w:r>
      <w:r w:rsidR="00487811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.</w:t>
      </w:r>
    </w:p>
    <w:p w14:paraId="22F6F9FB" w14:textId="51EB2028" w:rsidR="00B9659C" w:rsidRDefault="00B9659C">
      <w:pPr>
        <w:rPr>
          <w:rFonts w:ascii="Arial" w:eastAsia="Times New Roman" w:hAnsi="Arial" w:cs="Arial"/>
          <w:b/>
          <w:bCs/>
          <w:color w:val="000000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lang w:eastAsia="en-GB"/>
        </w:rPr>
        <w:br w:type="page"/>
      </w:r>
    </w:p>
    <w:p w14:paraId="084790D3" w14:textId="3390662E" w:rsidR="00B9659C" w:rsidRPr="00111BA0" w:rsidRDefault="005F7D0C" w:rsidP="00F31FF6">
      <w:pPr>
        <w:spacing w:line="360" w:lineRule="auto"/>
        <w:jc w:val="center"/>
        <w:rPr>
          <w:rFonts w:ascii="Arial" w:eastAsia="Times New Roman" w:hAnsi="Arial" w:cs="Arial"/>
          <w:b/>
          <w:bCs/>
          <w:color w:val="000000"/>
          <w:lang w:eastAsia="en-GB"/>
        </w:rPr>
      </w:pPr>
      <w:r>
        <w:rPr>
          <w:rFonts w:ascii="Arial" w:eastAsia="Times New Roman" w:hAnsi="Arial" w:cs="Arial"/>
          <w:b/>
          <w:bCs/>
          <w:noProof/>
          <w:color w:val="000000"/>
          <w:lang w:eastAsia="en-GB"/>
        </w:rPr>
        <w:lastRenderedPageBreak/>
        <w:drawing>
          <wp:inline distT="0" distB="0" distL="0" distR="0" wp14:anchorId="45ACBA91" wp14:editId="5980BA7A">
            <wp:extent cx="5218386" cy="4179039"/>
            <wp:effectExtent l="0" t="0" r="0" b="0"/>
            <wp:docPr id="590531457" name="Picture 4" descr="A diagram of numbers and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531457" name="Picture 4" descr="A diagram of numbers and squares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855" cy="42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CE28B" w14:textId="7BDC37BC" w:rsidR="00487811" w:rsidRPr="00487811" w:rsidRDefault="00111BA0" w:rsidP="001F3BE2">
      <w:pPr>
        <w:spacing w:line="36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487811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t xml:space="preserve">Suppl. Fig. </w:t>
      </w:r>
      <w:r w:rsidR="001F3BE2" w:rsidRPr="00487811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t>5</w:t>
      </w:r>
      <w:r w:rsidRPr="00487811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t>.</w:t>
      </w:r>
      <w:r w:rsidRPr="00487811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 </w:t>
      </w:r>
      <w:r w:rsidR="00487811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Overlapping among differentially expressed genes (DEGs) upon perturbation (knockdown, KD) of MER57E3 copy 1 and </w:t>
      </w:r>
      <w:r w:rsidR="00487811" w:rsidRPr="00487811">
        <w:rPr>
          <w:rFonts w:ascii="Arial" w:eastAsia="Times New Roman" w:hAnsi="Arial" w:cs="Arial"/>
          <w:i/>
          <w:iCs/>
          <w:color w:val="000000"/>
          <w:sz w:val="20"/>
          <w:szCs w:val="20"/>
          <w:lang w:eastAsia="en-GB"/>
        </w:rPr>
        <w:t>ZNF678</w:t>
      </w:r>
      <w:r w:rsidR="00487811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. DEGs were separated in d</w:t>
      </w:r>
      <w:r w:rsidR="00487811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own-regulated </w:t>
      </w:r>
      <w:r w:rsidR="00487811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(down-reg) and up-regulated (</w:t>
      </w:r>
      <w:r w:rsidR="00487811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up-reg)</w:t>
      </w:r>
      <w:r w:rsidR="00487811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 genes.</w:t>
      </w:r>
    </w:p>
    <w:sectPr w:rsidR="00487811" w:rsidRPr="00487811">
      <w:footerReference w:type="even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F2E939" w14:textId="77777777" w:rsidR="001A6228" w:rsidRDefault="001A6228" w:rsidP="003A1506">
      <w:r>
        <w:separator/>
      </w:r>
    </w:p>
  </w:endnote>
  <w:endnote w:type="continuationSeparator" w:id="0">
    <w:p w14:paraId="11B9C5D7" w14:textId="77777777" w:rsidR="001A6228" w:rsidRDefault="001A6228" w:rsidP="003A15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597689744"/>
      <w:docPartObj>
        <w:docPartGallery w:val="Page Numbers (Bottom of Page)"/>
        <w:docPartUnique/>
      </w:docPartObj>
    </w:sdtPr>
    <w:sdtContent>
      <w:p w14:paraId="0E8EE9B8" w14:textId="398983C6" w:rsidR="003A1506" w:rsidRDefault="003A1506" w:rsidP="0026099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80C6516" w14:textId="77777777" w:rsidR="003A1506" w:rsidRDefault="003A1506" w:rsidP="003A150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067291368"/>
      <w:docPartObj>
        <w:docPartGallery w:val="Page Numbers (Bottom of Page)"/>
        <w:docPartUnique/>
      </w:docPartObj>
    </w:sdtPr>
    <w:sdtContent>
      <w:p w14:paraId="2D02390C" w14:textId="7D5B8B88" w:rsidR="003A1506" w:rsidRDefault="003A1506" w:rsidP="0026099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8</w:t>
        </w:r>
        <w:r>
          <w:rPr>
            <w:rStyle w:val="PageNumber"/>
          </w:rPr>
          <w:fldChar w:fldCharType="end"/>
        </w:r>
      </w:p>
    </w:sdtContent>
  </w:sdt>
  <w:p w14:paraId="51686547" w14:textId="77777777" w:rsidR="003A1506" w:rsidRDefault="003A1506" w:rsidP="003A150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E02816" w14:textId="77777777" w:rsidR="001A6228" w:rsidRDefault="001A6228" w:rsidP="003A1506">
      <w:r>
        <w:separator/>
      </w:r>
    </w:p>
  </w:footnote>
  <w:footnote w:type="continuationSeparator" w:id="0">
    <w:p w14:paraId="76BE9724" w14:textId="77777777" w:rsidR="001A6228" w:rsidRDefault="001A6228" w:rsidP="003A15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CAC"/>
    <w:rsid w:val="00092CB3"/>
    <w:rsid w:val="00094643"/>
    <w:rsid w:val="00111BA0"/>
    <w:rsid w:val="001A6228"/>
    <w:rsid w:val="001B2D52"/>
    <w:rsid w:val="001F3BE2"/>
    <w:rsid w:val="001F7F30"/>
    <w:rsid w:val="0030000E"/>
    <w:rsid w:val="003A1506"/>
    <w:rsid w:val="003E74D5"/>
    <w:rsid w:val="00451544"/>
    <w:rsid w:val="00487811"/>
    <w:rsid w:val="0052551C"/>
    <w:rsid w:val="005F7D0C"/>
    <w:rsid w:val="00672468"/>
    <w:rsid w:val="006D4CAC"/>
    <w:rsid w:val="00711174"/>
    <w:rsid w:val="007525F5"/>
    <w:rsid w:val="007E7F3A"/>
    <w:rsid w:val="00827A1A"/>
    <w:rsid w:val="008A435C"/>
    <w:rsid w:val="008D409C"/>
    <w:rsid w:val="00A46DB0"/>
    <w:rsid w:val="00B9659C"/>
    <w:rsid w:val="00BB0B59"/>
    <w:rsid w:val="00C86C12"/>
    <w:rsid w:val="00CB54CA"/>
    <w:rsid w:val="00D41D83"/>
    <w:rsid w:val="00D45BE3"/>
    <w:rsid w:val="00E32B59"/>
    <w:rsid w:val="00F31FF6"/>
    <w:rsid w:val="00F620AF"/>
    <w:rsid w:val="00F94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D77CE4"/>
  <w15:chartTrackingRefBased/>
  <w15:docId w15:val="{C7D4D0F5-383F-1047-A329-AFE4CAC92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4C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D4C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4C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4C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4C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4C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4C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D4C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D4C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4C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D4C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D4C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4CA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4CA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D4CA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4CA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4CA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4CA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D4C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D4C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D4CA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D4C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D4CA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D4CA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D4CA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D4CA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4C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4CA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D4CA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6D4CA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1B2D52"/>
  </w:style>
  <w:style w:type="paragraph" w:styleId="Footer">
    <w:name w:val="footer"/>
    <w:basedOn w:val="Normal"/>
    <w:link w:val="FooterChar"/>
    <w:uiPriority w:val="99"/>
    <w:unhideWhenUsed/>
    <w:rsid w:val="003A150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1506"/>
  </w:style>
  <w:style w:type="character" w:styleId="PageNumber">
    <w:name w:val="page number"/>
    <w:basedOn w:val="DefaultParagraphFont"/>
    <w:uiPriority w:val="99"/>
    <w:semiHidden/>
    <w:unhideWhenUsed/>
    <w:rsid w:val="003A15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50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6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Almeida da Paz, Michelle</dc:creator>
  <cp:keywords/>
  <dc:description/>
  <cp:lastModifiedBy>Almeida da Paz, Michelle</cp:lastModifiedBy>
  <cp:revision>18</cp:revision>
  <dcterms:created xsi:type="dcterms:W3CDTF">2025-03-17T15:24:00Z</dcterms:created>
  <dcterms:modified xsi:type="dcterms:W3CDTF">2025-03-21T13:51:00Z</dcterms:modified>
</cp:coreProperties>
</file>