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0920E" w14:textId="197BB96A" w:rsidR="00DD23E4" w:rsidRPr="00BE63A8" w:rsidRDefault="00DD23E4" w:rsidP="00DD23E4">
      <w:pPr>
        <w:rPr>
          <w:rFonts w:ascii="Times New Roman" w:hAnsi="Times New Roman" w:cs="Times New Roman"/>
          <w:sz w:val="28"/>
        </w:rPr>
      </w:pPr>
      <w:r w:rsidRPr="00BE63A8">
        <w:rPr>
          <w:rFonts w:ascii="Times New Roman" w:hAnsi="Times New Roman" w:cs="Times New Roman"/>
          <w:b/>
          <w:bCs/>
          <w:sz w:val="28"/>
        </w:rPr>
        <w:t xml:space="preserve">Supplementary Table S1: </w:t>
      </w:r>
      <w:r w:rsidRPr="00BE63A8">
        <w:rPr>
          <w:rFonts w:ascii="Times New Roman" w:hAnsi="Times New Roman" w:cs="Times New Roman"/>
          <w:sz w:val="28"/>
        </w:rPr>
        <w:t>Analysis of sensitivity, specificity, A</w:t>
      </w:r>
      <w:r>
        <w:rPr>
          <w:rFonts w:ascii="Times New Roman" w:hAnsi="Times New Roman" w:cs="Times New Roman"/>
          <w:sz w:val="28"/>
        </w:rPr>
        <w:t>uRO</w:t>
      </w:r>
      <w:r w:rsidRPr="00BE63A8">
        <w:rPr>
          <w:rFonts w:ascii="Times New Roman" w:hAnsi="Times New Roman" w:cs="Times New Roman"/>
          <w:sz w:val="28"/>
        </w:rPr>
        <w:t>C 28-day mortality for Ramathibodi older sepsis score (ROSS) of validation cohort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1957"/>
        <w:gridCol w:w="1957"/>
        <w:gridCol w:w="823"/>
        <w:gridCol w:w="1002"/>
        <w:gridCol w:w="1822"/>
      </w:tblGrid>
      <w:tr w:rsidR="00DD23E4" w:rsidRPr="00BE63A8" w14:paraId="48C08CF2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FF41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Scoring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3B10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Sensitivity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3B4CDB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Specificity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05C4E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 xml:space="preserve">   LR+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E1E1CC" w14:textId="25E21F0A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8"/>
              </w:rPr>
              <w:t>uRO</w:t>
            </w: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C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0113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28-day Mortality</w:t>
            </w:r>
            <w:r w:rsidRPr="00BE63A8">
              <w:rPr>
                <w:rFonts w:ascii="Times New Roman" w:hAnsi="Times New Roman" w:cs="Times New Roman"/>
                <w:b/>
                <w:bCs/>
                <w:sz w:val="28"/>
                <w:cs/>
              </w:rPr>
              <w:t xml:space="preserve"> </w:t>
            </w:r>
            <w:r w:rsidRPr="00BE63A8">
              <w:rPr>
                <w:rFonts w:ascii="Times New Roman" w:hAnsi="Times New Roman" w:cs="Times New Roman"/>
                <w:b/>
                <w:bCs/>
                <w:sz w:val="28"/>
              </w:rPr>
              <w:t>(N%)</w:t>
            </w:r>
          </w:p>
        </w:tc>
      </w:tr>
      <w:tr w:rsidR="00DD23E4" w:rsidRPr="00BE63A8" w14:paraId="038CB4B2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BFB5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≥1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5901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97.73%</w:t>
            </w:r>
          </w:p>
          <w:p w14:paraId="3344D21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[89.98-99.94%]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D78A0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7.68%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[5.40-10.51%]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9928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1.05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86A1E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0.53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DED7E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43/464 (9.27%)</w:t>
            </w:r>
          </w:p>
        </w:tc>
      </w:tr>
      <w:tr w:rsidR="00DD23E4" w:rsidRPr="00BE63A8" w14:paraId="2584501F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FCD3C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≥2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62FB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97.73%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[91.78-100%]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1944B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[0.00-0.96%]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2AAAE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1.16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6AC03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0.50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C99C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43/425 (10.12%)</w:t>
            </w:r>
          </w:p>
        </w:tc>
      </w:tr>
      <w:tr w:rsidR="00DD23E4" w:rsidRPr="00BE63A8" w14:paraId="6891F25F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26D2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≥3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2284B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93.18%</w:t>
            </w:r>
          </w:p>
          <w:p w14:paraId="3F49B9D1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[81.34-98.57%]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A6B4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23.46%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[19.65-27.63%]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17EC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1.21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89237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0.58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21BD0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41/390 (10.51%)</w:t>
            </w:r>
          </w:p>
        </w:tc>
      </w:tr>
      <w:tr w:rsidR="00DD23E4" w:rsidRPr="00BE63A8" w14:paraId="697653D6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C115C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≥4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02D10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81.82%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[67.29-91.81%]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92AB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45.39%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[40.76-50.09%]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8AB6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1.49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23C6EF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0.64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3B43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36/285 (12.63%)</w:t>
            </w:r>
          </w:p>
        </w:tc>
      </w:tr>
      <w:tr w:rsidR="00DD23E4" w:rsidRPr="00BE63A8" w14:paraId="1E518CF1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B241C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≥5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5518A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65.91%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[50.08-79.51%]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5EF47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56.80%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[52.11-61.40%]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94FF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1.52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6D49B1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0.61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0BD0E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29/226 (12.83%)</w:t>
            </w:r>
          </w:p>
        </w:tc>
      </w:tr>
      <w:tr w:rsidR="00DD23E4" w:rsidRPr="00BE63A8" w14:paraId="4D01024D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8BEA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≥6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638D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56.82%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[41.03-71.65%]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4EC6A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69.96%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[65.52-74.13%]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8B46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1.89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9D1620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0.63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6B380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25/162 (15.43%)</w:t>
            </w:r>
          </w:p>
        </w:tc>
      </w:tr>
      <w:tr w:rsidR="00DD23E4" w:rsidRPr="00BE63A8" w14:paraId="149ABFED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C224C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≥7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9DA3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43.18%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[28.35-58.97%]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4FD0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80.92%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[77.01-84.43%]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B7386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2.26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3B92D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 0.62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C9CDE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19/106 (17.92%)</w:t>
            </w:r>
          </w:p>
        </w:tc>
      </w:tr>
      <w:tr w:rsidR="00DD23E4" w:rsidRPr="00BE63A8" w14:paraId="3AFD1E81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C1A15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≥8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67F70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31.82%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[18.61-47.58%]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3AB7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88.82%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[85.56-91.56%]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54AB8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2.84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005CEC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 xml:space="preserve"> 0.62 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988AC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14/65 (21.54%)</w:t>
            </w:r>
          </w:p>
        </w:tc>
      </w:tr>
      <w:tr w:rsidR="00DD23E4" w:rsidRPr="00BE63A8" w14:paraId="7FF82A9B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8039F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≥9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FFAC8C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18.18%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[8.19-32.71%]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B632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94.74%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[92.27-96.60%]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6D4E3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3.45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01D18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0.56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FB8FB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8/32 (25.00%)</w:t>
            </w:r>
          </w:p>
        </w:tc>
      </w:tr>
      <w:tr w:rsidR="00DD23E4" w:rsidRPr="00BE63A8" w14:paraId="561CE56B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769B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≥10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EFFB9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6.82%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[1.43-18.66%]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D5343F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97.37%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[95.45 -98.63%]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23F2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2.59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7CEB11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0.52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2E4B6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3/15 (20.00%)</w:t>
            </w:r>
          </w:p>
        </w:tc>
      </w:tr>
      <w:tr w:rsidR="00DD23E4" w:rsidRPr="00BE63A8" w14:paraId="2F37C06D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A28C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lastRenderedPageBreak/>
              <w:t>≥11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1ABA74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4.55%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[0.56-15.47%]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6FA00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98.68%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[97.16 -99.52%]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BD721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3.45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5906FA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0.52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D4D3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2/8 (25.00%)</w:t>
            </w:r>
          </w:p>
        </w:tc>
      </w:tr>
      <w:tr w:rsidR="00DD23E4" w:rsidRPr="00BE63A8" w14:paraId="046D69C8" w14:textId="77777777" w:rsidTr="00DD23E4">
        <w:trPr>
          <w:trHeight w:val="962"/>
        </w:trPr>
        <w:tc>
          <w:tcPr>
            <w:tcW w:w="8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DD032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≥12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88C34A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0.00%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[0.00-8.04%]</w:t>
            </w:r>
          </w:p>
        </w:tc>
        <w:tc>
          <w:tcPr>
            <w:tcW w:w="10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8BF67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99.78%</w:t>
            </w:r>
            <w:r w:rsidRPr="00BE63A8">
              <w:rPr>
                <w:rFonts w:ascii="Times New Roman" w:hAnsi="Times New Roman" w:cs="Times New Roman"/>
                <w:sz w:val="28"/>
              </w:rPr>
              <w:br/>
              <w:t>[98.78 -99.99%]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3C43D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DC084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  <w:cs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0.50</w:t>
            </w:r>
          </w:p>
        </w:tc>
        <w:tc>
          <w:tcPr>
            <w:tcW w:w="10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5E3B5" w14:textId="77777777" w:rsidR="00DD23E4" w:rsidRPr="00BE63A8" w:rsidRDefault="00DD23E4" w:rsidP="00753251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0/1 (0%)</w:t>
            </w:r>
          </w:p>
        </w:tc>
      </w:tr>
    </w:tbl>
    <w:p w14:paraId="0B1ED744" w14:textId="30029AAF" w:rsidR="00DD23E4" w:rsidRDefault="00DD23E4" w:rsidP="00DD23E4">
      <w:pPr>
        <w:rPr>
          <w:rFonts w:ascii="Times New Roman" w:hAnsi="Times New Roman" w:cs="Times New Roman"/>
          <w:sz w:val="28"/>
        </w:rPr>
      </w:pPr>
      <w:r w:rsidRPr="00DD23E4">
        <w:rPr>
          <w:rFonts w:ascii="Times New Roman" w:hAnsi="Times New Roman" w:cs="Times New Roman"/>
          <w:sz w:val="28"/>
        </w:rPr>
        <w:t>LR</w:t>
      </w:r>
      <w:r>
        <w:rPr>
          <w:rFonts w:ascii="Times New Roman" w:hAnsi="Times New Roman" w:cs="Times New Roman"/>
          <w:sz w:val="28"/>
        </w:rPr>
        <w:t>+: Positive likelihood ratio</w:t>
      </w:r>
    </w:p>
    <w:p w14:paraId="747FCBA9" w14:textId="15B54182" w:rsidR="00DD23E4" w:rsidRPr="00BE63A8" w:rsidRDefault="00DD23E4" w:rsidP="00DD23E4">
      <w:pPr>
        <w:rPr>
          <w:rFonts w:ascii="Times New Roman" w:hAnsi="Times New Roman" w:cs="Times New Roman"/>
          <w:sz w:val="28"/>
        </w:rPr>
      </w:pPr>
      <w:r w:rsidRPr="00DD23E4">
        <w:rPr>
          <w:rFonts w:ascii="Times New Roman" w:hAnsi="Times New Roman" w:cs="Times New Roman"/>
          <w:sz w:val="28"/>
        </w:rPr>
        <w:t>AuROC</w:t>
      </w:r>
      <w:r>
        <w:rPr>
          <w:rFonts w:ascii="Times New Roman" w:hAnsi="Times New Roman" w:cs="Times New Roman"/>
          <w:sz w:val="28"/>
        </w:rPr>
        <w:t xml:space="preserve">: Area under </w:t>
      </w:r>
      <w:r w:rsidRPr="00DD23E4">
        <w:rPr>
          <w:rFonts w:ascii="Times New Roman" w:hAnsi="Times New Roman" w:cs="Times New Roman"/>
          <w:sz w:val="28"/>
        </w:rPr>
        <w:t>Receiver Operating Characteristic</w:t>
      </w:r>
    </w:p>
    <w:p w14:paraId="74E1FEAE" w14:textId="77777777" w:rsidR="00627BFB" w:rsidRDefault="00627BFB"/>
    <w:p w14:paraId="66F27345" w14:textId="77777777" w:rsidR="00F30E25" w:rsidRPr="00BE63A8" w:rsidRDefault="00F30E25" w:rsidP="00F30E25">
      <w:pPr>
        <w:spacing w:line="240" w:lineRule="auto"/>
        <w:rPr>
          <w:rFonts w:ascii="Times New Roman" w:hAnsi="Times New Roman" w:cs="Times New Roman"/>
          <w:sz w:val="28"/>
        </w:rPr>
      </w:pPr>
      <w:r w:rsidRPr="00BE63A8">
        <w:rPr>
          <w:rFonts w:ascii="Times New Roman" w:hAnsi="Times New Roman" w:cs="Times New Roman"/>
          <w:b/>
          <w:bCs/>
          <w:sz w:val="28"/>
        </w:rPr>
        <w:t xml:space="preserve">Supplementary Table S2. </w:t>
      </w:r>
      <w:r w:rsidRPr="00BE63A8">
        <w:rPr>
          <w:rFonts w:ascii="Times New Roman" w:hAnsi="Times New Roman" w:cs="Times New Roman"/>
          <w:sz w:val="28"/>
        </w:rPr>
        <w:t>Performance of the clinical prediction score (ROSS) in predicting</w:t>
      </w:r>
      <w:r w:rsidRPr="00BE63A8">
        <w:rPr>
          <w:rFonts w:ascii="Times New Roman" w:hAnsi="Times New Roman" w:cs="Times New Roman"/>
          <w:sz w:val="28"/>
          <w:cs/>
        </w:rPr>
        <w:t xml:space="preserve"> </w:t>
      </w:r>
      <w:r w:rsidRPr="00BE63A8">
        <w:rPr>
          <w:rFonts w:ascii="Times New Roman" w:hAnsi="Times New Roman" w:cs="Times New Roman"/>
          <w:sz w:val="28"/>
        </w:rPr>
        <w:t>28-day mortality of older sepsis patients in ED between both datasets (cut point of high risk for mortality of more than 5 point; ≥6)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973"/>
        <w:gridCol w:w="3076"/>
        <w:gridCol w:w="2980"/>
      </w:tblGrid>
      <w:tr w:rsidR="00F30E25" w:rsidRPr="00BE63A8" w14:paraId="7104EF42" w14:textId="77777777" w:rsidTr="002A67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7E3D0264" w14:textId="77777777" w:rsidR="00F30E25" w:rsidRPr="00BE63A8" w:rsidRDefault="00F30E25" w:rsidP="002A67A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Indices</w:t>
            </w:r>
          </w:p>
        </w:tc>
        <w:tc>
          <w:tcPr>
            <w:tcW w:w="3597" w:type="dxa"/>
          </w:tcPr>
          <w:p w14:paraId="0591BEDA" w14:textId="77777777" w:rsidR="00F30E25" w:rsidRPr="00BE63A8" w:rsidRDefault="00F30E25" w:rsidP="002A67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Development set</w:t>
            </w:r>
          </w:p>
        </w:tc>
        <w:tc>
          <w:tcPr>
            <w:tcW w:w="3597" w:type="dxa"/>
          </w:tcPr>
          <w:p w14:paraId="435362DF" w14:textId="77777777" w:rsidR="00F30E25" w:rsidRPr="00BE63A8" w:rsidRDefault="00F30E25" w:rsidP="002A67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Validation set</w:t>
            </w:r>
          </w:p>
        </w:tc>
      </w:tr>
      <w:tr w:rsidR="00F30E25" w:rsidRPr="00BE63A8" w14:paraId="2D169C60" w14:textId="77777777" w:rsidTr="002A6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655BA68B" w14:textId="77777777" w:rsidR="00F30E25" w:rsidRPr="00BE63A8" w:rsidRDefault="00F30E25" w:rsidP="002A67AD">
            <w:pPr>
              <w:rPr>
                <w:rFonts w:ascii="Times New Roman" w:hAnsi="Times New Roman" w:cs="Times New Roman"/>
                <w:b w:val="0"/>
                <w:bCs w:val="0"/>
                <w:sz w:val="28"/>
              </w:rPr>
            </w:pPr>
            <w:r w:rsidRPr="00BE63A8">
              <w:rPr>
                <w:rFonts w:ascii="Times New Roman" w:hAnsi="Times New Roman" w:cs="Times New Roman"/>
                <w:b w:val="0"/>
                <w:bCs w:val="0"/>
                <w:sz w:val="28"/>
              </w:rPr>
              <w:t>Sensitivity</w:t>
            </w:r>
          </w:p>
        </w:tc>
        <w:tc>
          <w:tcPr>
            <w:tcW w:w="3597" w:type="dxa"/>
          </w:tcPr>
          <w:p w14:paraId="08110E2C" w14:textId="77777777" w:rsidR="00F30E25" w:rsidRPr="00BE63A8" w:rsidRDefault="00F30E25" w:rsidP="002A67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69.1 (52.9-82.4)</w:t>
            </w:r>
          </w:p>
        </w:tc>
        <w:tc>
          <w:tcPr>
            <w:tcW w:w="3597" w:type="dxa"/>
          </w:tcPr>
          <w:p w14:paraId="11596223" w14:textId="77777777" w:rsidR="00F30E25" w:rsidRPr="00BE63A8" w:rsidRDefault="00F30E25" w:rsidP="002A67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56.8 (41.0-71.7)</w:t>
            </w:r>
          </w:p>
        </w:tc>
      </w:tr>
      <w:tr w:rsidR="00F30E25" w:rsidRPr="00BE63A8" w14:paraId="507A3167" w14:textId="77777777" w:rsidTr="002A67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5779E98A" w14:textId="77777777" w:rsidR="00F30E25" w:rsidRPr="00BE63A8" w:rsidRDefault="00F30E25" w:rsidP="002A67AD">
            <w:pPr>
              <w:rPr>
                <w:rFonts w:ascii="Times New Roman" w:hAnsi="Times New Roman" w:cs="Times New Roman"/>
                <w:b w:val="0"/>
                <w:bCs w:val="0"/>
                <w:sz w:val="28"/>
              </w:rPr>
            </w:pPr>
            <w:r w:rsidRPr="00BE63A8">
              <w:rPr>
                <w:rFonts w:ascii="Times New Roman" w:hAnsi="Times New Roman" w:cs="Times New Roman"/>
                <w:b w:val="0"/>
                <w:bCs w:val="0"/>
                <w:sz w:val="28"/>
              </w:rPr>
              <w:t>Specificity</w:t>
            </w:r>
          </w:p>
        </w:tc>
        <w:tc>
          <w:tcPr>
            <w:tcW w:w="3597" w:type="dxa"/>
          </w:tcPr>
          <w:p w14:paraId="7B0124BA" w14:textId="77777777" w:rsidR="00F30E25" w:rsidRPr="00BE63A8" w:rsidRDefault="00F30E25" w:rsidP="002A67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83.3 (79.9-86.3)</w:t>
            </w:r>
          </w:p>
        </w:tc>
        <w:tc>
          <w:tcPr>
            <w:tcW w:w="3597" w:type="dxa"/>
          </w:tcPr>
          <w:p w14:paraId="75EAEC5A" w14:textId="77777777" w:rsidR="00F30E25" w:rsidRPr="00BE63A8" w:rsidRDefault="00F30E25" w:rsidP="002A67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70.0 (65.5-74.1)</w:t>
            </w:r>
          </w:p>
        </w:tc>
      </w:tr>
      <w:tr w:rsidR="00F30E25" w:rsidRPr="00BE63A8" w14:paraId="0D3F3B85" w14:textId="77777777" w:rsidTr="002A6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7AC62E3B" w14:textId="77777777" w:rsidR="00F30E25" w:rsidRPr="00BE63A8" w:rsidRDefault="00F30E25" w:rsidP="002A67AD">
            <w:pPr>
              <w:rPr>
                <w:rFonts w:ascii="Times New Roman" w:hAnsi="Times New Roman" w:cs="Times New Roman"/>
                <w:b w:val="0"/>
                <w:bCs w:val="0"/>
                <w:sz w:val="28"/>
              </w:rPr>
            </w:pPr>
            <w:r w:rsidRPr="00BE63A8">
              <w:rPr>
                <w:rFonts w:ascii="Times New Roman" w:hAnsi="Times New Roman" w:cs="Times New Roman"/>
                <w:b w:val="0"/>
                <w:bCs w:val="0"/>
                <w:sz w:val="28"/>
              </w:rPr>
              <w:t>Positive predictive value</w:t>
            </w:r>
          </w:p>
        </w:tc>
        <w:tc>
          <w:tcPr>
            <w:tcW w:w="3597" w:type="dxa"/>
          </w:tcPr>
          <w:p w14:paraId="1FE88A44" w14:textId="77777777" w:rsidR="00F30E25" w:rsidRPr="00BE63A8" w:rsidRDefault="00F30E25" w:rsidP="002A67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23.8 (16.5-32.3)</w:t>
            </w:r>
          </w:p>
        </w:tc>
        <w:tc>
          <w:tcPr>
            <w:tcW w:w="3597" w:type="dxa"/>
          </w:tcPr>
          <w:p w14:paraId="370D1DDB" w14:textId="77777777" w:rsidR="00F30E25" w:rsidRPr="00BE63A8" w:rsidRDefault="00F30E25" w:rsidP="002A67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15.4 (10.2-21.9)</w:t>
            </w:r>
          </w:p>
        </w:tc>
      </w:tr>
      <w:tr w:rsidR="00F30E25" w:rsidRPr="00BE63A8" w14:paraId="24730C07" w14:textId="77777777" w:rsidTr="002A67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6" w:type="dxa"/>
          </w:tcPr>
          <w:p w14:paraId="4DDB1271" w14:textId="77777777" w:rsidR="00F30E25" w:rsidRPr="00BE63A8" w:rsidRDefault="00F30E25" w:rsidP="002A67AD">
            <w:pPr>
              <w:rPr>
                <w:rFonts w:ascii="Times New Roman" w:hAnsi="Times New Roman" w:cs="Times New Roman"/>
                <w:b w:val="0"/>
                <w:bCs w:val="0"/>
                <w:sz w:val="28"/>
              </w:rPr>
            </w:pPr>
            <w:r w:rsidRPr="00BE63A8">
              <w:rPr>
                <w:rFonts w:ascii="Times New Roman" w:hAnsi="Times New Roman" w:cs="Times New Roman"/>
                <w:b w:val="0"/>
                <w:bCs w:val="0"/>
                <w:sz w:val="28"/>
              </w:rPr>
              <w:t>Negative predictive value</w:t>
            </w:r>
          </w:p>
        </w:tc>
        <w:tc>
          <w:tcPr>
            <w:tcW w:w="3597" w:type="dxa"/>
          </w:tcPr>
          <w:p w14:paraId="685F4A92" w14:textId="77777777" w:rsidR="00F30E25" w:rsidRPr="00BE63A8" w:rsidRDefault="00F30E25" w:rsidP="002A67AD">
            <w:pPr>
              <w:pStyle w:val="ListParagraph"/>
              <w:numPr>
                <w:ilvl w:val="1"/>
                <w:numId w:val="1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(95.4-98.5)</w:t>
            </w:r>
          </w:p>
        </w:tc>
        <w:tc>
          <w:tcPr>
            <w:tcW w:w="3597" w:type="dxa"/>
          </w:tcPr>
          <w:p w14:paraId="2ABCB4DB" w14:textId="77777777" w:rsidR="00F30E25" w:rsidRPr="00BE63A8" w:rsidRDefault="00F30E25" w:rsidP="002A67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BE63A8">
              <w:rPr>
                <w:rFonts w:ascii="Times New Roman" w:hAnsi="Times New Roman" w:cs="Times New Roman"/>
                <w:sz w:val="28"/>
              </w:rPr>
              <w:t>94.4 (91.4-96.6)</w:t>
            </w:r>
          </w:p>
        </w:tc>
      </w:tr>
    </w:tbl>
    <w:p w14:paraId="0FA924B8" w14:textId="77777777" w:rsidR="00F30E25" w:rsidRDefault="00F30E25"/>
    <w:sectPr w:rsidR="00F30E25" w:rsidSect="0049054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37DD3"/>
    <w:multiLevelType w:val="multilevel"/>
    <w:tmpl w:val="D24AE60C"/>
    <w:lvl w:ilvl="0">
      <w:start w:val="97"/>
      <w:numFmt w:val="decimal"/>
      <w:lvlText w:val="%1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E4"/>
    <w:rsid w:val="00490547"/>
    <w:rsid w:val="00627BFB"/>
    <w:rsid w:val="00DD23E4"/>
    <w:rsid w:val="00F3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5C0626"/>
  <w15:chartTrackingRefBased/>
  <w15:docId w15:val="{3B1DAAF8-7310-4854-8CA8-3B595D18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3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0E25"/>
    <w:pPr>
      <w:ind w:left="720"/>
      <w:contextualSpacing/>
    </w:pPr>
    <w:rPr>
      <w:kern w:val="2"/>
      <w14:ligatures w14:val="standardContextual"/>
    </w:rPr>
  </w:style>
  <w:style w:type="table" w:styleId="PlainTable2">
    <w:name w:val="Plain Table 2"/>
    <w:basedOn w:val="TableNormal"/>
    <w:uiPriority w:val="42"/>
    <w:rsid w:val="00F30E2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213</Words>
  <Characters>1432</Characters>
  <Application>Microsoft Office Word</Application>
  <DocSecurity>0</DocSecurity>
  <Lines>204</Lines>
  <Paragraphs>137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Phatcha Termkijwanich</dc:creator>
  <cp:keywords/>
  <dc:description/>
  <cp:lastModifiedBy>Phatcha Termkijwanich</cp:lastModifiedBy>
  <cp:revision>2</cp:revision>
  <dcterms:created xsi:type="dcterms:W3CDTF">2025-03-03T16:00:00Z</dcterms:created>
  <dcterms:modified xsi:type="dcterms:W3CDTF">2025-03-21T15:58:00Z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96949e25-71e2-4ed4-ace5-016390f14186</vt:lpwstr>
  </property>
</Properties>
</file>