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272" w:rsidRPr="007E2E9B" w:rsidRDefault="007E2E9B" w:rsidP="007E2E9B">
      <w:pPr>
        <w:jc w:val="center"/>
        <w:rPr>
          <w:b/>
          <w:sz w:val="25"/>
        </w:rPr>
      </w:pPr>
      <w:r w:rsidRPr="007E2E9B">
        <w:rPr>
          <w:rFonts w:hint="eastAsia"/>
          <w:b/>
          <w:sz w:val="25"/>
        </w:rPr>
        <w:t>Su</w:t>
      </w:r>
      <w:r w:rsidRPr="007E2E9B">
        <w:rPr>
          <w:b/>
          <w:sz w:val="25"/>
        </w:rPr>
        <w:t>pplementary Materials for Sampling Process</w:t>
      </w:r>
      <w:bookmarkStart w:id="0" w:name="_GoBack"/>
      <w:bookmarkEnd w:id="0"/>
    </w:p>
    <w:p w:rsidR="007E2E9B" w:rsidRDefault="007E2E9B" w:rsidP="007E2E9B">
      <w:pPr>
        <w:rPr>
          <w:rFonts w:hint="eastAsia"/>
        </w:rPr>
      </w:pPr>
    </w:p>
    <w:p w:rsidR="00081272" w:rsidRDefault="00081272" w:rsidP="00081272">
      <w:pPr>
        <w:ind w:firstLine="420"/>
      </w:pPr>
      <w:r>
        <w:t>The specific steps of the sampling algorithm are as follows:</w:t>
      </w:r>
    </w:p>
    <w:p w:rsidR="00081272" w:rsidRDefault="00081272" w:rsidP="00081272">
      <w:pPr>
        <w:jc w:val="center"/>
      </w:pPr>
      <w:r>
        <w:object w:dxaOrig="18015" w:dyaOrig="6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169.75pt" o:ole="">
            <v:imagedata r:id="rId4" o:title=""/>
          </v:shape>
          <o:OLEObject Type="Embed" ProgID="Visio.Drawing.15" ShapeID="_x0000_i1025" DrawAspect="Content" ObjectID="_1777742929" r:id="rId5"/>
        </w:object>
      </w:r>
    </w:p>
    <w:p w:rsidR="00081272" w:rsidRDefault="00081272" w:rsidP="00081272">
      <w:pPr>
        <w:jc w:val="center"/>
      </w:pPr>
      <w:r>
        <w:t xml:space="preserve">Figure </w:t>
      </w:r>
      <w:r>
        <w:rPr>
          <w:rFonts w:hint="eastAsia"/>
        </w:rPr>
        <w:t>5</w:t>
      </w:r>
      <w:r>
        <w:t xml:space="preserve"> Schematic </w:t>
      </w:r>
      <w:r>
        <w:rPr>
          <w:rFonts w:hint="eastAsia"/>
        </w:rPr>
        <w:t>D</w:t>
      </w:r>
      <w:r>
        <w:t xml:space="preserve">iagram of the </w:t>
      </w:r>
      <w:r>
        <w:rPr>
          <w:rFonts w:hint="eastAsia"/>
        </w:rPr>
        <w:t>I</w:t>
      </w:r>
      <w:r>
        <w:t xml:space="preserve">ntegrated </w:t>
      </w:r>
      <w:r>
        <w:rPr>
          <w:rFonts w:hint="eastAsia"/>
        </w:rPr>
        <w:t>S</w:t>
      </w:r>
      <w:r>
        <w:t xml:space="preserve">ampling </w:t>
      </w:r>
      <w:r>
        <w:rPr>
          <w:rFonts w:hint="eastAsia"/>
        </w:rPr>
        <w:t>M</w:t>
      </w:r>
      <w:r>
        <w:t>odel</w:t>
      </w:r>
    </w:p>
    <w:p w:rsidR="00081272" w:rsidRDefault="00081272" w:rsidP="00081272">
      <w:pPr>
        <w:ind w:firstLine="420"/>
      </w:pPr>
      <w:r>
        <w:t xml:space="preserve">Step 1: Compute the set of sampling points. As illustrated in Figure 5, based on the current node (e.g., node </w:t>
      </w:r>
      <m:oMath>
        <m:r>
          <w:rPr>
            <w:rFonts w:ascii="Cambria Math" w:hAnsi="Cambria Math"/>
          </w:rPr>
          <m:t>v</m:t>
        </m:r>
      </m:oMath>
      <w:r>
        <w:t>)</w:t>
      </w:r>
      <w:r>
        <w:rPr>
          <w:rFonts w:hint="eastAsia"/>
        </w:rPr>
        <w:t>. C</w:t>
      </w:r>
      <w:r>
        <w:t>alculate the set of neighboring nodes</w:t>
      </w:r>
      <w:r>
        <w:rPr>
          <w:rFonts w:hint="eastAsia"/>
        </w:rPr>
        <w:t xml:space="preserve"> set</w:t>
      </w:r>
      <w:r>
        <w:t xml:space="preserve"> </w:t>
      </w:r>
      <m:oMath>
        <m:r>
          <w:rPr>
            <w:rFonts w:ascii="Cambria Math" w:hAnsi="Cambria Math"/>
          </w:rPr>
          <m:t>N</m:t>
        </m:r>
      </m:oMath>
      <w:r>
        <w:t xml:space="preserve"> (i.e., the neighboring nodes of node </w:t>
      </w:r>
      <m:oMath>
        <m:r>
          <w:rPr>
            <w:rFonts w:ascii="Cambria Math" w:hAnsi="Cambria Math"/>
          </w:rPr>
          <m:t>v</m:t>
        </m:r>
      </m:oMath>
      <w:r>
        <w:t xml:space="preserve"> include </w:t>
      </w:r>
      <m:oMath>
        <m:r>
          <w:rPr>
            <w:rFonts w:ascii="Cambria Math" w:hAnsi="Cambria Math"/>
          </w:rPr>
          <m:t>t, x1, x2, x3</m:t>
        </m:r>
      </m:oMath>
      <w:r>
        <w:t xml:space="preserve">) and the global nodes set </w:t>
      </w:r>
      <m:oMath>
        <m:r>
          <w:rPr>
            <w:rFonts w:ascii="Cambria Math" w:hAnsi="Cambria Math"/>
          </w:rPr>
          <m:t xml:space="preserve">T </m:t>
        </m:r>
      </m:oMath>
      <w:r>
        <w:t xml:space="preserve">(i.e., all other nodes except </w:t>
      </w:r>
      <m:oMath>
        <m:r>
          <w:rPr>
            <w:rFonts w:ascii="Cambria Math" w:hAnsi="Cambria Math"/>
          </w:rPr>
          <m:t>v</m:t>
        </m:r>
      </m:oMath>
      <w:r>
        <w:t xml:space="preserve"> in the figure), and then proceed to Step 2.</w:t>
      </w:r>
    </w:p>
    <w:p w:rsidR="00081272" w:rsidRDefault="00081272" w:rsidP="00081272">
      <w:pPr>
        <w:ind w:firstLine="420"/>
      </w:pPr>
      <w:r>
        <w:t xml:space="preserve">Step 2: Determine the sampling </w:t>
      </w:r>
      <w:r>
        <w:rPr>
          <w:rFonts w:hint="eastAsia"/>
        </w:rPr>
        <w:t xml:space="preserve">node </w:t>
      </w:r>
      <w:r>
        <w:t xml:space="preserve">set. The subsequent node will be sampled with a probability of </w:t>
      </w:r>
      <m:oMath>
        <m:r>
          <w:rPr>
            <w:rFonts w:ascii="Cambria Math" w:hAnsi="Cambria Math"/>
          </w:rPr>
          <m:t>d</m:t>
        </m:r>
      </m:oMath>
      <w:r>
        <w:t xml:space="preserve"> from the set </w:t>
      </w:r>
      <m:oMath>
        <m:r>
          <w:rPr>
            <w:rFonts w:ascii="Cambria Math" w:hAnsi="Cambria Math"/>
          </w:rPr>
          <m:t>N</m:t>
        </m:r>
      </m:oMath>
      <w:r>
        <w:t>, or with a probability of (</w:t>
      </w:r>
      <m:oMath>
        <m:r>
          <w:rPr>
            <w:rFonts w:ascii="Cambria Math" w:hAnsi="Cambria Math"/>
          </w:rPr>
          <m:t>1-d</m:t>
        </m:r>
      </m:oMath>
      <w:r>
        <w:t xml:space="preserve">) from the set </w:t>
      </w:r>
      <m:oMath>
        <m:r>
          <w:rPr>
            <w:rFonts w:ascii="Cambria Math" w:hAnsi="Cambria Math"/>
          </w:rPr>
          <m:t>T</m:t>
        </m:r>
      </m:oMath>
      <w:r>
        <w:t xml:space="preserve">. Should the random probability </w:t>
      </w:r>
      <m:oMath>
        <m:r>
          <w:rPr>
            <w:rFonts w:ascii="Cambria Math" w:hAnsi="Cambria Math"/>
          </w:rPr>
          <m:t>p1&lt; d</m:t>
        </m:r>
      </m:oMath>
      <w:r>
        <w:t xml:space="preserve"> and the set </w:t>
      </w:r>
      <m:oMath>
        <m:r>
          <w:rPr>
            <w:rFonts w:ascii="Cambria Math" w:hAnsi="Cambria Math"/>
          </w:rPr>
          <m:t>N</m:t>
        </m:r>
      </m:oMath>
      <w:r>
        <w:t xml:space="preserve"> not empty, determine that the next node shall be sampled from the set</w:t>
      </w:r>
      <m:oMath>
        <m:r>
          <w:rPr>
            <w:rFonts w:ascii="Cambria Math" w:hAnsi="Cambria Math"/>
          </w:rPr>
          <m:t xml:space="preserve"> N</m:t>
        </m:r>
      </m:oMath>
      <w:r>
        <w:t xml:space="preserve"> and proceed to Step 3. In case where </w:t>
      </w:r>
      <m:oMath>
        <m:r>
          <w:rPr>
            <w:rFonts w:ascii="Cambria Math" w:hAnsi="Cambria Math"/>
          </w:rPr>
          <m:t>p1</m:t>
        </m:r>
        <m:r>
          <w:rPr>
            <w:rFonts w:ascii="Cambria Math" w:hAnsi="Cambria Math" w:hint="eastAsia"/>
          </w:rPr>
          <m:t>≥</m:t>
        </m:r>
        <m:r>
          <w:rPr>
            <w:rFonts w:ascii="Cambria Math" w:hAnsi="Cambria Math"/>
          </w:rPr>
          <m:t>d</m:t>
        </m:r>
      </m:oMath>
      <w:r>
        <w:t xml:space="preserve"> or the set </w:t>
      </w:r>
      <m:oMath>
        <m:r>
          <w:rPr>
            <w:rFonts w:ascii="Cambria Math" w:hAnsi="Cambria Math"/>
          </w:rPr>
          <m:t>N</m:t>
        </m:r>
      </m:oMath>
      <w:r>
        <w:t xml:space="preserve"> is </w:t>
      </w:r>
      <w:r w:rsidRPr="000D43D2">
        <w:t>devoid of elements</w:t>
      </w:r>
      <w:r>
        <w:t>, the succeeding node shall be sampled from set</w:t>
      </w:r>
      <m:oMath>
        <m:r>
          <w:rPr>
            <w:rFonts w:ascii="Cambria Math" w:hAnsi="Cambria Math"/>
          </w:rPr>
          <m:t xml:space="preserve"> T</m:t>
        </m:r>
      </m:oMath>
      <w:r>
        <w:t xml:space="preserve"> and then proceed to Step 4.</w:t>
      </w:r>
    </w:p>
    <w:p w:rsidR="00081272" w:rsidRDefault="00081272" w:rsidP="00081272">
      <w:pPr>
        <w:ind w:firstLine="420"/>
      </w:pPr>
      <w:r>
        <w:t xml:space="preserve">Step 3: Sampling from the neighborhood. To sample from the set of neighboring nodes </w:t>
      </w:r>
      <m:oMath>
        <m:r>
          <w:rPr>
            <w:rFonts w:ascii="Cambria Math" w:hAnsi="Cambria Math"/>
          </w:rPr>
          <m:t>N</m:t>
        </m:r>
      </m:oMath>
      <w:r>
        <w:t xml:space="preserve">, each node within the set is assigned with a distinct weight. As illustrated in Figure 5, the node </w:t>
      </w:r>
      <m:oMath>
        <m:r>
          <w:rPr>
            <w:rFonts w:ascii="Cambria Math" w:hAnsi="Cambria Math"/>
          </w:rPr>
          <m:t>t</m:t>
        </m:r>
      </m:oMath>
      <w:r>
        <w:t xml:space="preserve"> is the </w:t>
      </w:r>
      <w:r w:rsidRPr="00911EFC">
        <w:t>predecessor</w:t>
      </w:r>
      <w:r>
        <w:t xml:space="preserve"> node of node </w:t>
      </w:r>
      <m:oMath>
        <m:r>
          <w:rPr>
            <w:rFonts w:ascii="Cambria Math" w:hAnsi="Cambria Math"/>
          </w:rPr>
          <m:t>v</m:t>
        </m:r>
      </m:oMath>
      <w:r>
        <w:t xml:space="preserve">. Following the node2vec sampling algorithm, the weight attributed to their common neighbor is 1 (e.g., </w:t>
      </w:r>
      <m:oMath>
        <m:r>
          <w:rPr>
            <w:rFonts w:ascii="Cambria Math" w:hAnsi="Cambria Math"/>
          </w:rPr>
          <m:t>x1</m:t>
        </m:r>
      </m:oMath>
      <w:r>
        <w:t xml:space="preserve">), whereas nodes that are neighbors of </w:t>
      </w:r>
      <m:oMath>
        <m:r>
          <w:rPr>
            <w:rFonts w:ascii="Cambria Math" w:hAnsi="Cambria Math"/>
          </w:rPr>
          <m:t>v</m:t>
        </m:r>
      </m:oMath>
      <w:r>
        <w:rPr>
          <w:rFonts w:hint="eastAsia"/>
        </w:rPr>
        <w:t xml:space="preserve"> </w:t>
      </w:r>
      <w:r>
        <w:t xml:space="preserve">but not of </w:t>
      </w:r>
      <m:oMath>
        <m:r>
          <w:rPr>
            <w:rFonts w:ascii="Cambria Math" w:hAnsi="Cambria Math"/>
          </w:rPr>
          <m:t xml:space="preserve">t </m:t>
        </m:r>
      </m:oMath>
      <w:r>
        <w:t xml:space="preserve">bear the weight </w:t>
      </w:r>
      <m:oMath>
        <m:r>
          <w:rPr>
            <w:rFonts w:ascii="Cambria Math" w:hAnsi="Cambria Math"/>
          </w:rPr>
          <m:t>β</m:t>
        </m:r>
      </m:oMath>
      <w:r>
        <w:t xml:space="preserve"> (e.g., </w:t>
      </w:r>
      <m:oMath>
        <m:r>
          <w:rPr>
            <w:rFonts w:ascii="Cambria Math" w:hAnsi="Cambria Math"/>
          </w:rPr>
          <m:t>x2, x3</m:t>
        </m:r>
      </m:oMath>
      <w:r>
        <w:t>). The weight of the predecessor node</w:t>
      </w:r>
      <m:oMath>
        <m:r>
          <w:rPr>
            <w:rFonts w:ascii="Cambria Math" w:hAnsi="Cambria Math"/>
          </w:rPr>
          <m:t xml:space="preserve"> t</m:t>
        </m:r>
      </m:oMath>
      <w:r>
        <w:t xml:space="preserve"> is </w:t>
      </w:r>
      <m:oMath>
        <m:r>
          <w:rPr>
            <w:rFonts w:ascii="Cambria Math" w:hAnsi="Cambria Math"/>
          </w:rPr>
          <m:t>α</m:t>
        </m:r>
      </m:oMath>
      <w:r>
        <w:t xml:space="preserve">. Notably, if there is no predecessor node for node </w:t>
      </w:r>
      <m:oMath>
        <m:r>
          <w:rPr>
            <w:rFonts w:ascii="Cambria Math" w:hAnsi="Cambria Math"/>
          </w:rPr>
          <m:t>v</m:t>
        </m:r>
      </m:oMath>
      <w:r>
        <w:t xml:space="preserve"> (e.g., </w:t>
      </w:r>
      <w:r>
        <w:rPr>
          <w:rFonts w:hint="eastAsia"/>
        </w:rPr>
        <w:t xml:space="preserve">the </w:t>
      </w:r>
      <w:r>
        <w:t xml:space="preserve">starting point), uniform weights are assigned to all node within set </w:t>
      </w:r>
      <m:oMath>
        <m:r>
          <w:rPr>
            <w:rFonts w:ascii="Cambria Math" w:hAnsi="Cambria Math"/>
          </w:rPr>
          <m:t>N</m:t>
        </m:r>
      </m:oMath>
      <w:r>
        <w:rPr>
          <w:rFonts w:hint="eastAsia"/>
        </w:rPr>
        <w:t>.</w:t>
      </w:r>
      <w:r>
        <w:t xml:space="preserve"> Ultimately, the weight values of each node are converted into probabilities, and a node is randomly selected as the next node in the network based on the respective probabilities. </w:t>
      </w:r>
      <w:r w:rsidRPr="00273043">
        <w:t>This completes one iteration, prompting a return to Step 1.</w:t>
      </w:r>
    </w:p>
    <w:p w:rsidR="00081272" w:rsidRDefault="00081272" w:rsidP="00081272">
      <w:pPr>
        <w:ind w:firstLine="420"/>
      </w:pPr>
      <w:r>
        <w:t xml:space="preserve">Step 4: Global sampling. </w:t>
      </w:r>
      <w:r w:rsidRPr="00273043">
        <w:t>Uniform weights are assigned to all nodes within set</w:t>
      </w:r>
      <w:r>
        <w:t xml:space="preserve"> </w:t>
      </w:r>
      <m:oMath>
        <m:r>
          <w:rPr>
            <w:rFonts w:ascii="Cambria Math" w:hAnsi="Cambria Math"/>
          </w:rPr>
          <m:t>T</m:t>
        </m:r>
      </m:oMath>
      <w:r>
        <w:t xml:space="preserve">. </w:t>
      </w:r>
      <w:r w:rsidRPr="00273043">
        <w:t>Subsequently, the weight values of each node are converted into probabilities, and a node is randomly selected as the next node in the network based on the respective probabilities. This concludes one iteration, leading back to Step 1.</w:t>
      </w:r>
    </w:p>
    <w:p w:rsidR="00081272" w:rsidRDefault="00081272"/>
    <w:sectPr w:rsidR="00081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72"/>
    <w:rsid w:val="00081272"/>
    <w:rsid w:val="00500230"/>
    <w:rsid w:val="007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A666"/>
  <w15:chartTrackingRefBased/>
  <w15:docId w15:val="{D7087B27-D9C6-4FE9-8DD4-7C7890E0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27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Chaocheng</dc:creator>
  <cp:keywords/>
  <dc:description/>
  <cp:lastModifiedBy>HE Chaocheng</cp:lastModifiedBy>
  <cp:revision>2</cp:revision>
  <dcterms:created xsi:type="dcterms:W3CDTF">2024-04-25T05:33:00Z</dcterms:created>
  <dcterms:modified xsi:type="dcterms:W3CDTF">2024-05-20T12:42:00Z</dcterms:modified>
</cp:coreProperties>
</file>