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7DC6D" w14:textId="77777777" w:rsidR="00EF0416" w:rsidRDefault="00EF0416" w:rsidP="00EF0416">
      <w:pPr>
        <w:spacing w:line="36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Supplementary Figure legends</w:t>
      </w:r>
    </w:p>
    <w:p w14:paraId="34302122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Fig 1. Neuraminidase treatment is not cytotoxic and efficiently removes SA form PAMs. </w:t>
      </w:r>
      <w:r>
        <w:rPr>
          <w:rFonts w:ascii="Arial" w:hAnsi="Arial" w:cs="Arial"/>
          <w:color w:val="000000" w:themeColor="text1"/>
        </w:rPr>
        <w:t xml:space="preserve">Two methods to remove sialic acid form PAMs were tested. </w:t>
      </w:r>
      <w:r>
        <w:rPr>
          <w:rFonts w:ascii="Arial" w:hAnsi="Arial" w:cs="Arial"/>
          <w:b/>
          <w:bCs/>
          <w:color w:val="000000" w:themeColor="text1"/>
        </w:rPr>
        <w:t xml:space="preserve">a, </w:t>
      </w:r>
      <w:r>
        <w:rPr>
          <w:rFonts w:ascii="Arial" w:hAnsi="Arial" w:cs="Arial"/>
          <w:color w:val="000000" w:themeColor="text1"/>
        </w:rPr>
        <w:t>SA oxidation with NaIO</w:t>
      </w:r>
      <w:r>
        <w:rPr>
          <w:rFonts w:ascii="Arial" w:hAnsi="Arial" w:cs="Arial"/>
          <w:color w:val="000000" w:themeColor="text1"/>
          <w:vertAlign w:val="subscript"/>
        </w:rPr>
        <w:t>4</w:t>
      </w:r>
      <w:r>
        <w:rPr>
          <w:rFonts w:ascii="Arial" w:hAnsi="Arial" w:cs="Arial"/>
          <w:color w:val="000000" w:themeColor="text1"/>
        </w:rPr>
        <w:t xml:space="preserve"> was performed by incubating cells for with increasing NaIO</w:t>
      </w:r>
      <w:r>
        <w:rPr>
          <w:rFonts w:ascii="Arial" w:hAnsi="Arial" w:cs="Arial"/>
          <w:color w:val="000000" w:themeColor="text1"/>
          <w:vertAlign w:val="subscript"/>
        </w:rPr>
        <w:t>4</w:t>
      </w:r>
      <w:r>
        <w:rPr>
          <w:rFonts w:ascii="Arial" w:hAnsi="Arial" w:cs="Arial"/>
          <w:color w:val="000000" w:themeColor="text1"/>
        </w:rPr>
        <w:t xml:space="preserve"> concentrations for 24 hours. After incubation, cell viability was evaluated (n=3). Data are presented as the mean </w:t>
      </w:r>
      <w:r>
        <w:rPr>
          <w:rFonts w:ascii="Arial" w:hAnsi="Arial" w:cs="Arial"/>
          <w:color w:val="000000" w:themeColor="text1"/>
        </w:rPr>
        <w:sym w:font="Symbol" w:char="F0B1"/>
      </w:r>
      <w:r>
        <w:rPr>
          <w:rFonts w:ascii="Arial" w:hAnsi="Arial" w:cs="Arial"/>
          <w:color w:val="000000" w:themeColor="text1"/>
        </w:rPr>
        <w:t xml:space="preserve"> SEM of three independent experiments. </w:t>
      </w:r>
      <w:r>
        <w:rPr>
          <w:rFonts w:ascii="Arial" w:hAnsi="Arial" w:cs="Arial"/>
          <w:b/>
          <w:bCs/>
          <w:color w:val="000000" w:themeColor="text1"/>
        </w:rPr>
        <w:t>b,</w:t>
      </w:r>
      <w:r>
        <w:rPr>
          <w:rFonts w:ascii="Arial" w:hAnsi="Arial" w:cs="Arial"/>
          <w:color w:val="000000" w:themeColor="text1"/>
        </w:rPr>
        <w:t xml:space="preserve"> neuraminidase treatment of PAMs was performed for 24 hours. After treatments cell viability was evaluated for each neuraminidase concentration. Data are presented as the mean </w:t>
      </w:r>
      <w:r>
        <w:rPr>
          <w:rFonts w:ascii="Arial" w:hAnsi="Arial" w:cs="Arial"/>
          <w:color w:val="000000" w:themeColor="text1"/>
        </w:rPr>
        <w:sym w:font="Symbol" w:char="F0B1"/>
      </w:r>
      <w:r>
        <w:rPr>
          <w:rFonts w:ascii="Arial" w:hAnsi="Arial" w:cs="Arial"/>
          <w:color w:val="000000" w:themeColor="text1"/>
        </w:rPr>
        <w:t xml:space="preserve"> SEM of three independent experiments. </w:t>
      </w:r>
      <w:r>
        <w:rPr>
          <w:rFonts w:ascii="Arial" w:hAnsi="Arial" w:cs="Arial"/>
          <w:b/>
          <w:bCs/>
          <w:color w:val="000000" w:themeColor="text1"/>
        </w:rPr>
        <w:t xml:space="preserve">c, </w:t>
      </w:r>
      <w:r>
        <w:rPr>
          <w:rFonts w:ascii="Arial" w:hAnsi="Arial" w:cs="Arial"/>
          <w:color w:val="000000" w:themeColor="text1"/>
        </w:rPr>
        <w:t xml:space="preserve">Sialic acid on the cell surface of PAMs incubated wit 0 or 100 mU/mL of neuraminidase was evaluated by lectin staining and immunofluorescence. Scale bar represents 30 </w:t>
      </w:r>
      <w:r>
        <w:rPr>
          <w:rFonts w:ascii="Arial" w:hAnsi="Arial" w:cs="Arial"/>
          <w:color w:val="000000" w:themeColor="text1"/>
        </w:rPr>
        <w:sym w:font="Symbol" w:char="F06D"/>
      </w:r>
      <w:r>
        <w:rPr>
          <w:rFonts w:ascii="Arial" w:hAnsi="Arial" w:cs="Arial"/>
          <w:color w:val="000000" w:themeColor="text1"/>
        </w:rPr>
        <w:t>m.</w:t>
      </w:r>
    </w:p>
    <w:p w14:paraId="3573DF88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</w:p>
    <w:p w14:paraId="39533781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Fig 2. Transfection of HEK-293T with MHCII-encoding plasmid yields high levels of MHCII expression. a, </w:t>
      </w:r>
      <w:r>
        <w:rPr>
          <w:rFonts w:ascii="Arial" w:hAnsi="Arial" w:cs="Arial"/>
          <w:color w:val="000000" w:themeColor="text1"/>
        </w:rPr>
        <w:t xml:space="preserve">MHCII expression in HEK-293T cells was evaluated by immunofluorescent staining (red) at 48 hours post-transfection. Scale bar represents 30 </w:t>
      </w:r>
      <w:r>
        <w:rPr>
          <w:rFonts w:ascii="Arial" w:hAnsi="Arial" w:cs="Arial"/>
          <w:color w:val="000000" w:themeColor="text1"/>
        </w:rPr>
        <w:sym w:font="Symbol" w:char="F06D"/>
      </w:r>
      <w:r>
        <w:rPr>
          <w:rFonts w:ascii="Arial" w:hAnsi="Arial" w:cs="Arial"/>
          <w:color w:val="000000" w:themeColor="text1"/>
        </w:rPr>
        <w:t xml:space="preserve">m. </w:t>
      </w:r>
      <w:r>
        <w:rPr>
          <w:rFonts w:ascii="Arial" w:hAnsi="Arial" w:cs="Arial"/>
          <w:b/>
          <w:bCs/>
          <w:color w:val="000000" w:themeColor="text1"/>
        </w:rPr>
        <w:t xml:space="preserve">c, </w:t>
      </w:r>
      <w:r w:rsidRPr="00AA3DC3">
        <w:rPr>
          <w:rFonts w:ascii="Arial" w:hAnsi="Arial" w:cs="Arial"/>
          <w:color w:val="000000" w:themeColor="text1"/>
        </w:rPr>
        <w:t xml:space="preserve">HEK-293T cells were deacetylated using </w:t>
      </w:r>
      <w:r>
        <w:rPr>
          <w:rFonts w:ascii="Arial" w:hAnsi="Arial" w:cs="Arial"/>
          <w:color w:val="000000" w:themeColor="text1"/>
        </w:rPr>
        <w:t>increasing concentrations</w:t>
      </w:r>
      <w:r w:rsidRPr="00AA3DC3">
        <w:rPr>
          <w:rFonts w:ascii="Arial" w:hAnsi="Arial" w:cs="Arial"/>
          <w:color w:val="000000" w:themeColor="text1"/>
        </w:rPr>
        <w:t xml:space="preserve"> of exogenous neuraminidase. At 24 hours post-treatment, </w:t>
      </w:r>
      <w:r w:rsidRPr="00AA3DC3">
        <w:rPr>
          <w:rFonts w:ascii="Arial" w:hAnsi="Arial" w:cs="Arial"/>
          <w:color w:val="000000" w:themeColor="text1"/>
        </w:rPr>
        <w:sym w:font="Symbol" w:char="F061"/>
      </w:r>
      <w:r w:rsidRPr="00AA3DC3">
        <w:rPr>
          <w:rFonts w:ascii="Arial" w:hAnsi="Arial" w:cs="Arial"/>
          <w:color w:val="000000" w:themeColor="text1"/>
        </w:rPr>
        <w:t xml:space="preserve">2,3 and </w:t>
      </w:r>
      <w:r w:rsidRPr="00AA3DC3">
        <w:rPr>
          <w:rFonts w:ascii="Arial" w:hAnsi="Arial" w:cs="Arial"/>
          <w:color w:val="000000" w:themeColor="text1"/>
        </w:rPr>
        <w:sym w:font="Symbol" w:char="F061"/>
      </w:r>
      <w:r w:rsidRPr="00AA3DC3">
        <w:rPr>
          <w:rFonts w:ascii="Arial" w:hAnsi="Arial" w:cs="Arial"/>
          <w:color w:val="000000" w:themeColor="text1"/>
        </w:rPr>
        <w:t xml:space="preserve">2,6 SA on the cell surface was examined by lectin binding and immunofluorescence. </w:t>
      </w:r>
      <w:r>
        <w:rPr>
          <w:rFonts w:ascii="Arial" w:hAnsi="Arial" w:cs="Arial"/>
          <w:color w:val="000000" w:themeColor="text1"/>
        </w:rPr>
        <w:t xml:space="preserve">Scale bar represents 30 </w:t>
      </w:r>
      <w:r>
        <w:rPr>
          <w:rFonts w:ascii="Arial" w:hAnsi="Arial" w:cs="Arial"/>
          <w:color w:val="000000" w:themeColor="text1"/>
        </w:rPr>
        <w:sym w:font="Symbol" w:char="F06D"/>
      </w:r>
      <w:r>
        <w:rPr>
          <w:rFonts w:ascii="Arial" w:hAnsi="Arial" w:cs="Arial"/>
          <w:color w:val="000000" w:themeColor="text1"/>
        </w:rPr>
        <w:t>m.</w:t>
      </w:r>
    </w:p>
    <w:p w14:paraId="48851433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</w:p>
    <w:p w14:paraId="3464B52E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Supplementary Fig 3. Infection of deacetylated cells lead to the infection of MHCII</w:t>
      </w:r>
      <w:r>
        <w:rPr>
          <w:rFonts w:ascii="Arial" w:hAnsi="Arial" w:cs="Arial"/>
          <w:b/>
          <w:bCs/>
          <w:color w:val="000000" w:themeColor="text1"/>
          <w:vertAlign w:val="superscript"/>
        </w:rPr>
        <w:t>+</w:t>
      </w:r>
      <w:r>
        <w:rPr>
          <w:rFonts w:ascii="Arial" w:hAnsi="Arial" w:cs="Arial"/>
          <w:b/>
          <w:bCs/>
          <w:color w:val="000000" w:themeColor="text1"/>
        </w:rPr>
        <w:t xml:space="preserve"> cells only. a, </w:t>
      </w:r>
      <w:r>
        <w:rPr>
          <w:rFonts w:ascii="Arial" w:hAnsi="Arial" w:cs="Arial"/>
          <w:color w:val="000000" w:themeColor="text1"/>
        </w:rPr>
        <w:t xml:space="preserve">Deacetylated HEK-293T cells were transfected with MHCII-encoding plasmids and subsequently infected with either </w:t>
      </w:r>
      <w:r w:rsidRPr="00AA3DC3">
        <w:rPr>
          <w:rFonts w:ascii="Arial" w:hAnsi="Arial" w:cs="Arial"/>
          <w:color w:val="000000" w:themeColor="text1"/>
        </w:rPr>
        <w:t>hVI</w:t>
      </w:r>
      <w:r>
        <w:rPr>
          <w:rFonts w:ascii="Arial" w:hAnsi="Arial" w:cs="Arial"/>
          <w:color w:val="000000" w:themeColor="text1"/>
        </w:rPr>
        <w:t>C</w:t>
      </w:r>
      <w:r w:rsidRPr="00AA3DC3">
        <w:rPr>
          <w:rFonts w:ascii="Arial" w:hAnsi="Arial" w:cs="Arial"/>
          <w:color w:val="000000" w:themeColor="text1"/>
        </w:rPr>
        <w:t>/11 (top panel) or sOH/04 (bottom panel)</w:t>
      </w:r>
      <w:r>
        <w:rPr>
          <w:rFonts w:ascii="Arial" w:hAnsi="Arial" w:cs="Arial"/>
          <w:color w:val="000000" w:themeColor="text1"/>
        </w:rPr>
        <w:t xml:space="preserve"> at 48 hours post-transfection. After a 24-hour incubation, cells were processed for flow cytometry and the percentage of infected cells among MHCII</w:t>
      </w:r>
      <w:r>
        <w:rPr>
          <w:rFonts w:ascii="Arial" w:hAnsi="Arial" w:cs="Arial"/>
          <w:color w:val="000000" w:themeColor="text1"/>
          <w:vertAlign w:val="superscript"/>
        </w:rPr>
        <w:t>+</w:t>
      </w:r>
      <w:r>
        <w:rPr>
          <w:rFonts w:ascii="Arial" w:hAnsi="Arial" w:cs="Arial"/>
          <w:color w:val="000000" w:themeColor="text1"/>
        </w:rPr>
        <w:t xml:space="preserve"> and MHCII</w:t>
      </w:r>
      <w:r>
        <w:rPr>
          <w:rFonts w:ascii="Arial" w:hAnsi="Arial" w:cs="Arial"/>
          <w:color w:val="000000" w:themeColor="text1"/>
          <w:vertAlign w:val="superscript"/>
        </w:rPr>
        <w:t>-</w:t>
      </w:r>
      <w:r>
        <w:rPr>
          <w:rFonts w:ascii="Arial" w:hAnsi="Arial" w:cs="Arial"/>
          <w:color w:val="000000" w:themeColor="text1"/>
        </w:rPr>
        <w:t xml:space="preserve"> cells was determined. </w:t>
      </w:r>
      <w:r>
        <w:rPr>
          <w:rFonts w:ascii="Arial" w:hAnsi="Arial" w:cs="Arial"/>
          <w:b/>
          <w:bCs/>
          <w:color w:val="000000" w:themeColor="text1"/>
        </w:rPr>
        <w:t xml:space="preserve">b, </w:t>
      </w:r>
      <w:r>
        <w:rPr>
          <w:rFonts w:ascii="Arial" w:hAnsi="Arial" w:cs="Arial"/>
          <w:color w:val="000000" w:themeColor="text1"/>
        </w:rPr>
        <w:t>D</w:t>
      </w:r>
      <w:r w:rsidRPr="00AA3DC3">
        <w:rPr>
          <w:rFonts w:ascii="Arial" w:hAnsi="Arial" w:cs="Arial"/>
          <w:color w:val="000000" w:themeColor="text1"/>
        </w:rPr>
        <w:t xml:space="preserve">eacetylated and non-deacetylated HEK-293T cells were infected with </w:t>
      </w:r>
      <w:r>
        <w:rPr>
          <w:rFonts w:ascii="Arial" w:hAnsi="Arial" w:cs="Arial"/>
          <w:color w:val="000000" w:themeColor="text1"/>
        </w:rPr>
        <w:t>either</w:t>
      </w:r>
      <w:r w:rsidRPr="00AA3DC3">
        <w:rPr>
          <w:rFonts w:ascii="Arial" w:hAnsi="Arial" w:cs="Arial"/>
          <w:color w:val="000000" w:themeColor="text1"/>
        </w:rPr>
        <w:t xml:space="preserve"> hVI</w:t>
      </w:r>
      <w:r>
        <w:rPr>
          <w:rFonts w:ascii="Arial" w:hAnsi="Arial" w:cs="Arial"/>
          <w:color w:val="000000" w:themeColor="text1"/>
        </w:rPr>
        <w:t>C</w:t>
      </w:r>
      <w:r w:rsidRPr="00AA3DC3">
        <w:rPr>
          <w:rFonts w:ascii="Arial" w:hAnsi="Arial" w:cs="Arial"/>
          <w:color w:val="000000" w:themeColor="text1"/>
        </w:rPr>
        <w:t>/11 (top panel) or sOH/04 (bottom panel)</w:t>
      </w:r>
      <w:r>
        <w:rPr>
          <w:rFonts w:ascii="Arial" w:hAnsi="Arial" w:cs="Arial"/>
          <w:color w:val="000000" w:themeColor="text1"/>
        </w:rPr>
        <w:t xml:space="preserve">. At 24 hpi, cells were processed for flow cytometry and the percentage of FLUAV-positive cells was determined for each condition. </w:t>
      </w:r>
      <w:r>
        <w:rPr>
          <w:rFonts w:ascii="Arial" w:hAnsi="Arial" w:cs="Arial"/>
          <w:b/>
          <w:bCs/>
          <w:color w:val="000000" w:themeColor="text1"/>
        </w:rPr>
        <w:t xml:space="preserve">c, </w:t>
      </w:r>
      <w:r>
        <w:rPr>
          <w:rFonts w:ascii="Arial" w:hAnsi="Arial" w:cs="Arial"/>
          <w:color w:val="000000" w:themeColor="text1"/>
        </w:rPr>
        <w:t>Non-deacetylated HEK-293T cells were transfected with equimolar quantities of either HLA-DRA+HLA-DRB1 or SLA-DRA+SLA-DRB1. At 48 hpi cells were infected with either</w:t>
      </w:r>
      <w:r w:rsidRPr="00AA3DC3">
        <w:rPr>
          <w:rFonts w:ascii="Arial" w:hAnsi="Arial" w:cs="Arial"/>
          <w:color w:val="000000" w:themeColor="text1"/>
        </w:rPr>
        <w:t xml:space="preserve"> hVI</w:t>
      </w:r>
      <w:r>
        <w:rPr>
          <w:rFonts w:ascii="Arial" w:hAnsi="Arial" w:cs="Arial"/>
          <w:color w:val="000000" w:themeColor="text1"/>
        </w:rPr>
        <w:t>C</w:t>
      </w:r>
      <w:r w:rsidRPr="00AA3DC3">
        <w:rPr>
          <w:rFonts w:ascii="Arial" w:hAnsi="Arial" w:cs="Arial"/>
          <w:color w:val="000000" w:themeColor="text1"/>
        </w:rPr>
        <w:t>/11 (top panel) or sOH/04 (bottom panel)</w:t>
      </w:r>
      <w:r>
        <w:rPr>
          <w:rFonts w:ascii="Arial" w:hAnsi="Arial" w:cs="Arial"/>
          <w:color w:val="000000" w:themeColor="text1"/>
        </w:rPr>
        <w:t xml:space="preserve"> and </w:t>
      </w:r>
      <w:r>
        <w:rPr>
          <w:rFonts w:ascii="Arial" w:hAnsi="Arial" w:cs="Arial"/>
          <w:color w:val="000000" w:themeColor="text1"/>
        </w:rPr>
        <w:lastRenderedPageBreak/>
        <w:t>the percentage of FLUAV-infected cells among MHCII</w:t>
      </w:r>
      <w:r>
        <w:rPr>
          <w:rFonts w:ascii="Arial" w:hAnsi="Arial" w:cs="Arial"/>
          <w:color w:val="000000" w:themeColor="text1"/>
          <w:vertAlign w:val="superscript"/>
        </w:rPr>
        <w:t>+</w:t>
      </w:r>
      <w:r>
        <w:rPr>
          <w:rFonts w:ascii="Arial" w:hAnsi="Arial" w:cs="Arial"/>
          <w:color w:val="000000" w:themeColor="text1"/>
        </w:rPr>
        <w:t xml:space="preserve"> and MHCII</w:t>
      </w:r>
      <w:r>
        <w:rPr>
          <w:rFonts w:ascii="Arial" w:hAnsi="Arial" w:cs="Arial"/>
          <w:color w:val="000000" w:themeColor="text1"/>
          <w:vertAlign w:val="superscript"/>
        </w:rPr>
        <w:t>-</w:t>
      </w:r>
      <w:r>
        <w:rPr>
          <w:rFonts w:ascii="Arial" w:hAnsi="Arial" w:cs="Arial"/>
          <w:color w:val="000000" w:themeColor="text1"/>
        </w:rPr>
        <w:t xml:space="preserve"> cells was determined by flow cytometry. Images are representative data of n=3 experiments.</w:t>
      </w:r>
    </w:p>
    <w:p w14:paraId="16877896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</w:p>
    <w:p w14:paraId="6629C1EB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Supplementary Fig 4. Protein sequence alignment of HLA-DR and SLA-DR alpha and beta subunits. a,</w:t>
      </w:r>
      <w:r>
        <w:rPr>
          <w:rFonts w:ascii="Arial" w:hAnsi="Arial" w:cs="Arial"/>
          <w:color w:val="000000" w:themeColor="text1"/>
        </w:rPr>
        <w:t xml:space="preserve"> sequence alignment between HLA-DRA and SLA-DRA. Conserved amino acids are sown in red. </w:t>
      </w:r>
      <w:r>
        <w:rPr>
          <w:rFonts w:ascii="Arial" w:hAnsi="Arial" w:cs="Arial"/>
          <w:b/>
          <w:bCs/>
          <w:color w:val="000000" w:themeColor="text1"/>
        </w:rPr>
        <w:t xml:space="preserve">b, </w:t>
      </w:r>
      <w:r>
        <w:rPr>
          <w:rFonts w:ascii="Arial" w:hAnsi="Arial" w:cs="Arial"/>
          <w:color w:val="000000" w:themeColor="text1"/>
        </w:rPr>
        <w:t xml:space="preserve">Sequence alignment between HLA-DRB1 and SLA-DRB1. Conserved amino acid are highlighted in red. </w:t>
      </w:r>
    </w:p>
    <w:p w14:paraId="6B0153BF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</w:p>
    <w:p w14:paraId="2CF6BE80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Supplementary Fig 5. The pandemic 2009 H1N1 virus does not infect deacetylated MHCII</w:t>
      </w:r>
      <w:r>
        <w:rPr>
          <w:rFonts w:ascii="Arial" w:hAnsi="Arial" w:cs="Arial"/>
          <w:b/>
          <w:bCs/>
          <w:color w:val="000000" w:themeColor="text1"/>
          <w:vertAlign w:val="superscript"/>
        </w:rPr>
        <w:t>+</w:t>
      </w:r>
      <w:r>
        <w:rPr>
          <w:rFonts w:ascii="Arial" w:hAnsi="Arial" w:cs="Arial"/>
          <w:b/>
          <w:bCs/>
          <w:color w:val="000000" w:themeColor="text1"/>
        </w:rPr>
        <w:t xml:space="preserve"> cells. a,</w:t>
      </w:r>
      <w:r>
        <w:rPr>
          <w:rFonts w:ascii="Arial" w:hAnsi="Arial" w:cs="Arial"/>
          <w:color w:val="000000" w:themeColor="text1"/>
        </w:rPr>
        <w:t xml:space="preserve"> Deacetylated and non-deacetylated HEK-293T cells were infected with the H1N1 virus and the percentage of infected cells was quantified at 24 hpi by flow cytometry. </w:t>
      </w:r>
      <w:r>
        <w:rPr>
          <w:rFonts w:ascii="Arial" w:hAnsi="Arial" w:cs="Arial"/>
          <w:b/>
          <w:bCs/>
          <w:color w:val="000000" w:themeColor="text1"/>
        </w:rPr>
        <w:t xml:space="preserve">b, </w:t>
      </w:r>
      <w:r>
        <w:rPr>
          <w:rFonts w:ascii="Arial" w:hAnsi="Arial" w:cs="Arial"/>
          <w:color w:val="000000" w:themeColor="text1"/>
        </w:rPr>
        <w:t xml:space="preserve">Deacetylated HEK-293T cells were transfected with MHCII-encoding plasmids and subsequently infected with the pandemic H1N1 virus at 48 hours post-transfection. At 24 hpi post-infection, cells were harvested and stained for FLUAV and MHCII to determine the percentage of H1N1-infected cells by flow cytometry. </w:t>
      </w:r>
      <w:r>
        <w:rPr>
          <w:rFonts w:ascii="Arial" w:hAnsi="Arial" w:cs="Arial"/>
          <w:b/>
          <w:bCs/>
          <w:color w:val="000000" w:themeColor="text1"/>
        </w:rPr>
        <w:t xml:space="preserve">c, </w:t>
      </w:r>
      <w:r w:rsidRPr="00FB158C">
        <w:rPr>
          <w:rFonts w:ascii="Arial" w:hAnsi="Arial" w:cs="Arial"/>
          <w:color w:val="000000" w:themeColor="text1"/>
        </w:rPr>
        <w:t>HEK-293T cells were infected with the pandemic H1N1 virus and at 24 hpi cells were processed for immunofluorescence</w:t>
      </w:r>
      <w:r>
        <w:rPr>
          <w:rFonts w:ascii="Arial" w:hAnsi="Arial" w:cs="Arial"/>
          <w:color w:val="000000" w:themeColor="text1"/>
        </w:rPr>
        <w:t xml:space="preserve"> in which</w:t>
      </w:r>
      <w:r w:rsidRPr="00FB158C">
        <w:rPr>
          <w:rFonts w:ascii="Arial" w:hAnsi="Arial" w:cs="Arial"/>
          <w:color w:val="000000" w:themeColor="text1"/>
        </w:rPr>
        <w:t xml:space="preserve"> SA (red), MHCII (pink), and FLUAV (green) were stained</w:t>
      </w:r>
      <w:r>
        <w:rPr>
          <w:rFonts w:ascii="Arial" w:hAnsi="Arial" w:cs="Arial"/>
          <w:color w:val="000000" w:themeColor="text1"/>
        </w:rPr>
        <w:t xml:space="preserve">. Scale bar represents 30 </w:t>
      </w:r>
      <w:r>
        <w:rPr>
          <w:rFonts w:ascii="Arial" w:hAnsi="Arial" w:cs="Arial"/>
          <w:color w:val="000000" w:themeColor="text1"/>
        </w:rPr>
        <w:sym w:font="Symbol" w:char="F06D"/>
      </w:r>
      <w:r>
        <w:rPr>
          <w:rFonts w:ascii="Arial" w:hAnsi="Arial" w:cs="Arial"/>
          <w:color w:val="000000" w:themeColor="text1"/>
        </w:rPr>
        <w:t>m.</w:t>
      </w:r>
    </w:p>
    <w:p w14:paraId="10F6EE93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</w:p>
    <w:p w14:paraId="6C2B281C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Fig 6. Neuraminidase treatment coupled with lectin incubation abolishes hVIC/11 and sOH/04 in A549 cells. a, </w:t>
      </w:r>
      <w:r>
        <w:rPr>
          <w:rFonts w:ascii="Arial" w:hAnsi="Arial" w:cs="Arial"/>
          <w:color w:val="000000" w:themeColor="text1"/>
        </w:rPr>
        <w:t xml:space="preserve">A549 cells were incubated with different concentrations of neuraminidase and at 24 hours post-treatment </w:t>
      </w:r>
      <w:r w:rsidRPr="00AA3DC3">
        <w:rPr>
          <w:rFonts w:ascii="Arial" w:hAnsi="Arial" w:cs="Arial"/>
          <w:color w:val="000000" w:themeColor="text1"/>
        </w:rPr>
        <w:sym w:font="Symbol" w:char="F061"/>
      </w:r>
      <w:r w:rsidRPr="00AA3DC3">
        <w:rPr>
          <w:rFonts w:ascii="Arial" w:hAnsi="Arial" w:cs="Arial"/>
          <w:color w:val="000000" w:themeColor="text1"/>
        </w:rPr>
        <w:t xml:space="preserve">2,3 and </w:t>
      </w:r>
      <w:r w:rsidRPr="00AA3DC3">
        <w:rPr>
          <w:rFonts w:ascii="Arial" w:hAnsi="Arial" w:cs="Arial"/>
          <w:color w:val="000000" w:themeColor="text1"/>
        </w:rPr>
        <w:sym w:font="Symbol" w:char="F061"/>
      </w:r>
      <w:r w:rsidRPr="00AA3DC3">
        <w:rPr>
          <w:rFonts w:ascii="Arial" w:hAnsi="Arial" w:cs="Arial"/>
          <w:color w:val="000000" w:themeColor="text1"/>
        </w:rPr>
        <w:t xml:space="preserve">2,6 SA </w:t>
      </w:r>
      <w:r>
        <w:rPr>
          <w:rFonts w:ascii="Arial" w:hAnsi="Arial" w:cs="Arial"/>
          <w:color w:val="000000" w:themeColor="text1"/>
        </w:rPr>
        <w:t xml:space="preserve">presence </w:t>
      </w:r>
      <w:r w:rsidRPr="00AA3DC3">
        <w:rPr>
          <w:rFonts w:ascii="Arial" w:hAnsi="Arial" w:cs="Arial"/>
          <w:color w:val="000000" w:themeColor="text1"/>
        </w:rPr>
        <w:t xml:space="preserve">on the cell surface was examined by lectin binding and immunofluorescence. </w:t>
      </w:r>
      <w:r>
        <w:rPr>
          <w:rFonts w:ascii="Arial" w:hAnsi="Arial" w:cs="Arial"/>
          <w:color w:val="000000" w:themeColor="text1"/>
        </w:rPr>
        <w:t xml:space="preserve">Scale bar represents 30 </w:t>
      </w:r>
      <w:r>
        <w:rPr>
          <w:rFonts w:ascii="Arial" w:hAnsi="Arial" w:cs="Arial"/>
          <w:color w:val="000000" w:themeColor="text1"/>
        </w:rPr>
        <w:sym w:font="Symbol" w:char="F06D"/>
      </w:r>
      <w:r>
        <w:rPr>
          <w:rFonts w:ascii="Arial" w:hAnsi="Arial" w:cs="Arial"/>
          <w:color w:val="000000" w:themeColor="text1"/>
        </w:rPr>
        <w:t>m. Deacetylated MHCII</w:t>
      </w:r>
      <w:r>
        <w:rPr>
          <w:rFonts w:ascii="Arial" w:hAnsi="Arial" w:cs="Arial"/>
          <w:color w:val="000000" w:themeColor="text1"/>
          <w:vertAlign w:val="superscript"/>
        </w:rPr>
        <w:t>+</w:t>
      </w:r>
      <w:r>
        <w:rPr>
          <w:rFonts w:ascii="Arial" w:hAnsi="Arial" w:cs="Arial"/>
          <w:color w:val="000000" w:themeColor="text1"/>
        </w:rPr>
        <w:t xml:space="preserve"> A549 cells were infected under different condition with either sOH/04 </w:t>
      </w:r>
      <w:r>
        <w:rPr>
          <w:rFonts w:ascii="Arial" w:hAnsi="Arial" w:cs="Arial"/>
          <w:b/>
          <w:bCs/>
          <w:color w:val="000000" w:themeColor="text1"/>
        </w:rPr>
        <w:t xml:space="preserve">(b) </w:t>
      </w:r>
      <w:r>
        <w:rPr>
          <w:rFonts w:ascii="Arial" w:hAnsi="Arial" w:cs="Arial"/>
          <w:color w:val="000000" w:themeColor="text1"/>
        </w:rPr>
        <w:t xml:space="preserve">or hVIC/11 </w:t>
      </w:r>
      <w:r>
        <w:rPr>
          <w:rFonts w:ascii="Arial" w:hAnsi="Arial" w:cs="Arial"/>
          <w:b/>
          <w:bCs/>
          <w:color w:val="000000" w:themeColor="text1"/>
        </w:rPr>
        <w:t>(c)</w:t>
      </w:r>
      <w:r>
        <w:rPr>
          <w:rFonts w:ascii="Arial" w:hAnsi="Arial" w:cs="Arial"/>
          <w:color w:val="000000" w:themeColor="text1"/>
        </w:rPr>
        <w:t xml:space="preserve">. Virus titers in the supernatants were determined at 0, 12, 245, 48, and 72 hpi by Rt-qPCR. Virus replication was completely abolished by a treatment with 100 mU/mL of neuraminidase coupled with </w:t>
      </w:r>
      <w:r w:rsidRPr="004D48B6">
        <w:rPr>
          <w:rFonts w:ascii="Arial" w:hAnsi="Arial" w:cs="Arial"/>
          <w:color w:val="000000" w:themeColor="text1"/>
        </w:rPr>
        <w:t xml:space="preserve">15 </w:t>
      </w:r>
      <w:r w:rsidRPr="004D48B6">
        <w:rPr>
          <w:rFonts w:ascii="Arial" w:hAnsi="Arial" w:cs="Arial"/>
          <w:color w:val="000000" w:themeColor="text1"/>
        </w:rPr>
        <w:sym w:font="Symbol" w:char="F06D"/>
      </w:r>
      <w:r w:rsidRPr="004D48B6">
        <w:rPr>
          <w:rFonts w:ascii="Arial" w:hAnsi="Arial" w:cs="Arial"/>
          <w:color w:val="000000" w:themeColor="text1"/>
        </w:rPr>
        <w:t xml:space="preserve">g/mL </w:t>
      </w:r>
      <w:r>
        <w:rPr>
          <w:rFonts w:ascii="Arial" w:hAnsi="Arial" w:cs="Arial"/>
          <w:color w:val="000000" w:themeColor="text1"/>
        </w:rPr>
        <w:t xml:space="preserve">of SNA and </w:t>
      </w:r>
      <w:r w:rsidRPr="004D48B6">
        <w:rPr>
          <w:rFonts w:ascii="Arial" w:hAnsi="Arial" w:cs="Arial"/>
          <w:color w:val="000000" w:themeColor="text1"/>
        </w:rPr>
        <w:t>MAL II</w:t>
      </w:r>
      <w:r>
        <w:rPr>
          <w:rFonts w:ascii="Arial" w:hAnsi="Arial" w:cs="Arial"/>
          <w:color w:val="000000" w:themeColor="text1"/>
        </w:rPr>
        <w:t xml:space="preserve"> with </w:t>
      </w:r>
      <w:r w:rsidRPr="004D48B6">
        <w:rPr>
          <w:rFonts w:ascii="Arial" w:hAnsi="Arial" w:cs="Arial"/>
          <w:color w:val="000000" w:themeColor="text1"/>
        </w:rPr>
        <w:t xml:space="preserve">20 </w:t>
      </w:r>
      <w:r w:rsidRPr="004D48B6">
        <w:rPr>
          <w:rFonts w:ascii="Arial" w:hAnsi="Arial" w:cs="Arial"/>
          <w:color w:val="000000" w:themeColor="text1"/>
        </w:rPr>
        <w:sym w:font="Symbol" w:char="F06D"/>
      </w:r>
      <w:r w:rsidRPr="004D48B6">
        <w:rPr>
          <w:rFonts w:ascii="Arial" w:hAnsi="Arial" w:cs="Arial"/>
          <w:color w:val="000000" w:themeColor="text1"/>
        </w:rPr>
        <w:t>g/mL of Peanut Agglutinin</w:t>
      </w:r>
      <w:r>
        <w:rPr>
          <w:rFonts w:ascii="Arial" w:hAnsi="Arial" w:cs="Arial"/>
          <w:color w:val="000000" w:themeColor="text1"/>
        </w:rPr>
        <w:t>.</w:t>
      </w:r>
      <w:r w:rsidRPr="005F693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Data are presented as the mean </w:t>
      </w:r>
      <w:r>
        <w:rPr>
          <w:rFonts w:ascii="Arial" w:hAnsi="Arial" w:cs="Arial"/>
          <w:color w:val="000000" w:themeColor="text1"/>
        </w:rPr>
        <w:sym w:font="Symbol" w:char="F0B1"/>
      </w:r>
      <w:r>
        <w:rPr>
          <w:rFonts w:ascii="Arial" w:hAnsi="Arial" w:cs="Arial"/>
          <w:color w:val="000000" w:themeColor="text1"/>
        </w:rPr>
        <w:t xml:space="preserve"> SEM of three independent experiments.</w:t>
      </w:r>
    </w:p>
    <w:p w14:paraId="4EAEA88A" w14:textId="77777777" w:rsidR="00EF0416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</w:p>
    <w:p w14:paraId="1D84A567" w14:textId="77777777" w:rsidR="00EF0416" w:rsidRPr="004E460B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lastRenderedPageBreak/>
        <w:t xml:space="preserve">Supplementary Fig 7. Gating strategy used for MHCII and FLUAV-infected cells detection. </w:t>
      </w:r>
      <w:r>
        <w:rPr>
          <w:rFonts w:ascii="Arial" w:hAnsi="Arial" w:cs="Arial"/>
          <w:color w:val="000000" w:themeColor="text1"/>
        </w:rPr>
        <w:t xml:space="preserve"> Example of the gating strategy used in flow cytometry experiments.</w:t>
      </w:r>
    </w:p>
    <w:p w14:paraId="04CA3025" w14:textId="77777777" w:rsidR="00EF0416" w:rsidRPr="005F6939" w:rsidRDefault="00EF0416" w:rsidP="00EF0416">
      <w:pPr>
        <w:spacing w:line="360" w:lineRule="auto"/>
        <w:rPr>
          <w:rFonts w:ascii="Arial" w:hAnsi="Arial" w:cs="Arial"/>
          <w:color w:val="000000" w:themeColor="text1"/>
        </w:rPr>
      </w:pPr>
    </w:p>
    <w:p w14:paraId="22AE75C6" w14:textId="77777777" w:rsidR="00F45394" w:rsidRDefault="00F45394"/>
    <w:sectPr w:rsidR="00F45394" w:rsidSect="00EF0416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416"/>
    <w:rsid w:val="00014DE7"/>
    <w:rsid w:val="00411924"/>
    <w:rsid w:val="005A593B"/>
    <w:rsid w:val="00611A5F"/>
    <w:rsid w:val="00EF0416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C933E"/>
  <w15:chartTrackingRefBased/>
  <w15:docId w15:val="{66C0A211-F565-4878-BAD6-EC4271A70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416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04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4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41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41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41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41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41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41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41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4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4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4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4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4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4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4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4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4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4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04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41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04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416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04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416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04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4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4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41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EF04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658</Words>
  <Characters>3754</Characters>
  <Application>Microsoft Office Word</Application>
  <DocSecurity>0</DocSecurity>
  <Lines>31</Lines>
  <Paragraphs>8</Paragraphs>
  <ScaleCrop>false</ScaleCrop>
  <Company>Springer Nature</Company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2025-05-02T09:33:00Z</dcterms:created>
  <dcterms:modified xsi:type="dcterms:W3CDTF">2025-05-02T09:33:00Z</dcterms:modified>
</cp:coreProperties>
</file>