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96A77E" w14:textId="0ED7849E" w:rsidR="005C34DA" w:rsidRPr="008A4226" w:rsidRDefault="005C34DA" w:rsidP="005C34DA">
      <w:pPr>
        <w:widowControl w:val="0"/>
        <w:rPr>
          <w:b/>
          <w:color w:val="000000" w:themeColor="text1"/>
          <w:sz w:val="22"/>
          <w:szCs w:val="22"/>
        </w:rPr>
      </w:pPr>
      <w:r w:rsidRPr="008A4226">
        <w:rPr>
          <w:b/>
          <w:color w:val="000000" w:themeColor="text1"/>
          <w:sz w:val="22"/>
          <w:szCs w:val="22"/>
        </w:rPr>
        <w:t>Table S.1. D</w:t>
      </w:r>
      <w:r w:rsidR="00437592">
        <w:rPr>
          <w:b/>
          <w:color w:val="000000" w:themeColor="text1"/>
          <w:sz w:val="22"/>
          <w:szCs w:val="22"/>
        </w:rPr>
        <w:t>etails on d</w:t>
      </w:r>
      <w:r w:rsidRPr="008A4226">
        <w:rPr>
          <w:b/>
          <w:color w:val="000000" w:themeColor="text1"/>
          <w:sz w:val="22"/>
          <w:szCs w:val="22"/>
        </w:rPr>
        <w:t xml:space="preserve">escriptive </w:t>
      </w:r>
      <w:r w:rsidR="00437592">
        <w:rPr>
          <w:b/>
          <w:color w:val="000000" w:themeColor="text1"/>
          <w:sz w:val="22"/>
          <w:szCs w:val="22"/>
        </w:rPr>
        <w:t>parameters for the c</w:t>
      </w:r>
      <w:r w:rsidR="00EC0699">
        <w:rPr>
          <w:b/>
          <w:color w:val="000000" w:themeColor="text1"/>
          <w:sz w:val="22"/>
          <w:szCs w:val="22"/>
        </w:rPr>
        <w:t>haracterization of</w:t>
      </w:r>
      <w:r w:rsidRPr="008A4226">
        <w:rPr>
          <w:b/>
          <w:color w:val="000000" w:themeColor="text1"/>
          <w:sz w:val="22"/>
          <w:szCs w:val="22"/>
        </w:rPr>
        <w:t xml:space="preserve"> </w:t>
      </w:r>
      <w:r w:rsidR="00437592">
        <w:rPr>
          <w:b/>
          <w:color w:val="000000" w:themeColor="text1"/>
          <w:sz w:val="22"/>
          <w:szCs w:val="22"/>
        </w:rPr>
        <w:t>c</w:t>
      </w:r>
      <w:r w:rsidRPr="008A4226">
        <w:rPr>
          <w:b/>
          <w:color w:val="000000" w:themeColor="text1"/>
          <w:sz w:val="22"/>
          <w:szCs w:val="22"/>
        </w:rPr>
        <w:t xml:space="preserve">limate </w:t>
      </w:r>
      <w:r w:rsidR="00437592">
        <w:rPr>
          <w:b/>
          <w:color w:val="000000" w:themeColor="text1"/>
          <w:sz w:val="22"/>
          <w:szCs w:val="22"/>
        </w:rPr>
        <w:t>f</w:t>
      </w:r>
      <w:r w:rsidRPr="008A4226">
        <w:rPr>
          <w:b/>
          <w:color w:val="000000" w:themeColor="text1"/>
          <w:sz w:val="22"/>
          <w:szCs w:val="22"/>
        </w:rPr>
        <w:t>unds</w:t>
      </w:r>
    </w:p>
    <w:tbl>
      <w:tblPr>
        <w:tblW w:w="9348" w:type="dxa"/>
        <w:tblBorders>
          <w:top w:val="nil"/>
          <w:left w:val="nil"/>
          <w:bottom w:val="nil"/>
          <w:right w:val="nil"/>
          <w:insideH w:val="nil"/>
          <w:insideV w:val="nil"/>
        </w:tblBorders>
        <w:tblLayout w:type="fixed"/>
        <w:tblLook w:val="0600" w:firstRow="0" w:lastRow="0" w:firstColumn="0" w:lastColumn="0" w:noHBand="1" w:noVBand="1"/>
      </w:tblPr>
      <w:tblGrid>
        <w:gridCol w:w="1560"/>
        <w:gridCol w:w="2445"/>
        <w:gridCol w:w="5343"/>
      </w:tblGrid>
      <w:tr w:rsidR="005C34DA" w:rsidRPr="008A4226" w14:paraId="5D0E34CB" w14:textId="77777777" w:rsidTr="00BC5767">
        <w:trPr>
          <w:trHeight w:val="315"/>
        </w:trPr>
        <w:tc>
          <w:tcPr>
            <w:tcW w:w="1560" w:type="dxa"/>
            <w:tcBorders>
              <w:top w:val="single" w:sz="6" w:space="0" w:color="CCCCCC"/>
              <w:left w:val="single" w:sz="6" w:space="0" w:color="000000"/>
              <w:bottom w:val="single" w:sz="6" w:space="0" w:color="000000"/>
              <w:right w:val="single" w:sz="6" w:space="0" w:color="000000"/>
            </w:tcBorders>
            <w:shd w:val="clear" w:color="auto" w:fill="F1F9F7"/>
            <w:tcMar>
              <w:top w:w="40" w:type="dxa"/>
              <w:left w:w="40" w:type="dxa"/>
              <w:bottom w:w="40" w:type="dxa"/>
              <w:right w:w="40" w:type="dxa"/>
            </w:tcMar>
          </w:tcPr>
          <w:p w14:paraId="57A44F02" w14:textId="27F915ED" w:rsidR="005C34DA" w:rsidRPr="008A4226" w:rsidRDefault="005C34DA" w:rsidP="00BC5767">
            <w:pPr>
              <w:widowControl w:val="0"/>
              <w:rPr>
                <w:sz w:val="22"/>
                <w:szCs w:val="22"/>
              </w:rPr>
            </w:pPr>
            <w:r w:rsidRPr="008A4226">
              <w:rPr>
                <w:b/>
                <w:sz w:val="22"/>
                <w:szCs w:val="22"/>
              </w:rPr>
              <w:t>P</w:t>
            </w:r>
            <w:r w:rsidR="00B57B13">
              <w:rPr>
                <w:b/>
                <w:sz w:val="22"/>
                <w:szCs w:val="22"/>
              </w:rPr>
              <w:t>a</w:t>
            </w:r>
            <w:r w:rsidRPr="008A4226">
              <w:rPr>
                <w:b/>
                <w:sz w:val="22"/>
                <w:szCs w:val="22"/>
              </w:rPr>
              <w:t>rameters</w:t>
            </w:r>
          </w:p>
        </w:tc>
        <w:tc>
          <w:tcPr>
            <w:tcW w:w="2445" w:type="dxa"/>
            <w:tcBorders>
              <w:top w:val="single" w:sz="6" w:space="0" w:color="CCCCCC"/>
              <w:left w:val="single" w:sz="6" w:space="0" w:color="CCCCCC"/>
              <w:bottom w:val="single" w:sz="6" w:space="0" w:color="000000"/>
              <w:right w:val="single" w:sz="6" w:space="0" w:color="000000"/>
            </w:tcBorders>
            <w:shd w:val="clear" w:color="auto" w:fill="F1F9F7"/>
            <w:tcMar>
              <w:top w:w="40" w:type="dxa"/>
              <w:left w:w="40" w:type="dxa"/>
              <w:bottom w:w="40" w:type="dxa"/>
              <w:right w:w="40" w:type="dxa"/>
            </w:tcMar>
          </w:tcPr>
          <w:p w14:paraId="5577EF72" w14:textId="77777777" w:rsidR="005C34DA" w:rsidRPr="008A4226" w:rsidRDefault="005C34DA" w:rsidP="00BC5767">
            <w:pPr>
              <w:widowControl w:val="0"/>
              <w:rPr>
                <w:sz w:val="22"/>
                <w:szCs w:val="22"/>
              </w:rPr>
            </w:pPr>
            <w:r w:rsidRPr="008A4226">
              <w:rPr>
                <w:b/>
                <w:sz w:val="22"/>
                <w:szCs w:val="22"/>
              </w:rPr>
              <w:t>Description</w:t>
            </w:r>
          </w:p>
        </w:tc>
        <w:tc>
          <w:tcPr>
            <w:tcW w:w="5343" w:type="dxa"/>
            <w:tcBorders>
              <w:top w:val="single" w:sz="6" w:space="0" w:color="CCCCCC"/>
              <w:left w:val="single" w:sz="6" w:space="0" w:color="CCCCCC"/>
              <w:bottom w:val="single" w:sz="6" w:space="0" w:color="000000"/>
              <w:right w:val="single" w:sz="6" w:space="0" w:color="000000"/>
            </w:tcBorders>
            <w:shd w:val="clear" w:color="auto" w:fill="F1F9F7"/>
            <w:tcMar>
              <w:top w:w="40" w:type="dxa"/>
              <w:left w:w="40" w:type="dxa"/>
              <w:bottom w:w="40" w:type="dxa"/>
              <w:right w:w="40" w:type="dxa"/>
            </w:tcMar>
          </w:tcPr>
          <w:p w14:paraId="7529BB95" w14:textId="77777777" w:rsidR="005C34DA" w:rsidRPr="008A4226" w:rsidRDefault="005C34DA" w:rsidP="00BC5767">
            <w:pPr>
              <w:widowControl w:val="0"/>
              <w:rPr>
                <w:sz w:val="22"/>
                <w:szCs w:val="22"/>
              </w:rPr>
            </w:pPr>
            <w:r w:rsidRPr="008A4226">
              <w:rPr>
                <w:b/>
                <w:sz w:val="22"/>
                <w:szCs w:val="22"/>
              </w:rPr>
              <w:t>Categories (if applicable)</w:t>
            </w:r>
          </w:p>
        </w:tc>
      </w:tr>
      <w:tr w:rsidR="005C34DA" w:rsidRPr="008A4226" w14:paraId="609994B5" w14:textId="77777777" w:rsidTr="00BC5767">
        <w:trPr>
          <w:trHeight w:val="780"/>
        </w:trPr>
        <w:tc>
          <w:tcPr>
            <w:tcW w:w="1560" w:type="dxa"/>
            <w:tcBorders>
              <w:top w:val="single" w:sz="6" w:space="0" w:color="CCCCCC"/>
              <w:left w:val="single" w:sz="6" w:space="0" w:color="000000"/>
              <w:bottom w:val="single" w:sz="6" w:space="0" w:color="000000"/>
              <w:right w:val="single" w:sz="6" w:space="0" w:color="000000"/>
            </w:tcBorders>
            <w:shd w:val="clear" w:color="auto" w:fill="F1F9F7"/>
            <w:tcMar>
              <w:top w:w="40" w:type="dxa"/>
              <w:left w:w="40" w:type="dxa"/>
              <w:bottom w:w="40" w:type="dxa"/>
              <w:right w:w="40" w:type="dxa"/>
            </w:tcMar>
          </w:tcPr>
          <w:p w14:paraId="050C3EB8" w14:textId="77777777" w:rsidR="005C34DA" w:rsidRPr="008A4226" w:rsidRDefault="005C34DA" w:rsidP="00BC5767">
            <w:pPr>
              <w:widowControl w:val="0"/>
              <w:rPr>
                <w:sz w:val="22"/>
                <w:szCs w:val="22"/>
              </w:rPr>
            </w:pPr>
            <w:r w:rsidRPr="008A4226">
              <w:rPr>
                <w:b/>
                <w:sz w:val="22"/>
                <w:szCs w:val="22"/>
              </w:rPr>
              <w:t>Fund size</w:t>
            </w:r>
          </w:p>
        </w:tc>
        <w:tc>
          <w:tcPr>
            <w:tcW w:w="244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41CECCB2" w14:textId="77777777" w:rsidR="005C34DA" w:rsidRPr="008A4226" w:rsidRDefault="005C34DA" w:rsidP="00BC5767">
            <w:pPr>
              <w:widowControl w:val="0"/>
              <w:rPr>
                <w:sz w:val="22"/>
                <w:szCs w:val="22"/>
              </w:rPr>
            </w:pPr>
            <w:r w:rsidRPr="008A4226">
              <w:rPr>
                <w:sz w:val="22"/>
                <w:szCs w:val="22"/>
              </w:rPr>
              <w:t>The total monetary value allocated by the fund for all projects. A fund may have multiple funding cycles, so it is essential to specify the funding cycle and the exact amount available or spent.</w:t>
            </w:r>
          </w:p>
        </w:tc>
        <w:tc>
          <w:tcPr>
            <w:tcW w:w="5343"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58F96D1" w14:textId="77777777" w:rsidR="005C34DA" w:rsidRPr="008A4226" w:rsidRDefault="005C34DA" w:rsidP="00BC5767">
            <w:pPr>
              <w:widowControl w:val="0"/>
              <w:rPr>
                <w:sz w:val="22"/>
                <w:szCs w:val="22"/>
              </w:rPr>
            </w:pPr>
            <w:r w:rsidRPr="008A4226">
              <w:rPr>
                <w:sz w:val="22"/>
                <w:szCs w:val="22"/>
              </w:rPr>
              <w:t>N/A</w:t>
            </w:r>
          </w:p>
        </w:tc>
      </w:tr>
      <w:tr w:rsidR="005C34DA" w:rsidRPr="008A4226" w14:paraId="3DD0F0FC" w14:textId="77777777" w:rsidTr="00BC5767">
        <w:trPr>
          <w:trHeight w:val="2175"/>
        </w:trPr>
        <w:tc>
          <w:tcPr>
            <w:tcW w:w="1560" w:type="dxa"/>
            <w:tcBorders>
              <w:top w:val="single" w:sz="6" w:space="0" w:color="CCCCCC"/>
              <w:left w:val="single" w:sz="6" w:space="0" w:color="000000"/>
              <w:bottom w:val="single" w:sz="6" w:space="0" w:color="000000"/>
              <w:right w:val="single" w:sz="6" w:space="0" w:color="000000"/>
            </w:tcBorders>
            <w:shd w:val="clear" w:color="auto" w:fill="F1F9F7"/>
            <w:tcMar>
              <w:top w:w="40" w:type="dxa"/>
              <w:left w:w="40" w:type="dxa"/>
              <w:bottom w:w="40" w:type="dxa"/>
              <w:right w:w="40" w:type="dxa"/>
            </w:tcMar>
          </w:tcPr>
          <w:p w14:paraId="7EEADA36" w14:textId="77777777" w:rsidR="005C34DA" w:rsidRPr="008A4226" w:rsidRDefault="005C34DA" w:rsidP="00BC5767">
            <w:pPr>
              <w:widowControl w:val="0"/>
              <w:rPr>
                <w:sz w:val="22"/>
                <w:szCs w:val="22"/>
              </w:rPr>
            </w:pPr>
            <w:r w:rsidRPr="008A4226">
              <w:rPr>
                <w:b/>
                <w:sz w:val="22"/>
                <w:szCs w:val="22"/>
              </w:rPr>
              <w:t>Funding categories</w:t>
            </w:r>
          </w:p>
        </w:tc>
        <w:tc>
          <w:tcPr>
            <w:tcW w:w="244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12C2507E" w14:textId="77777777" w:rsidR="005C34DA" w:rsidRPr="008A4226" w:rsidRDefault="005C34DA" w:rsidP="00BC5767">
            <w:pPr>
              <w:widowControl w:val="0"/>
              <w:rPr>
                <w:sz w:val="22"/>
                <w:szCs w:val="22"/>
              </w:rPr>
            </w:pPr>
            <w:r w:rsidRPr="008A4226">
              <w:rPr>
                <w:sz w:val="22"/>
                <w:szCs w:val="22"/>
              </w:rPr>
              <w:t>The thematic areas or priorities the fund supports. A fund may address multiple areas at the same time of just one, including mitigation, adaptation, resilience.</w:t>
            </w:r>
          </w:p>
        </w:tc>
        <w:tc>
          <w:tcPr>
            <w:tcW w:w="5343"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4396A373" w14:textId="77777777" w:rsidR="005C34DA" w:rsidRPr="008A4226" w:rsidRDefault="005C34DA" w:rsidP="00BC5767">
            <w:pPr>
              <w:widowControl w:val="0"/>
              <w:rPr>
                <w:sz w:val="22"/>
                <w:szCs w:val="22"/>
              </w:rPr>
            </w:pPr>
            <w:r w:rsidRPr="008A4226">
              <w:rPr>
                <w:sz w:val="22"/>
                <w:szCs w:val="22"/>
              </w:rPr>
              <w:t>1</w:t>
            </w:r>
            <w:r w:rsidRPr="008A4226">
              <w:rPr>
                <w:b/>
                <w:sz w:val="22"/>
                <w:szCs w:val="22"/>
              </w:rPr>
              <w:t>. Mitigation</w:t>
            </w:r>
            <w:r w:rsidRPr="008A4226">
              <w:rPr>
                <w:sz w:val="22"/>
                <w:szCs w:val="22"/>
              </w:rPr>
              <w:t>: Focuses on preventing further climate change by reducing greenhouse gas emissions through actions like transitioning to renewable energy, improving energy efficiency, and sustainable land management.</w:t>
            </w:r>
          </w:p>
          <w:p w14:paraId="05095D08" w14:textId="77777777" w:rsidR="005C34DA" w:rsidRPr="008A4226" w:rsidRDefault="005C34DA" w:rsidP="00BC5767">
            <w:pPr>
              <w:widowControl w:val="0"/>
              <w:rPr>
                <w:sz w:val="22"/>
                <w:szCs w:val="22"/>
              </w:rPr>
            </w:pPr>
            <w:r w:rsidRPr="008A4226">
              <w:rPr>
                <w:sz w:val="22"/>
                <w:szCs w:val="22"/>
              </w:rPr>
              <w:t>2</w:t>
            </w:r>
            <w:r w:rsidRPr="008A4226">
              <w:rPr>
                <w:b/>
                <w:sz w:val="22"/>
                <w:szCs w:val="22"/>
              </w:rPr>
              <w:t>. Adaptation</w:t>
            </w:r>
            <w:r w:rsidRPr="008A4226">
              <w:rPr>
                <w:sz w:val="22"/>
                <w:szCs w:val="22"/>
              </w:rPr>
              <w:t>: Aims to minimize the negative impacts of climate change that are already occurring by implementing measures like flood protection systems, drought-resistant crops, and coastal infrastructure upgrades.</w:t>
            </w:r>
          </w:p>
          <w:p w14:paraId="53429EBF" w14:textId="77777777" w:rsidR="005C34DA" w:rsidRPr="008A4226" w:rsidRDefault="005C34DA" w:rsidP="00BC5767">
            <w:pPr>
              <w:widowControl w:val="0"/>
              <w:rPr>
                <w:sz w:val="22"/>
                <w:szCs w:val="22"/>
              </w:rPr>
            </w:pPr>
            <w:r w:rsidRPr="008A4226">
              <w:rPr>
                <w:sz w:val="22"/>
                <w:szCs w:val="22"/>
              </w:rPr>
              <w:t>3</w:t>
            </w:r>
            <w:r w:rsidRPr="008A4226">
              <w:rPr>
                <w:b/>
                <w:sz w:val="22"/>
                <w:szCs w:val="22"/>
              </w:rPr>
              <w:t>. Resilience</w:t>
            </w:r>
            <w:r w:rsidRPr="008A4226">
              <w:rPr>
                <w:sz w:val="22"/>
                <w:szCs w:val="22"/>
              </w:rPr>
              <w:t>: Encompasses both mitigation and adaptation efforts, aiming to build the capacity of communities and ecosystems to withstand and recover from climate change impacts.</w:t>
            </w:r>
          </w:p>
        </w:tc>
      </w:tr>
      <w:tr w:rsidR="005C34DA" w:rsidRPr="008A4226" w14:paraId="39EAD5FD" w14:textId="77777777" w:rsidTr="00BC5767">
        <w:trPr>
          <w:trHeight w:val="1005"/>
        </w:trPr>
        <w:tc>
          <w:tcPr>
            <w:tcW w:w="1560" w:type="dxa"/>
            <w:tcBorders>
              <w:top w:val="single" w:sz="6" w:space="0" w:color="CCCCCC"/>
              <w:left w:val="single" w:sz="6" w:space="0" w:color="000000"/>
              <w:bottom w:val="single" w:sz="6" w:space="0" w:color="000000"/>
              <w:right w:val="single" w:sz="6" w:space="0" w:color="000000"/>
            </w:tcBorders>
            <w:shd w:val="clear" w:color="auto" w:fill="F1F9F7"/>
            <w:tcMar>
              <w:top w:w="40" w:type="dxa"/>
              <w:left w:w="40" w:type="dxa"/>
              <w:bottom w:w="40" w:type="dxa"/>
              <w:right w:w="40" w:type="dxa"/>
            </w:tcMar>
          </w:tcPr>
          <w:p w14:paraId="5917AB80" w14:textId="77777777" w:rsidR="005C34DA" w:rsidRPr="00902BFC" w:rsidRDefault="005C34DA" w:rsidP="00BC5767">
            <w:pPr>
              <w:widowControl w:val="0"/>
              <w:rPr>
                <w:b/>
                <w:sz w:val="22"/>
                <w:szCs w:val="22"/>
              </w:rPr>
            </w:pPr>
            <w:r w:rsidRPr="00902BFC">
              <w:rPr>
                <w:b/>
                <w:sz w:val="22"/>
                <w:szCs w:val="22"/>
              </w:rPr>
              <w:t>Geographic focus</w:t>
            </w:r>
          </w:p>
        </w:tc>
        <w:tc>
          <w:tcPr>
            <w:tcW w:w="244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7C1B27C9" w14:textId="5BF06EA4" w:rsidR="005C34DA" w:rsidRPr="008A4226" w:rsidRDefault="005C34DA" w:rsidP="00BC5767">
            <w:pPr>
              <w:widowControl w:val="0"/>
              <w:rPr>
                <w:sz w:val="22"/>
                <w:szCs w:val="22"/>
              </w:rPr>
            </w:pPr>
            <w:r w:rsidRPr="008A4226">
              <w:rPr>
                <w:sz w:val="22"/>
                <w:szCs w:val="22"/>
              </w:rPr>
              <w:t xml:space="preserve">The regions or countries where the fund is active, specifying national, regional, or global coverage. A fund could operate at multiple levels simultaneously, such as being both regional and national, or global and national, depending on its </w:t>
            </w:r>
            <w:r w:rsidR="00711FC0">
              <w:rPr>
                <w:sz w:val="22"/>
                <w:szCs w:val="22"/>
              </w:rPr>
              <w:t>coverage</w:t>
            </w:r>
            <w:r w:rsidR="00711FC0" w:rsidRPr="008A4226">
              <w:rPr>
                <w:sz w:val="22"/>
                <w:szCs w:val="22"/>
              </w:rPr>
              <w:t xml:space="preserve"> </w:t>
            </w:r>
            <w:r w:rsidRPr="008A4226">
              <w:rPr>
                <w:sz w:val="22"/>
                <w:szCs w:val="22"/>
              </w:rPr>
              <w:t>and implementation strategy.</w:t>
            </w:r>
          </w:p>
        </w:tc>
        <w:tc>
          <w:tcPr>
            <w:tcW w:w="5343"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8D24581" w14:textId="77777777" w:rsidR="005C34DA" w:rsidRPr="008A4226" w:rsidRDefault="005C34DA" w:rsidP="00BC5767">
            <w:pPr>
              <w:widowControl w:val="0"/>
              <w:rPr>
                <w:sz w:val="22"/>
                <w:szCs w:val="22"/>
              </w:rPr>
            </w:pPr>
            <w:r w:rsidRPr="008A4226">
              <w:rPr>
                <w:sz w:val="22"/>
                <w:szCs w:val="22"/>
              </w:rPr>
              <w:t>1.</w:t>
            </w:r>
            <w:r w:rsidRPr="008A4226">
              <w:rPr>
                <w:b/>
                <w:sz w:val="22"/>
                <w:szCs w:val="22"/>
              </w:rPr>
              <w:t xml:space="preserve"> Subnational</w:t>
            </w:r>
            <w:r w:rsidRPr="008A4226">
              <w:rPr>
                <w:sz w:val="22"/>
                <w:szCs w:val="22"/>
              </w:rPr>
              <w:t xml:space="preserve"> (a section of a country)</w:t>
            </w:r>
          </w:p>
          <w:p w14:paraId="75C12686" w14:textId="77777777" w:rsidR="005C34DA" w:rsidRPr="008A4226" w:rsidRDefault="005C34DA" w:rsidP="00BC5767">
            <w:pPr>
              <w:widowControl w:val="0"/>
              <w:rPr>
                <w:sz w:val="22"/>
                <w:szCs w:val="22"/>
              </w:rPr>
            </w:pPr>
            <w:r w:rsidRPr="008A4226">
              <w:rPr>
                <w:sz w:val="22"/>
                <w:szCs w:val="22"/>
              </w:rPr>
              <w:t xml:space="preserve">2. </w:t>
            </w:r>
            <w:r w:rsidRPr="008A4226">
              <w:rPr>
                <w:b/>
                <w:sz w:val="22"/>
                <w:szCs w:val="22"/>
              </w:rPr>
              <w:t xml:space="preserve">National </w:t>
            </w:r>
            <w:r w:rsidRPr="008A4226">
              <w:rPr>
                <w:sz w:val="22"/>
                <w:szCs w:val="22"/>
              </w:rPr>
              <w:t>(a specific country)</w:t>
            </w:r>
          </w:p>
          <w:p w14:paraId="0DEFD985" w14:textId="77777777" w:rsidR="005C34DA" w:rsidRPr="008A4226" w:rsidRDefault="005C34DA" w:rsidP="00BC5767">
            <w:pPr>
              <w:widowControl w:val="0"/>
              <w:rPr>
                <w:sz w:val="22"/>
                <w:szCs w:val="22"/>
              </w:rPr>
            </w:pPr>
            <w:r w:rsidRPr="008A4226">
              <w:rPr>
                <w:sz w:val="22"/>
                <w:szCs w:val="22"/>
              </w:rPr>
              <w:t xml:space="preserve">3. </w:t>
            </w:r>
            <w:r w:rsidRPr="008A4226">
              <w:rPr>
                <w:b/>
                <w:sz w:val="22"/>
                <w:szCs w:val="22"/>
              </w:rPr>
              <w:t xml:space="preserve">Regional </w:t>
            </w:r>
            <w:r w:rsidRPr="008A4226">
              <w:rPr>
                <w:sz w:val="22"/>
                <w:szCs w:val="22"/>
              </w:rPr>
              <w:t>(e.g., Sub-Saharan Africa, Southeast Asia)</w:t>
            </w:r>
          </w:p>
          <w:p w14:paraId="457879F0" w14:textId="77777777" w:rsidR="005C34DA" w:rsidRPr="008A4226" w:rsidRDefault="005C34DA" w:rsidP="00BC5767">
            <w:pPr>
              <w:widowControl w:val="0"/>
              <w:rPr>
                <w:sz w:val="22"/>
                <w:szCs w:val="22"/>
              </w:rPr>
            </w:pPr>
            <w:r w:rsidRPr="008A4226">
              <w:rPr>
                <w:sz w:val="22"/>
                <w:szCs w:val="22"/>
              </w:rPr>
              <w:t>4.</w:t>
            </w:r>
            <w:r w:rsidRPr="008A4226">
              <w:rPr>
                <w:b/>
                <w:sz w:val="22"/>
                <w:szCs w:val="22"/>
              </w:rPr>
              <w:t xml:space="preserve"> Global </w:t>
            </w:r>
            <w:r w:rsidRPr="008A4226">
              <w:rPr>
                <w:sz w:val="22"/>
                <w:szCs w:val="22"/>
              </w:rPr>
              <w:t>(multiple regions, countries)</w:t>
            </w:r>
          </w:p>
        </w:tc>
      </w:tr>
      <w:tr w:rsidR="005C34DA" w:rsidRPr="008A4226" w14:paraId="5EA22138" w14:textId="77777777" w:rsidTr="00BC5767">
        <w:trPr>
          <w:trHeight w:val="2865"/>
        </w:trPr>
        <w:tc>
          <w:tcPr>
            <w:tcW w:w="1560" w:type="dxa"/>
            <w:tcBorders>
              <w:top w:val="single" w:sz="6" w:space="0" w:color="CCCCCC"/>
              <w:left w:val="single" w:sz="6" w:space="0" w:color="000000"/>
              <w:bottom w:val="single" w:sz="6" w:space="0" w:color="000000"/>
              <w:right w:val="single" w:sz="6" w:space="0" w:color="000000"/>
            </w:tcBorders>
            <w:shd w:val="clear" w:color="auto" w:fill="F1F9F7"/>
            <w:tcMar>
              <w:top w:w="40" w:type="dxa"/>
              <w:left w:w="40" w:type="dxa"/>
              <w:bottom w:w="40" w:type="dxa"/>
              <w:right w:w="40" w:type="dxa"/>
            </w:tcMar>
          </w:tcPr>
          <w:p w14:paraId="012010AC" w14:textId="35037BBC" w:rsidR="005C34DA" w:rsidRPr="008A4226" w:rsidRDefault="00401E95" w:rsidP="00BC5767">
            <w:pPr>
              <w:widowControl w:val="0"/>
              <w:rPr>
                <w:b/>
                <w:sz w:val="22"/>
                <w:szCs w:val="22"/>
              </w:rPr>
            </w:pPr>
            <w:r>
              <w:rPr>
                <w:b/>
                <w:sz w:val="22"/>
                <w:szCs w:val="22"/>
              </w:rPr>
              <w:lastRenderedPageBreak/>
              <w:t>Social inclusion focus:</w:t>
            </w:r>
          </w:p>
          <w:p w14:paraId="462C4E15" w14:textId="31FBC78F" w:rsidR="005C34DA" w:rsidRPr="008A4226" w:rsidRDefault="005C34DA" w:rsidP="00BC5767">
            <w:pPr>
              <w:widowControl w:val="0"/>
              <w:rPr>
                <w:sz w:val="22"/>
                <w:szCs w:val="22"/>
              </w:rPr>
            </w:pPr>
            <w:r w:rsidRPr="008A4226">
              <w:rPr>
                <w:bCs/>
                <w:sz w:val="22"/>
                <w:szCs w:val="22"/>
              </w:rPr>
              <w:t xml:space="preserve">Fund </w:t>
            </w:r>
            <w:r w:rsidR="00A8680D">
              <w:rPr>
                <w:bCs/>
                <w:sz w:val="22"/>
                <w:szCs w:val="22"/>
              </w:rPr>
              <w:t>is</w:t>
            </w:r>
            <w:r w:rsidRPr="008A4226">
              <w:rPr>
                <w:bCs/>
                <w:sz w:val="22"/>
                <w:szCs w:val="22"/>
              </w:rPr>
              <w:t xml:space="preserve"> people</w:t>
            </w:r>
            <w:r w:rsidR="00A8680D">
              <w:rPr>
                <w:bCs/>
                <w:sz w:val="22"/>
                <w:szCs w:val="22"/>
              </w:rPr>
              <w:t>-centered</w:t>
            </w:r>
          </w:p>
        </w:tc>
        <w:tc>
          <w:tcPr>
            <w:tcW w:w="2445" w:type="dxa"/>
            <w:tcBorders>
              <w:top w:val="single" w:sz="6" w:space="0" w:color="CCCCCC"/>
              <w:left w:val="single" w:sz="6" w:space="0" w:color="CCCCCC"/>
              <w:bottom w:val="single" w:sz="6" w:space="0" w:color="CCCCCC"/>
              <w:right w:val="single" w:sz="6" w:space="0" w:color="000000"/>
            </w:tcBorders>
            <w:tcMar>
              <w:top w:w="40" w:type="dxa"/>
              <w:left w:w="40" w:type="dxa"/>
              <w:bottom w:w="40" w:type="dxa"/>
              <w:right w:w="40" w:type="dxa"/>
            </w:tcMar>
          </w:tcPr>
          <w:p w14:paraId="2CBC4CEE" w14:textId="77777777" w:rsidR="005C34DA" w:rsidRPr="008A4226" w:rsidRDefault="005C34DA" w:rsidP="00BC5767">
            <w:pPr>
              <w:widowControl w:val="0"/>
              <w:rPr>
                <w:sz w:val="22"/>
                <w:szCs w:val="22"/>
              </w:rPr>
            </w:pPr>
            <w:r w:rsidRPr="008A4226">
              <w:rPr>
                <w:sz w:val="22"/>
                <w:szCs w:val="22"/>
              </w:rPr>
              <w:t>This category evaluates whether the fund prioritizes human-centered approaches in its design and implementation. It considers the extent to which the fund supports the empowerment, engagement, and well-being of individuals and communities, emphasizing capacity-building and human development over resource distribution or infrastructure-focused interventions.</w:t>
            </w:r>
          </w:p>
        </w:tc>
        <w:tc>
          <w:tcPr>
            <w:tcW w:w="5343"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4EE00879" w14:textId="6C17B166" w:rsidR="005C34DA" w:rsidRPr="008A4226" w:rsidRDefault="005C34DA" w:rsidP="00BC5767">
            <w:pPr>
              <w:widowControl w:val="0"/>
              <w:rPr>
                <w:b/>
                <w:sz w:val="22"/>
                <w:szCs w:val="22"/>
              </w:rPr>
            </w:pPr>
            <w:r w:rsidRPr="008A4226">
              <w:rPr>
                <w:b/>
                <w:sz w:val="22"/>
                <w:szCs w:val="22"/>
              </w:rPr>
              <w:t>No (Resource-Oriented Focus)</w:t>
            </w:r>
          </w:p>
          <w:p w14:paraId="03B1E4C6" w14:textId="77777777" w:rsidR="005C34DA" w:rsidRPr="008A4226" w:rsidRDefault="005C34DA" w:rsidP="00BC5767">
            <w:pPr>
              <w:widowControl w:val="0"/>
              <w:rPr>
                <w:sz w:val="22"/>
                <w:szCs w:val="22"/>
              </w:rPr>
            </w:pPr>
            <w:r w:rsidRPr="008A4226">
              <w:rPr>
                <w:sz w:val="22"/>
                <w:szCs w:val="22"/>
              </w:rPr>
              <w:t>Description: The fund primarily focuses on managing and distributing resources, infrastructure, or assets, with limited emphasis on directly addressing the needs, engagement, or empowerment of individuals and communities. The approach prioritizes outputs related to material or systemic inputs over fostering human-centered outcomes.</w:t>
            </w:r>
          </w:p>
          <w:p w14:paraId="5AA23919" w14:textId="135A1506" w:rsidR="005C34DA" w:rsidRPr="008A4226" w:rsidRDefault="005C34DA" w:rsidP="00BC5767">
            <w:pPr>
              <w:widowControl w:val="0"/>
              <w:rPr>
                <w:b/>
                <w:sz w:val="22"/>
                <w:szCs w:val="22"/>
              </w:rPr>
            </w:pPr>
            <w:r w:rsidRPr="008A4226">
              <w:rPr>
                <w:b/>
                <w:sz w:val="22"/>
                <w:szCs w:val="22"/>
              </w:rPr>
              <w:t>Yes (People-</w:t>
            </w:r>
            <w:r w:rsidR="00A8680D">
              <w:rPr>
                <w:b/>
                <w:sz w:val="22"/>
                <w:szCs w:val="22"/>
              </w:rPr>
              <w:t>Centered</w:t>
            </w:r>
            <w:r w:rsidR="00A8680D" w:rsidRPr="008A4226">
              <w:rPr>
                <w:b/>
                <w:sz w:val="22"/>
                <w:szCs w:val="22"/>
              </w:rPr>
              <w:t xml:space="preserve"> </w:t>
            </w:r>
            <w:r w:rsidRPr="008A4226">
              <w:rPr>
                <w:b/>
                <w:sz w:val="22"/>
                <w:szCs w:val="22"/>
              </w:rPr>
              <w:t>Focus)</w:t>
            </w:r>
            <w:r w:rsidR="00B13C15">
              <w:rPr>
                <w:b/>
                <w:sz w:val="22"/>
                <w:szCs w:val="22"/>
              </w:rPr>
              <w:t xml:space="preserve"> </w:t>
            </w:r>
            <w:r w:rsidR="00B13C15" w:rsidRPr="008A4226">
              <w:rPr>
                <w:noProof/>
                <w:sz w:val="22"/>
                <w:szCs w:val="22"/>
              </w:rPr>
              <w:drawing>
                <wp:inline distT="0" distB="0" distL="0" distR="0" wp14:anchorId="7093A9C1" wp14:editId="6BE44074">
                  <wp:extent cx="256032" cy="256032"/>
                  <wp:effectExtent l="0" t="0" r="0" b="0"/>
                  <wp:docPr id="3233697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881749" name="Picture 1157881749"/>
                          <pic:cNvPicPr/>
                        </pic:nvPicPr>
                        <pic:blipFill>
                          <a:blip r:embed="rId5">
                            <a:extLst>
                              <a:ext uri="{28A0092B-C50C-407E-A947-70E740481C1C}">
                                <a14:useLocalDpi xmlns:a14="http://schemas.microsoft.com/office/drawing/2010/main" val="0"/>
                              </a:ext>
                            </a:extLst>
                          </a:blip>
                          <a:stretch>
                            <a:fillRect/>
                          </a:stretch>
                        </pic:blipFill>
                        <pic:spPr>
                          <a:xfrm>
                            <a:off x="0" y="0"/>
                            <a:ext cx="262068" cy="262068"/>
                          </a:xfrm>
                          <a:prstGeom prst="rect">
                            <a:avLst/>
                          </a:prstGeom>
                        </pic:spPr>
                      </pic:pic>
                    </a:graphicData>
                  </a:graphic>
                </wp:inline>
              </w:drawing>
            </w:r>
          </w:p>
          <w:p w14:paraId="1C7564A0" w14:textId="77777777" w:rsidR="005C34DA" w:rsidRPr="008A4226" w:rsidRDefault="005C34DA" w:rsidP="00BC5767">
            <w:pPr>
              <w:widowControl w:val="0"/>
              <w:rPr>
                <w:sz w:val="22"/>
                <w:szCs w:val="22"/>
              </w:rPr>
            </w:pPr>
            <w:r w:rsidRPr="008A4226">
              <w:rPr>
                <w:sz w:val="22"/>
                <w:szCs w:val="22"/>
              </w:rPr>
              <w:t>Description: The fund is centered on people, prioritizing the empowerment, engagement, and well-being of individuals and communities. It emphasizes fostering human development, capacity-building, and direct benefits to populations, ensuring that programs are designed with a focus on human-centered outcomes over material or systemic inputs.</w:t>
            </w:r>
          </w:p>
        </w:tc>
      </w:tr>
      <w:tr w:rsidR="005C34DA" w:rsidRPr="008A4226" w14:paraId="00F764E9" w14:textId="77777777" w:rsidTr="00902BFC">
        <w:trPr>
          <w:trHeight w:val="3105"/>
        </w:trPr>
        <w:tc>
          <w:tcPr>
            <w:tcW w:w="1560" w:type="dxa"/>
            <w:tcBorders>
              <w:top w:val="single" w:sz="6" w:space="0" w:color="CCCCCC"/>
              <w:left w:val="single" w:sz="6" w:space="0" w:color="000000"/>
              <w:bottom w:val="single" w:sz="6" w:space="0" w:color="CCCCCC"/>
              <w:right w:val="single" w:sz="6" w:space="0" w:color="000000"/>
            </w:tcBorders>
            <w:shd w:val="clear" w:color="auto" w:fill="F1F9F7"/>
            <w:tcMar>
              <w:top w:w="40" w:type="dxa"/>
              <w:left w:w="40" w:type="dxa"/>
              <w:bottom w:w="40" w:type="dxa"/>
              <w:right w:w="40" w:type="dxa"/>
            </w:tcMar>
          </w:tcPr>
          <w:p w14:paraId="0CE14C0C" w14:textId="3327302D" w:rsidR="005C34DA" w:rsidRPr="008A4226" w:rsidRDefault="00B13C15" w:rsidP="00BC5767">
            <w:pPr>
              <w:widowControl w:val="0"/>
              <w:rPr>
                <w:b/>
                <w:sz w:val="22"/>
                <w:szCs w:val="22"/>
              </w:rPr>
            </w:pPr>
            <w:r>
              <w:rPr>
                <w:b/>
                <w:sz w:val="22"/>
                <w:szCs w:val="22"/>
              </w:rPr>
              <w:t xml:space="preserve">Social inclusion focus: </w:t>
            </w:r>
          </w:p>
          <w:p w14:paraId="3A2F0EA6" w14:textId="09F186F7" w:rsidR="005C34DA" w:rsidRPr="008A4226" w:rsidRDefault="005C34DA" w:rsidP="00BC5767">
            <w:pPr>
              <w:widowControl w:val="0"/>
              <w:rPr>
                <w:bCs/>
                <w:sz w:val="22"/>
                <w:szCs w:val="22"/>
              </w:rPr>
            </w:pPr>
            <w:r w:rsidRPr="008A4226">
              <w:rPr>
                <w:bCs/>
                <w:sz w:val="22"/>
                <w:szCs w:val="22"/>
              </w:rPr>
              <w:t>Fund focus on gender</w:t>
            </w:r>
            <w:r w:rsidR="00A8680D">
              <w:rPr>
                <w:bCs/>
                <w:sz w:val="22"/>
                <w:szCs w:val="22"/>
              </w:rPr>
              <w:t xml:space="preserve"> equity</w:t>
            </w:r>
          </w:p>
        </w:tc>
        <w:tc>
          <w:tcPr>
            <w:tcW w:w="2445" w:type="dxa"/>
            <w:tcBorders>
              <w:top w:val="single" w:sz="6" w:space="0" w:color="CCCCCC"/>
              <w:left w:val="single" w:sz="6" w:space="0" w:color="CCCCCC"/>
              <w:bottom w:val="single" w:sz="6" w:space="0" w:color="CCCCCC"/>
              <w:right w:val="single" w:sz="6" w:space="0" w:color="000000"/>
            </w:tcBorders>
            <w:tcMar>
              <w:top w:w="40" w:type="dxa"/>
              <w:left w:w="40" w:type="dxa"/>
              <w:bottom w:w="40" w:type="dxa"/>
              <w:right w:w="40" w:type="dxa"/>
            </w:tcMar>
          </w:tcPr>
          <w:p w14:paraId="3A51C92D" w14:textId="77777777" w:rsidR="005C34DA" w:rsidRPr="008A4226" w:rsidRDefault="005C34DA" w:rsidP="00BC5767">
            <w:pPr>
              <w:widowControl w:val="0"/>
              <w:rPr>
                <w:sz w:val="22"/>
                <w:szCs w:val="22"/>
              </w:rPr>
            </w:pPr>
            <w:r w:rsidRPr="008A4226">
              <w:rPr>
                <w:sz w:val="22"/>
                <w:szCs w:val="22"/>
              </w:rPr>
              <w:t>This category assesses the degree to which the fund incorporates gender equality and women's empowerment in its pr</w:t>
            </w:r>
            <w:r w:rsidRPr="002A20A8">
              <w:rPr>
                <w:bCs/>
                <w:sz w:val="22"/>
                <w:szCs w:val="22"/>
              </w:rPr>
              <w:t xml:space="preserve">iorities. It evaluates whether gender considerations are mainstreamed into the fund’s objectives, </w:t>
            </w:r>
            <w:r w:rsidRPr="008A4226">
              <w:rPr>
                <w:sz w:val="22"/>
                <w:szCs w:val="22"/>
              </w:rPr>
              <w:t>resource allocation, and interventions, aiming to close gender gaps and address systemic barriers to equity from a gender perspective.</w:t>
            </w:r>
          </w:p>
        </w:tc>
        <w:tc>
          <w:tcPr>
            <w:tcW w:w="5343" w:type="dxa"/>
            <w:tcBorders>
              <w:top w:val="single" w:sz="6" w:space="0" w:color="CCCCCC"/>
              <w:left w:val="single" w:sz="6" w:space="0" w:color="CCCCCC"/>
              <w:bottom w:val="single" w:sz="6" w:space="0" w:color="CCCCCC"/>
              <w:right w:val="single" w:sz="6" w:space="0" w:color="000000"/>
            </w:tcBorders>
            <w:tcMar>
              <w:top w:w="40" w:type="dxa"/>
              <w:left w:w="40" w:type="dxa"/>
              <w:bottom w:w="40" w:type="dxa"/>
              <w:right w:w="40" w:type="dxa"/>
            </w:tcMar>
          </w:tcPr>
          <w:p w14:paraId="6E9F9923" w14:textId="6F28AC18" w:rsidR="005C34DA" w:rsidRPr="008A4226" w:rsidRDefault="005C34DA" w:rsidP="00BC5767">
            <w:pPr>
              <w:widowControl w:val="0"/>
              <w:rPr>
                <w:b/>
                <w:sz w:val="22"/>
                <w:szCs w:val="22"/>
              </w:rPr>
            </w:pPr>
            <w:r w:rsidRPr="008A4226">
              <w:rPr>
                <w:b/>
                <w:sz w:val="22"/>
                <w:szCs w:val="22"/>
              </w:rPr>
              <w:t>No (Unsatisfactory Gender Focus)</w:t>
            </w:r>
          </w:p>
          <w:p w14:paraId="7BC2D317" w14:textId="77777777" w:rsidR="005C34DA" w:rsidRPr="008A4226" w:rsidRDefault="005C34DA" w:rsidP="00BC5767">
            <w:pPr>
              <w:widowControl w:val="0"/>
              <w:rPr>
                <w:sz w:val="22"/>
                <w:szCs w:val="22"/>
              </w:rPr>
            </w:pPr>
            <w:r w:rsidRPr="008A4226">
              <w:rPr>
                <w:sz w:val="22"/>
                <w:szCs w:val="22"/>
              </w:rPr>
              <w:t>Gender concerns are not adequately identified, addressed, or mainstreamed in the project design, implementation, or completion. Operational measures are inadequate, gender-specific participation is limited or absent, and resource allocation does not support gender equality or women's empowerment. Efforts, if any, are vague, isolated, and fail to systematically improve gender equity.</w:t>
            </w:r>
          </w:p>
          <w:p w14:paraId="7C291176" w14:textId="557F5BF6" w:rsidR="005C34DA" w:rsidRPr="008A4226" w:rsidRDefault="005C34DA" w:rsidP="00BC5767">
            <w:pPr>
              <w:widowControl w:val="0"/>
              <w:rPr>
                <w:b/>
                <w:sz w:val="22"/>
                <w:szCs w:val="22"/>
              </w:rPr>
            </w:pPr>
            <w:r w:rsidRPr="008A4226">
              <w:rPr>
                <w:b/>
                <w:sz w:val="22"/>
                <w:szCs w:val="22"/>
              </w:rPr>
              <w:t>Yes (Satisfactory Gender Focus)</w:t>
            </w:r>
            <w:r w:rsidR="00FA7504">
              <w:rPr>
                <w:b/>
                <w:sz w:val="22"/>
                <w:szCs w:val="22"/>
              </w:rPr>
              <w:t xml:space="preserve"> </w:t>
            </w:r>
            <w:r w:rsidR="00FA7504" w:rsidRPr="008A4226">
              <w:rPr>
                <w:noProof/>
                <w:sz w:val="22"/>
                <w:szCs w:val="22"/>
              </w:rPr>
              <w:drawing>
                <wp:inline distT="0" distB="0" distL="0" distR="0" wp14:anchorId="42E9088B" wp14:editId="00F98EFF">
                  <wp:extent cx="263347" cy="263347"/>
                  <wp:effectExtent l="0" t="0" r="3810" b="3810"/>
                  <wp:docPr id="14708125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249841" name="Picture 620249841"/>
                          <pic:cNvPicPr/>
                        </pic:nvPicPr>
                        <pic:blipFill>
                          <a:blip r:embed="rId6">
                            <a:extLst>
                              <a:ext uri="{28A0092B-C50C-407E-A947-70E740481C1C}">
                                <a14:useLocalDpi xmlns:a14="http://schemas.microsoft.com/office/drawing/2010/main" val="0"/>
                              </a:ext>
                            </a:extLst>
                          </a:blip>
                          <a:stretch>
                            <a:fillRect/>
                          </a:stretch>
                        </pic:blipFill>
                        <pic:spPr>
                          <a:xfrm>
                            <a:off x="0" y="0"/>
                            <a:ext cx="270278" cy="270278"/>
                          </a:xfrm>
                          <a:prstGeom prst="rect">
                            <a:avLst/>
                          </a:prstGeom>
                        </pic:spPr>
                      </pic:pic>
                    </a:graphicData>
                  </a:graphic>
                </wp:inline>
              </w:drawing>
            </w:r>
          </w:p>
          <w:p w14:paraId="4E8FE2AA" w14:textId="77777777" w:rsidR="005C34DA" w:rsidRPr="008A4226" w:rsidRDefault="005C34DA" w:rsidP="00BC5767">
            <w:pPr>
              <w:widowControl w:val="0"/>
              <w:rPr>
                <w:sz w:val="22"/>
                <w:szCs w:val="22"/>
              </w:rPr>
            </w:pPr>
            <w:r w:rsidRPr="008A4226">
              <w:rPr>
                <w:sz w:val="22"/>
                <w:szCs w:val="22"/>
              </w:rPr>
              <w:t>Description: Gender considerations are meaningfully integrated and mainstreamed into the project, addressing multiple gender policy objectives. Measures are implemented to ensure gender-differentiated participation, with adequate resource allocation. Projects promote gender equality or transformation by engaging stakeholders, addressing systemic barriers, and creating sustainable benefits for women and other marginalized groups.</w:t>
            </w:r>
          </w:p>
        </w:tc>
      </w:tr>
      <w:tr w:rsidR="00FA7504" w:rsidRPr="008A4226" w14:paraId="08BC9D69" w14:textId="77777777" w:rsidTr="00BC5767">
        <w:trPr>
          <w:trHeight w:val="3105"/>
        </w:trPr>
        <w:tc>
          <w:tcPr>
            <w:tcW w:w="1560" w:type="dxa"/>
            <w:tcBorders>
              <w:top w:val="single" w:sz="6" w:space="0" w:color="CCCCCC"/>
              <w:left w:val="single" w:sz="6" w:space="0" w:color="000000"/>
              <w:bottom w:val="single" w:sz="6" w:space="0" w:color="000000"/>
              <w:right w:val="single" w:sz="6" w:space="0" w:color="000000"/>
            </w:tcBorders>
            <w:shd w:val="clear" w:color="auto" w:fill="F1F9F7"/>
            <w:tcMar>
              <w:top w:w="40" w:type="dxa"/>
              <w:left w:w="40" w:type="dxa"/>
              <w:bottom w:w="40" w:type="dxa"/>
              <w:right w:w="40" w:type="dxa"/>
            </w:tcMar>
          </w:tcPr>
          <w:p w14:paraId="1B0B070E" w14:textId="061C6AF2" w:rsidR="00FA7504" w:rsidRPr="008A4226" w:rsidRDefault="00FA7504" w:rsidP="00FA7504">
            <w:pPr>
              <w:widowControl w:val="0"/>
              <w:rPr>
                <w:b/>
                <w:sz w:val="22"/>
                <w:szCs w:val="22"/>
              </w:rPr>
            </w:pPr>
            <w:r>
              <w:rPr>
                <w:b/>
                <w:sz w:val="22"/>
                <w:szCs w:val="22"/>
              </w:rPr>
              <w:lastRenderedPageBreak/>
              <w:t xml:space="preserve">Social inclusion focus: </w:t>
            </w:r>
          </w:p>
          <w:p w14:paraId="2FE2FB46" w14:textId="50CF3D23" w:rsidR="00FA7504" w:rsidRDefault="00FA7504" w:rsidP="00FA7504">
            <w:pPr>
              <w:widowControl w:val="0"/>
              <w:rPr>
                <w:bCs/>
                <w:sz w:val="22"/>
                <w:szCs w:val="22"/>
              </w:rPr>
            </w:pPr>
            <w:r w:rsidRPr="008A4226">
              <w:rPr>
                <w:bCs/>
                <w:sz w:val="22"/>
                <w:szCs w:val="22"/>
              </w:rPr>
              <w:t xml:space="preserve">Fund focus </w:t>
            </w:r>
            <w:r w:rsidR="00900945" w:rsidRPr="00900945">
              <w:rPr>
                <w:bCs/>
                <w:sz w:val="22"/>
                <w:szCs w:val="22"/>
              </w:rPr>
              <w:t>on equity beyond gender</w:t>
            </w:r>
          </w:p>
          <w:p w14:paraId="496A5CC4" w14:textId="111A58EA" w:rsidR="00900945" w:rsidRPr="00902BFC" w:rsidRDefault="00900945" w:rsidP="00902BFC">
            <w:pPr>
              <w:jc w:val="center"/>
              <w:rPr>
                <w:sz w:val="22"/>
                <w:szCs w:val="22"/>
              </w:rPr>
            </w:pPr>
          </w:p>
        </w:tc>
        <w:tc>
          <w:tcPr>
            <w:tcW w:w="2445"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1075AEB6" w14:textId="7AE925B8" w:rsidR="00FA7504" w:rsidRPr="008A4226" w:rsidRDefault="00DF5480" w:rsidP="00BC5767">
            <w:pPr>
              <w:widowControl w:val="0"/>
              <w:rPr>
                <w:sz w:val="22"/>
                <w:szCs w:val="22"/>
              </w:rPr>
            </w:pPr>
            <w:r w:rsidRPr="00DF5480">
              <w:rPr>
                <w:sz w:val="22"/>
                <w:szCs w:val="22"/>
              </w:rPr>
              <w:t>This category explores the fund’s commitment to addressing inequities beyond gender by focusing on marginalized and vulnerable populations. It evaluates how well the fund supports the inclusion and empowerment of groups such as indigenous peoples, persons with disabilities, older adults, and communities in fragile or conflict-affected contexts, ensuring an intersectional approach to equity.</w:t>
            </w:r>
          </w:p>
        </w:tc>
        <w:tc>
          <w:tcPr>
            <w:tcW w:w="5343"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5C81E93D" w14:textId="7A02B626" w:rsidR="00DF5480" w:rsidRPr="00DF5480" w:rsidRDefault="00DF5480" w:rsidP="00DF5480">
            <w:pPr>
              <w:widowControl w:val="0"/>
              <w:rPr>
                <w:b/>
                <w:sz w:val="22"/>
                <w:szCs w:val="22"/>
              </w:rPr>
            </w:pPr>
            <w:r w:rsidRPr="00DF5480">
              <w:rPr>
                <w:b/>
                <w:sz w:val="22"/>
                <w:szCs w:val="22"/>
              </w:rPr>
              <w:t>No (Unsatisfactory Equity Focus Beyond Gender)</w:t>
            </w:r>
          </w:p>
          <w:p w14:paraId="7EDDC311" w14:textId="77777777" w:rsidR="00DF5480" w:rsidRPr="002A20A8" w:rsidRDefault="00DF5480" w:rsidP="00DF5480">
            <w:pPr>
              <w:widowControl w:val="0"/>
              <w:rPr>
                <w:bCs/>
                <w:sz w:val="22"/>
                <w:szCs w:val="22"/>
              </w:rPr>
            </w:pPr>
            <w:r w:rsidRPr="002A20A8">
              <w:rPr>
                <w:bCs/>
                <w:sz w:val="22"/>
                <w:szCs w:val="22"/>
              </w:rPr>
              <w:t>Description: The fund does not prioritize or address the specific needs of marginalized groups beyond gender. Populations such as indigenous peoples, persons with disabilities, older adults, or those in fragile or conflict-affected contexts are overlooked. Interventions lack an inclusive or intersectional approach, and there is no evidence of efforts to reduce systemic inequities among these groups.</w:t>
            </w:r>
          </w:p>
          <w:p w14:paraId="1C915153" w14:textId="77777777" w:rsidR="00DF5480" w:rsidRPr="00DF5480" w:rsidRDefault="00DF5480" w:rsidP="00DF5480">
            <w:pPr>
              <w:widowControl w:val="0"/>
              <w:rPr>
                <w:b/>
                <w:sz w:val="22"/>
                <w:szCs w:val="22"/>
              </w:rPr>
            </w:pPr>
          </w:p>
          <w:p w14:paraId="7988F744" w14:textId="447A0071" w:rsidR="002A20A8" w:rsidRDefault="00DF5480" w:rsidP="00583BB7">
            <w:pPr>
              <w:widowControl w:val="0"/>
              <w:rPr>
                <w:b/>
                <w:sz w:val="22"/>
                <w:szCs w:val="22"/>
              </w:rPr>
            </w:pPr>
            <w:r w:rsidRPr="00DF5480">
              <w:rPr>
                <w:b/>
                <w:sz w:val="22"/>
                <w:szCs w:val="22"/>
              </w:rPr>
              <w:t xml:space="preserve">Yes (Equity beyond Gender Focus) </w:t>
            </w:r>
            <w:r w:rsidRPr="008A4226">
              <w:rPr>
                <w:noProof/>
                <w:sz w:val="22"/>
                <w:szCs w:val="22"/>
              </w:rPr>
              <w:drawing>
                <wp:inline distT="0" distB="0" distL="0" distR="0" wp14:anchorId="43D74AE5" wp14:editId="709310E8">
                  <wp:extent cx="194209" cy="194209"/>
                  <wp:effectExtent l="0" t="0" r="0" b="0"/>
                  <wp:docPr id="1137105893" name="Picture 3"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853408" name="Picture 3" descr="A black background with a black square&#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flipH="1">
                            <a:off x="0" y="0"/>
                            <a:ext cx="230883" cy="230883"/>
                          </a:xfrm>
                          <a:prstGeom prst="rect">
                            <a:avLst/>
                          </a:prstGeom>
                        </pic:spPr>
                      </pic:pic>
                    </a:graphicData>
                  </a:graphic>
                </wp:inline>
              </w:drawing>
            </w:r>
          </w:p>
          <w:p w14:paraId="419C10BC" w14:textId="2D7B9828" w:rsidR="00A8680D" w:rsidRPr="002A20A8" w:rsidRDefault="00DF5480" w:rsidP="00583BB7">
            <w:pPr>
              <w:widowControl w:val="0"/>
              <w:rPr>
                <w:bCs/>
                <w:sz w:val="22"/>
                <w:szCs w:val="22"/>
              </w:rPr>
            </w:pPr>
            <w:r w:rsidRPr="002A20A8">
              <w:rPr>
                <w:bCs/>
                <w:sz w:val="22"/>
                <w:szCs w:val="22"/>
              </w:rPr>
              <w:t>Description: The fund actively prioritizes and addresses the needs of marginalized populations beyond gender, such as indigenous peoples, persons with disabilities, older adults, and communities in fragile or conflict-affected contexts. Interventions are inclusive and intersectional, with a clear focus on reducing systemic inequities and promoting meaningful participation and benefits for these groups.</w:t>
            </w:r>
          </w:p>
          <w:p w14:paraId="0DBC37FD" w14:textId="6ED5D343" w:rsidR="00A8680D" w:rsidRPr="00583BB7" w:rsidRDefault="00A8680D" w:rsidP="00583BB7">
            <w:pPr>
              <w:tabs>
                <w:tab w:val="left" w:pos="1803"/>
              </w:tabs>
              <w:rPr>
                <w:sz w:val="22"/>
                <w:szCs w:val="22"/>
              </w:rPr>
            </w:pPr>
          </w:p>
        </w:tc>
      </w:tr>
    </w:tbl>
    <w:p w14:paraId="2DE6E742" w14:textId="77777777" w:rsidR="005C34DA" w:rsidRPr="008A4226" w:rsidRDefault="005C34DA" w:rsidP="005C34DA">
      <w:pPr>
        <w:spacing w:after="200"/>
        <w:rPr>
          <w:b/>
          <w:bCs/>
          <w:i/>
          <w:sz w:val="22"/>
          <w:szCs w:val="22"/>
        </w:rPr>
      </w:pPr>
    </w:p>
    <w:p w14:paraId="6E965AE1" w14:textId="18C0DE11" w:rsidR="005C34DA" w:rsidRPr="008A4226" w:rsidRDefault="005C34DA" w:rsidP="005C34DA">
      <w:pPr>
        <w:spacing w:after="160" w:line="278" w:lineRule="auto"/>
        <w:rPr>
          <w:sz w:val="22"/>
          <w:szCs w:val="22"/>
        </w:rPr>
      </w:pPr>
    </w:p>
    <w:p w14:paraId="46BD5CC0" w14:textId="77777777" w:rsidR="00437592" w:rsidRDefault="00437592">
      <w:pPr>
        <w:rPr>
          <w:b/>
          <w:bCs/>
          <w:sz w:val="22"/>
          <w:szCs w:val="22"/>
        </w:rPr>
      </w:pPr>
      <w:bookmarkStart w:id="0" w:name="OLE_LINK3"/>
      <w:r>
        <w:rPr>
          <w:b/>
          <w:bCs/>
          <w:sz w:val="22"/>
          <w:szCs w:val="22"/>
        </w:rPr>
        <w:br w:type="page"/>
      </w:r>
    </w:p>
    <w:p w14:paraId="19294DFF" w14:textId="05C08BBC" w:rsidR="005C34DA" w:rsidRPr="008A4226" w:rsidRDefault="005C34DA" w:rsidP="005C34DA">
      <w:pPr>
        <w:rPr>
          <w:b/>
          <w:bCs/>
          <w:sz w:val="22"/>
          <w:szCs w:val="22"/>
        </w:rPr>
      </w:pPr>
      <w:r w:rsidRPr="008A4226">
        <w:rPr>
          <w:b/>
          <w:bCs/>
          <w:sz w:val="22"/>
          <w:szCs w:val="22"/>
        </w:rPr>
        <w:lastRenderedPageBreak/>
        <w:t xml:space="preserve">Table S.2. High-impact evidence based nutrition interventions identified in the Investment Framework for Nutrition 2024 </w:t>
      </w:r>
      <w:r>
        <w:rPr>
          <w:b/>
          <w:bCs/>
          <w:sz w:val="22"/>
          <w:szCs w:val="22"/>
        </w:rPr>
        <w:fldChar w:fldCharType="begin"/>
      </w:r>
      <w:r>
        <w:rPr>
          <w:b/>
          <w:bCs/>
          <w:sz w:val="22"/>
          <w:szCs w:val="22"/>
        </w:rPr>
        <w:instrText xml:space="preserve"> ADDIN ZOTERO_ITEM CSL_CITATION {"citationID":"lsLOeIOh","properties":{"formattedCitation":"[1]","plainCitation":"[1]","noteIndex":0},"citationItems":[{"id":109,"uris":["http://zotero.org/users/13596477/items/MFECF3XB"],"itemData":{"id":109,"type":"report","event-place":"Washington, DC: World Bank.","publisher-place":"Washington, DC: World Bank.","title":"Investment Framework for Nutrition","author":[{"family":"Shekar","given":"Meera"},{"family":"Okamura","given":"Kyoto Shibata"},{"family":"Vilar-Compte","given":"Mireya"},{"family":"Dell’Aira","given":"Chiara"}],"issued":{"date-parts":[["2024"]]}}}],"schema":"https://github.com/citation-style-language/schema/raw/master/csl-citation.json"} </w:instrText>
      </w:r>
      <w:r>
        <w:rPr>
          <w:b/>
          <w:bCs/>
          <w:sz w:val="22"/>
          <w:szCs w:val="22"/>
        </w:rPr>
        <w:fldChar w:fldCharType="separate"/>
      </w:r>
      <w:r>
        <w:rPr>
          <w:b/>
          <w:bCs/>
          <w:noProof/>
          <w:sz w:val="22"/>
          <w:szCs w:val="22"/>
        </w:rPr>
        <w:t>[1]</w:t>
      </w:r>
      <w:r>
        <w:rPr>
          <w:b/>
          <w:bCs/>
          <w:sz w:val="22"/>
          <w:szCs w:val="22"/>
        </w:rPr>
        <w:fldChar w:fldCharType="end"/>
      </w:r>
      <w:r w:rsidRPr="008A4226">
        <w:rPr>
          <w:b/>
          <w:bCs/>
          <w:sz w:val="22"/>
          <w:szCs w:val="22"/>
        </w:rPr>
        <w:br/>
      </w:r>
    </w:p>
    <w:p w14:paraId="60A1E476" w14:textId="469DE36B" w:rsidR="005C34DA" w:rsidRPr="008A4226" w:rsidRDefault="005C34DA" w:rsidP="005C34DA">
      <w:pPr>
        <w:rPr>
          <w:b/>
          <w:bCs/>
          <w:sz w:val="22"/>
          <w:szCs w:val="22"/>
        </w:rPr>
      </w:pPr>
      <w:r w:rsidRPr="008A4226">
        <w:rPr>
          <w:sz w:val="22"/>
          <w:szCs w:val="22"/>
        </w:rPr>
        <w:t xml:space="preserve">The third </w:t>
      </w:r>
      <w:r w:rsidR="00801652">
        <w:rPr>
          <w:sz w:val="22"/>
          <w:szCs w:val="22"/>
        </w:rPr>
        <w:t xml:space="preserve">scoring </w:t>
      </w:r>
      <w:r w:rsidRPr="008A4226">
        <w:rPr>
          <w:sz w:val="22"/>
          <w:szCs w:val="22"/>
        </w:rPr>
        <w:t>criterion</w:t>
      </w:r>
      <w:r w:rsidR="00801652">
        <w:rPr>
          <w:sz w:val="22"/>
          <w:szCs w:val="22"/>
        </w:rPr>
        <w:t xml:space="preserve"> for the evaluation of the </w:t>
      </w:r>
      <w:r w:rsidR="00D40F9C">
        <w:rPr>
          <w:sz w:val="22"/>
          <w:szCs w:val="22"/>
        </w:rPr>
        <w:t xml:space="preserve">funds’ </w:t>
      </w:r>
      <w:r w:rsidR="00801652">
        <w:rPr>
          <w:sz w:val="22"/>
          <w:szCs w:val="22"/>
        </w:rPr>
        <w:t xml:space="preserve">scope for nutrition </w:t>
      </w:r>
      <w:r w:rsidR="00D40F9C">
        <w:rPr>
          <w:sz w:val="22"/>
          <w:szCs w:val="22"/>
        </w:rPr>
        <w:t>integration</w:t>
      </w:r>
      <w:r w:rsidR="00D40F9C">
        <w:rPr>
          <w:sz w:val="22"/>
          <w:szCs w:val="22"/>
        </w:rPr>
        <w:t xml:space="preserve"> </w:t>
      </w:r>
      <w:r w:rsidR="00801652">
        <w:rPr>
          <w:sz w:val="22"/>
          <w:szCs w:val="22"/>
        </w:rPr>
        <w:t>focuses</w:t>
      </w:r>
      <w:r w:rsidRPr="008A4226">
        <w:rPr>
          <w:sz w:val="22"/>
          <w:szCs w:val="22"/>
        </w:rPr>
        <w:t xml:space="preserve"> on the visibility of nutrition as an explicit focus</w:t>
      </w:r>
      <w:r w:rsidR="00801652">
        <w:rPr>
          <w:sz w:val="22"/>
          <w:szCs w:val="22"/>
        </w:rPr>
        <w:t>. This</w:t>
      </w:r>
      <w:r w:rsidRPr="008A4226">
        <w:rPr>
          <w:sz w:val="22"/>
          <w:szCs w:val="22"/>
        </w:rPr>
        <w:t xml:space="preserve"> includes consideration of the robustness of the potential nutrition activities mentioned by the fund. The Investment Framework for Nutrition (Shekar et al., 2024) provides the most updated systematic review of evidence on nutrition interventions. These interventions are listed in the table below when relevant for climate change-related action, as highlighted in the 'Examples of association with climate' column. Specific activities highlighted by the fund that do not fall within this list but may still impact nutrition were also positively scored in the criterion, although with a slightly lower rating given the current limited evidence available on the magnitude of their specific impact on nutrition outcomes.</w:t>
      </w:r>
    </w:p>
    <w:tbl>
      <w:tblPr>
        <w:tblW w:w="9348" w:type="dxa"/>
        <w:tblBorders>
          <w:top w:val="nil"/>
          <w:left w:val="nil"/>
          <w:bottom w:val="nil"/>
          <w:right w:val="nil"/>
          <w:insideH w:val="nil"/>
          <w:insideV w:val="nil"/>
        </w:tblBorders>
        <w:tblLayout w:type="fixed"/>
        <w:tblLook w:val="0600" w:firstRow="0" w:lastRow="0" w:firstColumn="0" w:lastColumn="0" w:noHBand="1" w:noVBand="1"/>
      </w:tblPr>
      <w:tblGrid>
        <w:gridCol w:w="1995"/>
        <w:gridCol w:w="1770"/>
        <w:gridCol w:w="5583"/>
      </w:tblGrid>
      <w:tr w:rsidR="005C34DA" w:rsidRPr="008A4226" w14:paraId="484E8904" w14:textId="77777777" w:rsidTr="00BC5767">
        <w:trPr>
          <w:trHeight w:val="315"/>
        </w:trPr>
        <w:tc>
          <w:tcPr>
            <w:tcW w:w="1995" w:type="dxa"/>
            <w:tcBorders>
              <w:top w:val="single" w:sz="6" w:space="0" w:color="CCCCCC"/>
              <w:left w:val="single" w:sz="6" w:space="0" w:color="000000"/>
              <w:bottom w:val="single" w:sz="6" w:space="0" w:color="000000"/>
              <w:right w:val="single" w:sz="6" w:space="0" w:color="000000"/>
            </w:tcBorders>
            <w:shd w:val="clear" w:color="auto" w:fill="F1F9F7"/>
            <w:tcMar>
              <w:top w:w="40" w:type="dxa"/>
              <w:left w:w="40" w:type="dxa"/>
              <w:bottom w:w="40" w:type="dxa"/>
              <w:right w:w="40" w:type="dxa"/>
            </w:tcMar>
          </w:tcPr>
          <w:bookmarkEnd w:id="0"/>
          <w:p w14:paraId="3DC65EE1" w14:textId="77777777" w:rsidR="005C34DA" w:rsidRPr="008A4226" w:rsidRDefault="005C34DA" w:rsidP="00BC5767">
            <w:pPr>
              <w:widowControl w:val="0"/>
              <w:rPr>
                <w:sz w:val="22"/>
                <w:szCs w:val="22"/>
              </w:rPr>
            </w:pPr>
            <w:r w:rsidRPr="008A4226">
              <w:rPr>
                <w:b/>
                <w:sz w:val="22"/>
                <w:szCs w:val="22"/>
              </w:rPr>
              <w:t>Sector –type</w:t>
            </w:r>
          </w:p>
        </w:tc>
        <w:tc>
          <w:tcPr>
            <w:tcW w:w="1770" w:type="dxa"/>
            <w:tcBorders>
              <w:top w:val="single" w:sz="6" w:space="0" w:color="CCCCCC"/>
              <w:left w:val="single" w:sz="6" w:space="0" w:color="CCCCCC"/>
              <w:bottom w:val="single" w:sz="6" w:space="0" w:color="000000"/>
              <w:right w:val="single" w:sz="6" w:space="0" w:color="000000"/>
            </w:tcBorders>
            <w:shd w:val="clear" w:color="auto" w:fill="F1F9F7"/>
            <w:tcMar>
              <w:top w:w="40" w:type="dxa"/>
              <w:left w:w="40" w:type="dxa"/>
              <w:bottom w:w="40" w:type="dxa"/>
              <w:right w:w="40" w:type="dxa"/>
            </w:tcMar>
          </w:tcPr>
          <w:p w14:paraId="7E32B9AC" w14:textId="77777777" w:rsidR="005C34DA" w:rsidRPr="008A4226" w:rsidRDefault="005C34DA" w:rsidP="00BC5767">
            <w:pPr>
              <w:widowControl w:val="0"/>
              <w:rPr>
                <w:sz w:val="22"/>
                <w:szCs w:val="22"/>
              </w:rPr>
            </w:pPr>
            <w:r w:rsidRPr="008A4226">
              <w:rPr>
                <w:b/>
                <w:sz w:val="22"/>
                <w:szCs w:val="22"/>
              </w:rPr>
              <w:t>High-impact effective nutrition interventions</w:t>
            </w:r>
          </w:p>
        </w:tc>
        <w:tc>
          <w:tcPr>
            <w:tcW w:w="5583" w:type="dxa"/>
            <w:tcBorders>
              <w:top w:val="single" w:sz="6" w:space="0" w:color="CCCCCC"/>
              <w:left w:val="single" w:sz="6" w:space="0" w:color="CCCCCC"/>
              <w:bottom w:val="single" w:sz="6" w:space="0" w:color="000000"/>
              <w:right w:val="single" w:sz="6" w:space="0" w:color="000000"/>
            </w:tcBorders>
            <w:shd w:val="clear" w:color="auto" w:fill="F1F9F7"/>
            <w:tcMar>
              <w:top w:w="40" w:type="dxa"/>
              <w:left w:w="40" w:type="dxa"/>
              <w:bottom w:w="40" w:type="dxa"/>
              <w:right w:w="40" w:type="dxa"/>
            </w:tcMar>
          </w:tcPr>
          <w:p w14:paraId="7B09F6D0" w14:textId="77777777" w:rsidR="005C34DA" w:rsidRPr="008A4226" w:rsidRDefault="005C34DA" w:rsidP="00BC5767">
            <w:pPr>
              <w:widowControl w:val="0"/>
              <w:rPr>
                <w:sz w:val="22"/>
                <w:szCs w:val="22"/>
              </w:rPr>
            </w:pPr>
            <w:r w:rsidRPr="008A4226">
              <w:rPr>
                <w:b/>
                <w:sz w:val="22"/>
                <w:szCs w:val="22"/>
              </w:rPr>
              <w:t>Examples of association with climate</w:t>
            </w:r>
          </w:p>
        </w:tc>
      </w:tr>
      <w:tr w:rsidR="005C34DA" w:rsidRPr="008A4226" w14:paraId="35C332A0" w14:textId="77777777" w:rsidTr="00BC5767">
        <w:trPr>
          <w:trHeight w:val="1245"/>
        </w:trPr>
        <w:tc>
          <w:tcPr>
            <w:tcW w:w="1995" w:type="dxa"/>
            <w:tcBorders>
              <w:top w:val="single" w:sz="6" w:space="0" w:color="CCCCCC"/>
              <w:left w:val="single" w:sz="6" w:space="0" w:color="000000"/>
              <w:bottom w:val="single" w:sz="6" w:space="0" w:color="000000"/>
              <w:right w:val="single" w:sz="6" w:space="0" w:color="000000"/>
            </w:tcBorders>
            <w:shd w:val="clear" w:color="auto" w:fill="F1F9F7"/>
            <w:tcMar>
              <w:top w:w="40" w:type="dxa"/>
              <w:left w:w="40" w:type="dxa"/>
              <w:bottom w:w="40" w:type="dxa"/>
              <w:right w:w="40" w:type="dxa"/>
            </w:tcMar>
          </w:tcPr>
          <w:p w14:paraId="07EB373F" w14:textId="77777777" w:rsidR="005C34DA" w:rsidRPr="008A4226" w:rsidRDefault="005C34DA" w:rsidP="00BC5767">
            <w:pPr>
              <w:widowControl w:val="0"/>
              <w:rPr>
                <w:sz w:val="22"/>
                <w:szCs w:val="22"/>
              </w:rPr>
            </w:pPr>
            <w:r w:rsidRPr="008A4226">
              <w:rPr>
                <w:b/>
                <w:sz w:val="22"/>
                <w:szCs w:val="22"/>
              </w:rPr>
              <w:t>Health – micronutrient supplementation, prenatal and children (6-59 months)</w:t>
            </w:r>
          </w:p>
        </w:tc>
        <w:tc>
          <w:tcPr>
            <w:tcW w:w="177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65B328BA" w14:textId="77777777" w:rsidR="005C34DA" w:rsidRPr="008A4226" w:rsidRDefault="005C34DA" w:rsidP="00BC5767">
            <w:pPr>
              <w:widowControl w:val="0"/>
              <w:rPr>
                <w:sz w:val="22"/>
                <w:szCs w:val="22"/>
              </w:rPr>
            </w:pPr>
            <w:r w:rsidRPr="008A4226">
              <w:rPr>
                <w:sz w:val="22"/>
                <w:szCs w:val="22"/>
              </w:rPr>
              <w:t>· Iron/ Iron folic acid supplementation</w:t>
            </w:r>
          </w:p>
          <w:p w14:paraId="252E544B" w14:textId="77777777" w:rsidR="005C34DA" w:rsidRPr="008A4226" w:rsidRDefault="005C34DA" w:rsidP="00BC5767">
            <w:pPr>
              <w:widowControl w:val="0"/>
              <w:rPr>
                <w:sz w:val="22"/>
                <w:szCs w:val="22"/>
              </w:rPr>
            </w:pPr>
            <w:r w:rsidRPr="008A4226">
              <w:rPr>
                <w:sz w:val="22"/>
                <w:szCs w:val="22"/>
              </w:rPr>
              <w:t>· Multiple micronutrient supplementation (MMS)</w:t>
            </w:r>
          </w:p>
          <w:p w14:paraId="7D648A39" w14:textId="77777777" w:rsidR="005C34DA" w:rsidRPr="008A4226" w:rsidRDefault="005C34DA" w:rsidP="00BC5767">
            <w:pPr>
              <w:widowControl w:val="0"/>
              <w:rPr>
                <w:sz w:val="22"/>
                <w:szCs w:val="22"/>
              </w:rPr>
            </w:pPr>
            <w:r w:rsidRPr="008A4226">
              <w:rPr>
                <w:sz w:val="22"/>
                <w:szCs w:val="22"/>
              </w:rPr>
              <w:t>· Preventive and therapeutic zinc supplementation</w:t>
            </w:r>
          </w:p>
          <w:p w14:paraId="1517A9C4" w14:textId="77777777" w:rsidR="005C34DA" w:rsidRPr="008A4226" w:rsidRDefault="005C34DA" w:rsidP="00BC5767">
            <w:pPr>
              <w:widowControl w:val="0"/>
              <w:rPr>
                <w:sz w:val="22"/>
                <w:szCs w:val="22"/>
              </w:rPr>
            </w:pPr>
            <w:r w:rsidRPr="008A4226">
              <w:rPr>
                <w:sz w:val="22"/>
                <w:szCs w:val="22"/>
              </w:rPr>
              <w:t>· Vitamin A supplementation</w:t>
            </w:r>
          </w:p>
          <w:p w14:paraId="47D87DD3" w14:textId="77777777" w:rsidR="005C34DA" w:rsidRPr="008A4226" w:rsidRDefault="005C34DA" w:rsidP="00BC5767">
            <w:pPr>
              <w:widowControl w:val="0"/>
              <w:rPr>
                <w:sz w:val="22"/>
                <w:szCs w:val="22"/>
              </w:rPr>
            </w:pPr>
            <w:r w:rsidRPr="008A4226">
              <w:rPr>
                <w:sz w:val="22"/>
                <w:szCs w:val="22"/>
              </w:rPr>
              <w:t>- Micronutrient powders (MNP)</w:t>
            </w:r>
          </w:p>
          <w:p w14:paraId="575FD547" w14:textId="77777777" w:rsidR="005C34DA" w:rsidRPr="008A4226" w:rsidRDefault="005C34DA" w:rsidP="00BC5767">
            <w:pPr>
              <w:widowControl w:val="0"/>
              <w:rPr>
                <w:sz w:val="22"/>
                <w:szCs w:val="22"/>
              </w:rPr>
            </w:pPr>
            <w:r w:rsidRPr="008A4226">
              <w:rPr>
                <w:sz w:val="22"/>
                <w:szCs w:val="22"/>
              </w:rPr>
              <w:t>· Small-quantity lipid-based nutrient supplements (SQ-LNS)</w:t>
            </w:r>
          </w:p>
        </w:tc>
        <w:tc>
          <w:tcPr>
            <w:tcW w:w="5583"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1285E587" w14:textId="77777777" w:rsidR="005C34DA" w:rsidRPr="008A4226" w:rsidRDefault="005C34DA" w:rsidP="00BC5767">
            <w:pPr>
              <w:widowControl w:val="0"/>
              <w:rPr>
                <w:sz w:val="22"/>
                <w:szCs w:val="22"/>
              </w:rPr>
            </w:pPr>
            <w:r w:rsidRPr="008A4226">
              <w:rPr>
                <w:sz w:val="22"/>
                <w:szCs w:val="22"/>
              </w:rPr>
              <w:t xml:space="preserve">Increasing global temperatures and alteration in rainfall can affect the quality and accessibility of micronutrients in foods, particularly for iron, zinc and vitamin A. Supplements with such micronutrients are an adaptive strategy that benefits nutrition outcomes. As micronutrient deficiency increases mortality risk from other causes, including certain vector-borne diseases, reduction in deficiency can increase resilience to adverse health-related impacts of climate change. </w:t>
            </w:r>
          </w:p>
        </w:tc>
      </w:tr>
      <w:tr w:rsidR="005C34DA" w:rsidRPr="008A4226" w14:paraId="3D687447" w14:textId="77777777" w:rsidTr="00BC5767">
        <w:trPr>
          <w:trHeight w:val="660"/>
        </w:trPr>
        <w:tc>
          <w:tcPr>
            <w:tcW w:w="1995" w:type="dxa"/>
            <w:tcBorders>
              <w:top w:val="single" w:sz="6" w:space="0" w:color="CCCCCC"/>
              <w:left w:val="single" w:sz="6" w:space="0" w:color="000000"/>
              <w:bottom w:val="single" w:sz="6" w:space="0" w:color="000000"/>
              <w:right w:val="single" w:sz="6" w:space="0" w:color="000000"/>
            </w:tcBorders>
            <w:shd w:val="clear" w:color="auto" w:fill="F1F9F7"/>
            <w:tcMar>
              <w:top w:w="40" w:type="dxa"/>
              <w:left w:w="40" w:type="dxa"/>
              <w:bottom w:w="40" w:type="dxa"/>
              <w:right w:w="40" w:type="dxa"/>
            </w:tcMar>
          </w:tcPr>
          <w:p w14:paraId="1C7A0203" w14:textId="77777777" w:rsidR="005C34DA" w:rsidRPr="008A4226" w:rsidRDefault="005C34DA" w:rsidP="00BC5767">
            <w:pPr>
              <w:widowControl w:val="0"/>
              <w:rPr>
                <w:b/>
                <w:sz w:val="22"/>
                <w:szCs w:val="22"/>
              </w:rPr>
            </w:pPr>
            <w:r w:rsidRPr="008A4226">
              <w:rPr>
                <w:b/>
                <w:sz w:val="22"/>
                <w:szCs w:val="22"/>
              </w:rPr>
              <w:t xml:space="preserve">Health – </w:t>
            </w:r>
            <w:proofErr w:type="spellStart"/>
            <w:r w:rsidRPr="008A4226">
              <w:rPr>
                <w:b/>
                <w:sz w:val="22"/>
                <w:szCs w:val="22"/>
              </w:rPr>
              <w:t>macro+micronutrient</w:t>
            </w:r>
            <w:proofErr w:type="spellEnd"/>
            <w:r w:rsidRPr="008A4226">
              <w:rPr>
                <w:b/>
                <w:sz w:val="22"/>
                <w:szCs w:val="22"/>
              </w:rPr>
              <w:t xml:space="preserve"> supplements for young children</w:t>
            </w:r>
          </w:p>
        </w:tc>
        <w:tc>
          <w:tcPr>
            <w:tcW w:w="177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0FABF76C" w14:textId="77777777" w:rsidR="005C34DA" w:rsidRPr="008A4226" w:rsidRDefault="005C34DA" w:rsidP="00BC5767">
            <w:pPr>
              <w:widowControl w:val="0"/>
              <w:rPr>
                <w:sz w:val="22"/>
                <w:szCs w:val="22"/>
              </w:rPr>
            </w:pPr>
            <w:r w:rsidRPr="008A4226">
              <w:rPr>
                <w:sz w:val="22"/>
                <w:szCs w:val="22"/>
              </w:rPr>
              <w:t>·Ready-to-use therapeutic food (RUTF)</w:t>
            </w:r>
          </w:p>
          <w:p w14:paraId="533FA4E7" w14:textId="77777777" w:rsidR="005C34DA" w:rsidRPr="008A4226" w:rsidRDefault="005C34DA" w:rsidP="00BC5767">
            <w:pPr>
              <w:widowControl w:val="0"/>
              <w:rPr>
                <w:sz w:val="22"/>
                <w:szCs w:val="22"/>
              </w:rPr>
            </w:pPr>
            <w:r w:rsidRPr="008A4226">
              <w:rPr>
                <w:sz w:val="22"/>
                <w:szCs w:val="22"/>
              </w:rPr>
              <w:t xml:space="preserve">· Small-quantity lipid-based nutrient supplements (SQ-LNS) </w:t>
            </w:r>
          </w:p>
        </w:tc>
        <w:tc>
          <w:tcPr>
            <w:tcW w:w="5583"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4BA61460" w14:textId="77777777" w:rsidR="005C34DA" w:rsidRPr="008A4226" w:rsidRDefault="005C34DA" w:rsidP="00BC5767">
            <w:pPr>
              <w:widowControl w:val="0"/>
              <w:rPr>
                <w:sz w:val="22"/>
                <w:szCs w:val="22"/>
              </w:rPr>
            </w:pPr>
            <w:r w:rsidRPr="008A4226">
              <w:rPr>
                <w:sz w:val="22"/>
                <w:szCs w:val="22"/>
              </w:rPr>
              <w:t>Drought conditions increase the odds of wasting and underweight by impacting crop production and food availability. The use of supplements specially designed to address wasting can be an adaptive strategy.</w:t>
            </w:r>
          </w:p>
        </w:tc>
      </w:tr>
      <w:tr w:rsidR="005C34DA" w:rsidRPr="008A4226" w14:paraId="1C863DB8" w14:textId="77777777" w:rsidTr="00BC5767">
        <w:trPr>
          <w:trHeight w:val="1050"/>
        </w:trPr>
        <w:tc>
          <w:tcPr>
            <w:tcW w:w="1995" w:type="dxa"/>
            <w:tcBorders>
              <w:top w:val="single" w:sz="6" w:space="0" w:color="CCCCCC"/>
              <w:left w:val="single" w:sz="6" w:space="0" w:color="000000"/>
              <w:bottom w:val="single" w:sz="6" w:space="0" w:color="000000"/>
              <w:right w:val="single" w:sz="6" w:space="0" w:color="000000"/>
            </w:tcBorders>
            <w:shd w:val="clear" w:color="auto" w:fill="F1F9F7"/>
            <w:tcMar>
              <w:top w:w="40" w:type="dxa"/>
              <w:left w:w="40" w:type="dxa"/>
              <w:bottom w:w="40" w:type="dxa"/>
              <w:right w:w="40" w:type="dxa"/>
            </w:tcMar>
          </w:tcPr>
          <w:p w14:paraId="6B41939E" w14:textId="77777777" w:rsidR="005C34DA" w:rsidRPr="008A4226" w:rsidRDefault="005C34DA" w:rsidP="00BC5767">
            <w:pPr>
              <w:widowControl w:val="0"/>
              <w:rPr>
                <w:sz w:val="22"/>
                <w:szCs w:val="22"/>
              </w:rPr>
            </w:pPr>
            <w:r w:rsidRPr="008A4226">
              <w:rPr>
                <w:b/>
                <w:sz w:val="22"/>
                <w:szCs w:val="22"/>
              </w:rPr>
              <w:lastRenderedPageBreak/>
              <w:t>Health – vector-borne infection control in pregnancy</w:t>
            </w:r>
          </w:p>
        </w:tc>
        <w:tc>
          <w:tcPr>
            <w:tcW w:w="177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4DC90DB5" w14:textId="77777777" w:rsidR="005C34DA" w:rsidRPr="008A4226" w:rsidRDefault="005C34DA" w:rsidP="00BC5767">
            <w:pPr>
              <w:widowControl w:val="0"/>
              <w:rPr>
                <w:sz w:val="22"/>
                <w:szCs w:val="22"/>
              </w:rPr>
            </w:pPr>
            <w:r w:rsidRPr="008A4226">
              <w:rPr>
                <w:sz w:val="22"/>
                <w:szCs w:val="22"/>
              </w:rPr>
              <w:t>· Malaria preventive treatment</w:t>
            </w:r>
          </w:p>
        </w:tc>
        <w:tc>
          <w:tcPr>
            <w:tcW w:w="5583"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351FB597" w14:textId="77777777" w:rsidR="005C34DA" w:rsidRPr="008A4226" w:rsidRDefault="005C34DA" w:rsidP="00BC5767">
            <w:pPr>
              <w:widowControl w:val="0"/>
              <w:rPr>
                <w:sz w:val="22"/>
                <w:szCs w:val="22"/>
              </w:rPr>
            </w:pPr>
            <w:r w:rsidRPr="008A4226">
              <w:rPr>
                <w:sz w:val="22"/>
                <w:szCs w:val="22"/>
              </w:rPr>
              <w:t>Increasing global temperatures affect vector-borne diseases transmission and spread including malaria. Malaria can cause severe malaria-induced anemia during pregnancy and increase the risk of intrauterine growth restriction and low birthweight. Intermittent preventive treatment of malaria during pregnancy in areas with high contagion is a pro-nutrition adaptive strategy.</w:t>
            </w:r>
          </w:p>
        </w:tc>
      </w:tr>
      <w:tr w:rsidR="005C34DA" w:rsidRPr="008A4226" w14:paraId="413FDF23" w14:textId="77777777" w:rsidTr="00BC5767">
        <w:trPr>
          <w:trHeight w:val="1440"/>
        </w:trPr>
        <w:tc>
          <w:tcPr>
            <w:tcW w:w="1995" w:type="dxa"/>
            <w:tcBorders>
              <w:top w:val="single" w:sz="6" w:space="0" w:color="CCCCCC"/>
              <w:left w:val="single" w:sz="6" w:space="0" w:color="000000"/>
              <w:bottom w:val="single" w:sz="6" w:space="0" w:color="000000"/>
              <w:right w:val="single" w:sz="6" w:space="0" w:color="000000"/>
            </w:tcBorders>
            <w:shd w:val="clear" w:color="auto" w:fill="F1F9F7"/>
            <w:tcMar>
              <w:top w:w="40" w:type="dxa"/>
              <w:left w:w="40" w:type="dxa"/>
              <w:bottom w:w="40" w:type="dxa"/>
              <w:right w:w="40" w:type="dxa"/>
            </w:tcMar>
          </w:tcPr>
          <w:p w14:paraId="64FA89D8" w14:textId="77777777" w:rsidR="005C34DA" w:rsidRPr="008A4226" w:rsidRDefault="005C34DA" w:rsidP="00BC5767">
            <w:pPr>
              <w:widowControl w:val="0"/>
              <w:rPr>
                <w:sz w:val="22"/>
                <w:szCs w:val="22"/>
              </w:rPr>
            </w:pPr>
            <w:r w:rsidRPr="008A4226">
              <w:rPr>
                <w:b/>
                <w:sz w:val="22"/>
                <w:szCs w:val="22"/>
              </w:rPr>
              <w:t>Health – breastfeeding</w:t>
            </w:r>
          </w:p>
        </w:tc>
        <w:tc>
          <w:tcPr>
            <w:tcW w:w="177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7A8700AD" w14:textId="77777777" w:rsidR="005C34DA" w:rsidRPr="008A4226" w:rsidRDefault="005C34DA" w:rsidP="00BC5767">
            <w:pPr>
              <w:widowControl w:val="0"/>
              <w:rPr>
                <w:sz w:val="22"/>
                <w:szCs w:val="22"/>
              </w:rPr>
            </w:pPr>
            <w:r w:rsidRPr="008A4226">
              <w:rPr>
                <w:sz w:val="22"/>
                <w:szCs w:val="22"/>
              </w:rPr>
              <w:t>· Breastfeeding counselling and education (0-24 months)</w:t>
            </w:r>
          </w:p>
        </w:tc>
        <w:tc>
          <w:tcPr>
            <w:tcW w:w="5583"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2831EB8E" w14:textId="77777777" w:rsidR="005C34DA" w:rsidRPr="008A4226" w:rsidRDefault="005C34DA" w:rsidP="00BC5767">
            <w:pPr>
              <w:widowControl w:val="0"/>
              <w:rPr>
                <w:sz w:val="22"/>
                <w:szCs w:val="22"/>
              </w:rPr>
            </w:pPr>
            <w:r w:rsidRPr="008A4226">
              <w:rPr>
                <w:sz w:val="22"/>
                <w:szCs w:val="22"/>
              </w:rPr>
              <w:t>Breastfeeding can help increase resilience to shocks, as it provides adequate nutrition for children under 6 months and key nutrient contributions for children aged 6-23 months, at little cost.</w:t>
            </w:r>
          </w:p>
          <w:p w14:paraId="1E26600F" w14:textId="77777777" w:rsidR="005C34DA" w:rsidRPr="008A4226" w:rsidRDefault="005C34DA" w:rsidP="00BC5767">
            <w:pPr>
              <w:widowControl w:val="0"/>
              <w:rPr>
                <w:sz w:val="22"/>
                <w:szCs w:val="22"/>
              </w:rPr>
            </w:pPr>
            <w:r w:rsidRPr="008A4226">
              <w:rPr>
                <w:sz w:val="22"/>
                <w:szCs w:val="22"/>
              </w:rPr>
              <w:t>Breastfeeding can also mitigate some of the environmental challenges associated with climate change due to the positive effect of breastfeeding on infant and maternal health with much less waste or environmental damage compared to infant and toddler formulas (including GHG emissions, water use, and plastic waste).</w:t>
            </w:r>
          </w:p>
        </w:tc>
      </w:tr>
      <w:tr w:rsidR="005C34DA" w:rsidRPr="008A4226" w14:paraId="478AE02A" w14:textId="77777777" w:rsidTr="00BC5767">
        <w:trPr>
          <w:trHeight w:val="1440"/>
        </w:trPr>
        <w:tc>
          <w:tcPr>
            <w:tcW w:w="1995" w:type="dxa"/>
            <w:tcBorders>
              <w:top w:val="single" w:sz="6" w:space="0" w:color="CCCCCC"/>
              <w:left w:val="single" w:sz="6" w:space="0" w:color="000000"/>
              <w:bottom w:val="single" w:sz="6" w:space="0" w:color="000000"/>
              <w:right w:val="single" w:sz="6" w:space="0" w:color="000000"/>
            </w:tcBorders>
            <w:shd w:val="clear" w:color="auto" w:fill="F1F9F7"/>
            <w:tcMar>
              <w:top w:w="40" w:type="dxa"/>
              <w:left w:w="40" w:type="dxa"/>
              <w:bottom w:w="40" w:type="dxa"/>
              <w:right w:w="40" w:type="dxa"/>
            </w:tcMar>
          </w:tcPr>
          <w:p w14:paraId="4A602AB0" w14:textId="77777777" w:rsidR="005C34DA" w:rsidRPr="008A4226" w:rsidRDefault="005C34DA" w:rsidP="00BC5767">
            <w:pPr>
              <w:widowControl w:val="0"/>
              <w:rPr>
                <w:sz w:val="22"/>
                <w:szCs w:val="22"/>
              </w:rPr>
            </w:pPr>
            <w:r w:rsidRPr="008A4226">
              <w:rPr>
                <w:b/>
                <w:sz w:val="22"/>
                <w:szCs w:val="22"/>
              </w:rPr>
              <w:t>Social protection –safety net programs</w:t>
            </w:r>
          </w:p>
        </w:tc>
        <w:tc>
          <w:tcPr>
            <w:tcW w:w="177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66528E22" w14:textId="77777777" w:rsidR="005C34DA" w:rsidRPr="008A4226" w:rsidRDefault="005C34DA" w:rsidP="00BC5767">
            <w:pPr>
              <w:widowControl w:val="0"/>
              <w:rPr>
                <w:sz w:val="22"/>
                <w:szCs w:val="22"/>
              </w:rPr>
            </w:pPr>
            <w:r w:rsidRPr="008A4226">
              <w:rPr>
                <w:sz w:val="22"/>
                <w:szCs w:val="22"/>
              </w:rPr>
              <w:t>· Cash transfers</w:t>
            </w:r>
          </w:p>
          <w:p w14:paraId="08239349" w14:textId="77777777" w:rsidR="005C34DA" w:rsidRPr="008A4226" w:rsidRDefault="005C34DA" w:rsidP="00BC5767">
            <w:pPr>
              <w:widowControl w:val="0"/>
              <w:rPr>
                <w:sz w:val="22"/>
                <w:szCs w:val="22"/>
              </w:rPr>
            </w:pPr>
            <w:r w:rsidRPr="008A4226">
              <w:rPr>
                <w:sz w:val="22"/>
                <w:szCs w:val="22"/>
              </w:rPr>
              <w:t>· Food transfers and vouchers</w:t>
            </w:r>
          </w:p>
        </w:tc>
        <w:tc>
          <w:tcPr>
            <w:tcW w:w="5583"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57D5FE55" w14:textId="77777777" w:rsidR="005C34DA" w:rsidRPr="008A4226" w:rsidRDefault="005C34DA" w:rsidP="00BC5767">
            <w:pPr>
              <w:widowControl w:val="0"/>
              <w:rPr>
                <w:sz w:val="22"/>
                <w:szCs w:val="22"/>
              </w:rPr>
            </w:pPr>
            <w:r w:rsidRPr="008A4226">
              <w:rPr>
                <w:sz w:val="22"/>
                <w:szCs w:val="22"/>
              </w:rPr>
              <w:t>Cash transfers can promote climate resilience by supporting households in managing the adverse effects of climate events (i.e., low rainfall, extreme temperatures). During food crises associated with climate shocks, cash and food transfers can be particularly effective in protecting dietary diversity and the consumption of essential micronutrients. These interventions are often complemented with behavior change communication (BCC) to booster the impact on nutrition.</w:t>
            </w:r>
          </w:p>
        </w:tc>
      </w:tr>
      <w:tr w:rsidR="005C34DA" w:rsidRPr="008A4226" w14:paraId="7F601863" w14:textId="77777777" w:rsidTr="00BC5767">
        <w:trPr>
          <w:trHeight w:val="1245"/>
        </w:trPr>
        <w:tc>
          <w:tcPr>
            <w:tcW w:w="1995" w:type="dxa"/>
            <w:tcBorders>
              <w:top w:val="single" w:sz="6" w:space="0" w:color="CCCCCC"/>
              <w:left w:val="single" w:sz="6" w:space="0" w:color="000000"/>
              <w:bottom w:val="single" w:sz="6" w:space="0" w:color="000000"/>
              <w:right w:val="single" w:sz="6" w:space="0" w:color="000000"/>
            </w:tcBorders>
            <w:shd w:val="clear" w:color="auto" w:fill="F1F9F7"/>
            <w:tcMar>
              <w:top w:w="40" w:type="dxa"/>
              <w:left w:w="40" w:type="dxa"/>
              <w:bottom w:w="40" w:type="dxa"/>
              <w:right w:w="40" w:type="dxa"/>
            </w:tcMar>
          </w:tcPr>
          <w:p w14:paraId="35C68A91" w14:textId="77777777" w:rsidR="005C34DA" w:rsidRPr="008A4226" w:rsidRDefault="005C34DA" w:rsidP="00BC5767">
            <w:pPr>
              <w:widowControl w:val="0"/>
              <w:rPr>
                <w:sz w:val="22"/>
                <w:szCs w:val="22"/>
              </w:rPr>
            </w:pPr>
            <w:r w:rsidRPr="008A4226">
              <w:rPr>
                <w:b/>
                <w:sz w:val="22"/>
                <w:szCs w:val="22"/>
              </w:rPr>
              <w:t>Agriculture – nutrition-smart agriculture</w:t>
            </w:r>
          </w:p>
        </w:tc>
        <w:tc>
          <w:tcPr>
            <w:tcW w:w="177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1CBEB851" w14:textId="77777777" w:rsidR="005C34DA" w:rsidRPr="008A4226" w:rsidRDefault="005C34DA" w:rsidP="00BC5767">
            <w:pPr>
              <w:widowControl w:val="0"/>
              <w:rPr>
                <w:sz w:val="22"/>
                <w:szCs w:val="22"/>
              </w:rPr>
            </w:pPr>
            <w:r w:rsidRPr="008A4226">
              <w:rPr>
                <w:sz w:val="22"/>
                <w:szCs w:val="22"/>
              </w:rPr>
              <w:t>· Agricultural livelihoods programs</w:t>
            </w:r>
          </w:p>
          <w:p w14:paraId="5BB1B485" w14:textId="77777777" w:rsidR="005C34DA" w:rsidRPr="008A4226" w:rsidRDefault="005C34DA" w:rsidP="00BC5767">
            <w:pPr>
              <w:widowControl w:val="0"/>
              <w:rPr>
                <w:sz w:val="22"/>
                <w:szCs w:val="22"/>
              </w:rPr>
            </w:pPr>
            <w:r w:rsidRPr="008A4226">
              <w:rPr>
                <w:sz w:val="22"/>
                <w:szCs w:val="22"/>
              </w:rPr>
              <w:t>· Homestead food production or vegetable garden programs</w:t>
            </w:r>
          </w:p>
          <w:p w14:paraId="4B673BE4" w14:textId="77777777" w:rsidR="005C34DA" w:rsidRPr="008A4226" w:rsidRDefault="005C34DA" w:rsidP="00BC5767">
            <w:pPr>
              <w:widowControl w:val="0"/>
              <w:rPr>
                <w:sz w:val="22"/>
                <w:szCs w:val="22"/>
              </w:rPr>
            </w:pPr>
            <w:r w:rsidRPr="008A4226">
              <w:rPr>
                <w:sz w:val="22"/>
                <w:szCs w:val="22"/>
              </w:rPr>
              <w:t>· Programs that focus on small animals, livestock, and fisheries</w:t>
            </w:r>
          </w:p>
          <w:p w14:paraId="5271710B" w14:textId="77777777" w:rsidR="005C34DA" w:rsidRPr="008A4226" w:rsidRDefault="005C34DA" w:rsidP="00BC5767">
            <w:pPr>
              <w:widowControl w:val="0"/>
              <w:rPr>
                <w:sz w:val="22"/>
                <w:szCs w:val="22"/>
              </w:rPr>
            </w:pPr>
            <w:r w:rsidRPr="008A4226">
              <w:rPr>
                <w:sz w:val="22"/>
                <w:szCs w:val="22"/>
              </w:rPr>
              <w:t>· Integrated agriculture, nutrition and gender program</w:t>
            </w:r>
          </w:p>
          <w:p w14:paraId="650A9D51" w14:textId="77777777" w:rsidR="005C34DA" w:rsidRPr="008A4226" w:rsidRDefault="005C34DA" w:rsidP="00BC5767">
            <w:pPr>
              <w:widowControl w:val="0"/>
              <w:rPr>
                <w:sz w:val="22"/>
                <w:szCs w:val="22"/>
              </w:rPr>
            </w:pPr>
            <w:r w:rsidRPr="008A4226">
              <w:rPr>
                <w:sz w:val="22"/>
                <w:szCs w:val="22"/>
              </w:rPr>
              <w:t>· Biofortification</w:t>
            </w:r>
          </w:p>
          <w:p w14:paraId="634222F6" w14:textId="77777777" w:rsidR="005C34DA" w:rsidRPr="008A4226" w:rsidRDefault="005C34DA" w:rsidP="00BC5767">
            <w:pPr>
              <w:widowControl w:val="0"/>
              <w:rPr>
                <w:sz w:val="22"/>
                <w:szCs w:val="22"/>
              </w:rPr>
            </w:pPr>
            <w:r w:rsidRPr="008A4226">
              <w:rPr>
                <w:sz w:val="22"/>
                <w:szCs w:val="22"/>
              </w:rPr>
              <w:t>· Agricultural diversification and repurposing</w:t>
            </w:r>
          </w:p>
        </w:tc>
        <w:tc>
          <w:tcPr>
            <w:tcW w:w="5583"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7B441ED7" w14:textId="77777777" w:rsidR="005C34DA" w:rsidRPr="008A4226" w:rsidRDefault="005C34DA" w:rsidP="00BC5767">
            <w:pPr>
              <w:widowControl w:val="0"/>
              <w:rPr>
                <w:sz w:val="22"/>
                <w:szCs w:val="22"/>
              </w:rPr>
            </w:pPr>
            <w:r w:rsidRPr="008A4226">
              <w:rPr>
                <w:sz w:val="22"/>
                <w:szCs w:val="22"/>
              </w:rPr>
              <w:t>Climate change influences crop productivity, viability, and nutrient density, affecting dietary choices and nutrition; in turn, agricultural practices contribute to global emissions and environmental degradation. Climate-smart and nutrition-smart initiatives can contribute to climate change adaptation, mitigation, and resilience and improved nutrition outcomes. These interventions often must be complemented with SBCC to influence or boost impact on nutrition.</w:t>
            </w:r>
          </w:p>
        </w:tc>
      </w:tr>
      <w:tr w:rsidR="005C34DA" w:rsidRPr="008A4226" w14:paraId="3409B2BD" w14:textId="77777777" w:rsidTr="00BC5767">
        <w:trPr>
          <w:trHeight w:val="855"/>
        </w:trPr>
        <w:tc>
          <w:tcPr>
            <w:tcW w:w="1995" w:type="dxa"/>
            <w:tcBorders>
              <w:top w:val="single" w:sz="6" w:space="0" w:color="CCCCCC"/>
              <w:left w:val="single" w:sz="6" w:space="0" w:color="000000"/>
              <w:bottom w:val="single" w:sz="6" w:space="0" w:color="000000"/>
              <w:right w:val="single" w:sz="6" w:space="0" w:color="000000"/>
            </w:tcBorders>
            <w:shd w:val="clear" w:color="auto" w:fill="F1F9F7"/>
            <w:tcMar>
              <w:top w:w="40" w:type="dxa"/>
              <w:left w:w="40" w:type="dxa"/>
              <w:bottom w:w="40" w:type="dxa"/>
              <w:right w:w="40" w:type="dxa"/>
            </w:tcMar>
          </w:tcPr>
          <w:p w14:paraId="24947897" w14:textId="77777777" w:rsidR="005C34DA" w:rsidRPr="008A4226" w:rsidRDefault="005C34DA" w:rsidP="00BC5767">
            <w:pPr>
              <w:widowControl w:val="0"/>
              <w:rPr>
                <w:sz w:val="22"/>
                <w:szCs w:val="22"/>
              </w:rPr>
            </w:pPr>
            <w:r w:rsidRPr="008A4226">
              <w:rPr>
                <w:b/>
                <w:sz w:val="22"/>
                <w:szCs w:val="22"/>
              </w:rPr>
              <w:lastRenderedPageBreak/>
              <w:t>Water – water, sanitation, and hygiene (WASH) and water insecurity</w:t>
            </w:r>
          </w:p>
        </w:tc>
        <w:tc>
          <w:tcPr>
            <w:tcW w:w="177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6EE2FE9C" w14:textId="77777777" w:rsidR="005C34DA" w:rsidRPr="008A4226" w:rsidRDefault="005C34DA" w:rsidP="00BC5767">
            <w:pPr>
              <w:widowControl w:val="0"/>
              <w:rPr>
                <w:sz w:val="22"/>
                <w:szCs w:val="22"/>
              </w:rPr>
            </w:pPr>
            <w:r w:rsidRPr="008A4226">
              <w:rPr>
                <w:sz w:val="22"/>
                <w:szCs w:val="22"/>
              </w:rPr>
              <w:t>· WASH combined with nutrition programs (generally including BCCs)</w:t>
            </w:r>
          </w:p>
          <w:p w14:paraId="154EAB00" w14:textId="77777777" w:rsidR="005C34DA" w:rsidRPr="008A4226" w:rsidRDefault="005C34DA" w:rsidP="00BC5767">
            <w:pPr>
              <w:widowControl w:val="0"/>
              <w:rPr>
                <w:sz w:val="22"/>
                <w:szCs w:val="22"/>
              </w:rPr>
            </w:pPr>
            <w:r w:rsidRPr="008A4226">
              <w:rPr>
                <w:sz w:val="22"/>
                <w:szCs w:val="22"/>
              </w:rPr>
              <w:t>· WASH interventions with multiple components</w:t>
            </w:r>
          </w:p>
        </w:tc>
        <w:tc>
          <w:tcPr>
            <w:tcW w:w="5583"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14:paraId="0602C9F0" w14:textId="77777777" w:rsidR="005C34DA" w:rsidRPr="008A4226" w:rsidRDefault="005C34DA" w:rsidP="00BC5767">
            <w:pPr>
              <w:widowControl w:val="0"/>
              <w:rPr>
                <w:sz w:val="22"/>
                <w:szCs w:val="22"/>
              </w:rPr>
            </w:pPr>
            <w:r w:rsidRPr="008A4226">
              <w:rPr>
                <w:sz w:val="22"/>
                <w:szCs w:val="22"/>
              </w:rPr>
              <w:t>Climate change can affect water access, which can lead to crop damage, lower food supplies and income, higher food prices, food safety issues, and increased risk of waterborne disease. Reduced access to clean water can also increase the risk of infectious diseases, including those (such as diarrheal diseases) that exacerbate malnutrition. Therefore, climate resilient water, sanitation, and hygiene (WASH) and water security interventions are crucial for nutrition.</w:t>
            </w:r>
          </w:p>
        </w:tc>
      </w:tr>
    </w:tbl>
    <w:p w14:paraId="731AB920" w14:textId="77777777" w:rsidR="005C34DA" w:rsidRPr="008A4226" w:rsidRDefault="005C34DA" w:rsidP="005C34DA">
      <w:pPr>
        <w:spacing w:after="200"/>
        <w:rPr>
          <w:b/>
          <w:bCs/>
          <w:i/>
          <w:sz w:val="22"/>
          <w:szCs w:val="22"/>
        </w:rPr>
      </w:pPr>
    </w:p>
    <w:p w14:paraId="633CF0DE" w14:textId="77777777" w:rsidR="005C34DA" w:rsidRPr="008A4226" w:rsidRDefault="005C34DA" w:rsidP="005C34DA">
      <w:pPr>
        <w:spacing w:after="160" w:line="278" w:lineRule="auto"/>
        <w:rPr>
          <w:sz w:val="22"/>
          <w:szCs w:val="22"/>
        </w:rPr>
      </w:pPr>
      <w:r w:rsidRPr="008A4226">
        <w:rPr>
          <w:sz w:val="22"/>
          <w:szCs w:val="22"/>
        </w:rPr>
        <w:br w:type="page"/>
      </w:r>
    </w:p>
    <w:p w14:paraId="33F1523C" w14:textId="77777777" w:rsidR="005C34DA" w:rsidRPr="008A4226" w:rsidRDefault="005C34DA" w:rsidP="005C34DA">
      <w:pPr>
        <w:spacing w:after="200"/>
        <w:rPr>
          <w:b/>
          <w:bCs/>
          <w:i/>
          <w:sz w:val="22"/>
          <w:szCs w:val="22"/>
        </w:rPr>
      </w:pPr>
    </w:p>
    <w:p w14:paraId="4BEC9C9E" w14:textId="0B577C75" w:rsidR="005C34DA" w:rsidRPr="008A4226" w:rsidRDefault="005C34DA" w:rsidP="005C34DA">
      <w:pPr>
        <w:spacing w:line="360" w:lineRule="auto"/>
        <w:jc w:val="both"/>
        <w:rPr>
          <w:b/>
          <w:bCs/>
          <w:sz w:val="22"/>
          <w:szCs w:val="22"/>
        </w:rPr>
      </w:pPr>
      <w:r w:rsidRPr="008A4226">
        <w:rPr>
          <w:b/>
          <w:bCs/>
          <w:sz w:val="22"/>
          <w:szCs w:val="22"/>
        </w:rPr>
        <w:t xml:space="preserve">Table </w:t>
      </w:r>
      <w:proofErr w:type="gramStart"/>
      <w:r w:rsidRPr="008A4226">
        <w:rPr>
          <w:b/>
          <w:bCs/>
          <w:sz w:val="22"/>
          <w:szCs w:val="22"/>
        </w:rPr>
        <w:t xml:space="preserve">S.3  </w:t>
      </w:r>
      <w:r w:rsidRPr="008A4226">
        <w:rPr>
          <w:b/>
          <w:bCs/>
          <w:sz w:val="22"/>
          <w:szCs w:val="22"/>
          <w:lang w:val="en-GB"/>
        </w:rPr>
        <w:t>Scoring</w:t>
      </w:r>
      <w:proofErr w:type="gramEnd"/>
      <w:r w:rsidRPr="008A4226">
        <w:rPr>
          <w:b/>
          <w:bCs/>
          <w:sz w:val="22"/>
          <w:szCs w:val="22"/>
          <w:lang w:val="en-GB"/>
        </w:rPr>
        <w:t xml:space="preserve"> criteria to assess the </w:t>
      </w:r>
      <w:r w:rsidR="004925CB">
        <w:rPr>
          <w:b/>
          <w:bCs/>
          <w:sz w:val="22"/>
          <w:szCs w:val="22"/>
          <w:lang w:val="en-GB"/>
        </w:rPr>
        <w:t xml:space="preserve">scope for integration of </w:t>
      </w:r>
      <w:r w:rsidRPr="008A4226">
        <w:rPr>
          <w:b/>
          <w:bCs/>
          <w:sz w:val="22"/>
          <w:szCs w:val="22"/>
          <w:lang w:val="en-GB"/>
        </w:rPr>
        <w:t>nutrition of climate funds</w:t>
      </w:r>
    </w:p>
    <w:tbl>
      <w:tblPr>
        <w:tblW w:w="9015" w:type="dxa"/>
        <w:tblBorders>
          <w:top w:val="nil"/>
          <w:left w:val="nil"/>
          <w:bottom w:val="nil"/>
          <w:right w:val="nil"/>
          <w:insideH w:val="nil"/>
          <w:insideV w:val="nil"/>
        </w:tblBorders>
        <w:tblLayout w:type="fixed"/>
        <w:tblLook w:val="0600" w:firstRow="0" w:lastRow="0" w:firstColumn="0" w:lastColumn="0" w:noHBand="1" w:noVBand="1"/>
      </w:tblPr>
      <w:tblGrid>
        <w:gridCol w:w="1425"/>
        <w:gridCol w:w="1350"/>
        <w:gridCol w:w="1305"/>
        <w:gridCol w:w="1635"/>
        <w:gridCol w:w="1515"/>
        <w:gridCol w:w="1785"/>
      </w:tblGrid>
      <w:tr w:rsidR="005C34DA" w:rsidRPr="008A4226" w14:paraId="61A07AED" w14:textId="77777777" w:rsidTr="00B131C9">
        <w:trPr>
          <w:trHeight w:val="315"/>
        </w:trPr>
        <w:tc>
          <w:tcPr>
            <w:tcW w:w="1425" w:type="dxa"/>
            <w:tcBorders>
              <w:top w:val="single" w:sz="6" w:space="0" w:color="CCCCCC"/>
              <w:left w:val="single" w:sz="6" w:space="0" w:color="000000"/>
              <w:bottom w:val="single" w:sz="6" w:space="0" w:color="000000"/>
              <w:right w:val="single" w:sz="6" w:space="0" w:color="000000"/>
            </w:tcBorders>
            <w:shd w:val="clear" w:color="auto" w:fill="F1F9F7"/>
            <w:tcMar>
              <w:top w:w="40" w:type="dxa"/>
              <w:left w:w="40" w:type="dxa"/>
              <w:bottom w:w="40" w:type="dxa"/>
              <w:right w:w="40" w:type="dxa"/>
            </w:tcMar>
          </w:tcPr>
          <w:p w14:paraId="4F41248D" w14:textId="77777777" w:rsidR="005C34DA" w:rsidRPr="008A4226" w:rsidRDefault="005C34DA" w:rsidP="00BC5767">
            <w:pPr>
              <w:widowControl w:val="0"/>
              <w:jc w:val="center"/>
              <w:rPr>
                <w:b/>
                <w:sz w:val="22"/>
                <w:szCs w:val="22"/>
              </w:rPr>
            </w:pPr>
            <w:r w:rsidRPr="008A4226">
              <w:rPr>
                <w:b/>
                <w:sz w:val="22"/>
                <w:szCs w:val="22"/>
              </w:rPr>
              <w:t>Criteria</w:t>
            </w:r>
          </w:p>
        </w:tc>
        <w:tc>
          <w:tcPr>
            <w:tcW w:w="1350" w:type="dxa"/>
            <w:tcBorders>
              <w:top w:val="single" w:sz="6" w:space="0" w:color="CCCCCC"/>
              <w:left w:val="single" w:sz="6" w:space="0" w:color="CCCCCC"/>
              <w:bottom w:val="single" w:sz="6" w:space="0" w:color="000000"/>
              <w:right w:val="single" w:sz="6" w:space="0" w:color="000000"/>
            </w:tcBorders>
            <w:shd w:val="clear" w:color="auto" w:fill="F1F9F7"/>
            <w:tcMar>
              <w:top w:w="40" w:type="dxa"/>
              <w:left w:w="40" w:type="dxa"/>
              <w:bottom w:w="40" w:type="dxa"/>
              <w:right w:w="40" w:type="dxa"/>
            </w:tcMar>
          </w:tcPr>
          <w:p w14:paraId="1124162F" w14:textId="77777777" w:rsidR="005C34DA" w:rsidRPr="008A4226" w:rsidRDefault="005C34DA" w:rsidP="00BC5767">
            <w:pPr>
              <w:widowControl w:val="0"/>
              <w:jc w:val="center"/>
              <w:rPr>
                <w:b/>
                <w:sz w:val="22"/>
                <w:szCs w:val="22"/>
              </w:rPr>
            </w:pPr>
            <w:r w:rsidRPr="008A4226">
              <w:rPr>
                <w:b/>
                <w:sz w:val="22"/>
                <w:szCs w:val="22"/>
              </w:rPr>
              <w:t>Description</w:t>
            </w:r>
          </w:p>
        </w:tc>
        <w:tc>
          <w:tcPr>
            <w:tcW w:w="1305" w:type="dxa"/>
            <w:tcBorders>
              <w:top w:val="single" w:sz="6" w:space="0" w:color="CCCCCC"/>
              <w:left w:val="single" w:sz="6" w:space="0" w:color="CCCCCC"/>
              <w:bottom w:val="single" w:sz="6" w:space="0" w:color="000000"/>
              <w:right w:val="single" w:sz="6" w:space="0" w:color="000000"/>
            </w:tcBorders>
            <w:shd w:val="clear" w:color="auto" w:fill="F1F9F7"/>
            <w:tcMar>
              <w:top w:w="40" w:type="dxa"/>
              <w:left w:w="40" w:type="dxa"/>
              <w:bottom w:w="40" w:type="dxa"/>
              <w:right w:w="40" w:type="dxa"/>
            </w:tcMar>
          </w:tcPr>
          <w:p w14:paraId="3073BE33" w14:textId="77777777" w:rsidR="005C34DA" w:rsidRPr="008A4226" w:rsidRDefault="005C34DA" w:rsidP="00BC5767">
            <w:pPr>
              <w:widowControl w:val="0"/>
              <w:jc w:val="center"/>
              <w:rPr>
                <w:b/>
                <w:sz w:val="22"/>
                <w:szCs w:val="22"/>
              </w:rPr>
            </w:pPr>
            <w:r w:rsidRPr="008A4226">
              <w:rPr>
                <w:b/>
                <w:sz w:val="22"/>
                <w:szCs w:val="22"/>
              </w:rPr>
              <w:t>Scoring Scale</w:t>
            </w:r>
          </w:p>
        </w:tc>
        <w:tc>
          <w:tcPr>
            <w:tcW w:w="1635" w:type="dxa"/>
            <w:tcBorders>
              <w:top w:val="single" w:sz="6" w:space="0" w:color="CCCCCC"/>
              <w:left w:val="single" w:sz="6" w:space="0" w:color="CCCCCC"/>
              <w:bottom w:val="single" w:sz="6" w:space="0" w:color="000000"/>
              <w:right w:val="single" w:sz="6" w:space="0" w:color="000000"/>
            </w:tcBorders>
            <w:shd w:val="clear" w:color="auto" w:fill="4B4BEB"/>
            <w:tcMar>
              <w:top w:w="40" w:type="dxa"/>
              <w:left w:w="40" w:type="dxa"/>
              <w:bottom w:w="40" w:type="dxa"/>
              <w:right w:w="40" w:type="dxa"/>
            </w:tcMar>
            <w:vAlign w:val="bottom"/>
          </w:tcPr>
          <w:p w14:paraId="63547C0C" w14:textId="77777777" w:rsidR="005C34DA" w:rsidRPr="008A4226" w:rsidRDefault="005C34DA" w:rsidP="00BC5767">
            <w:pPr>
              <w:widowControl w:val="0"/>
              <w:jc w:val="center"/>
              <w:rPr>
                <w:b/>
                <w:sz w:val="22"/>
                <w:szCs w:val="22"/>
              </w:rPr>
            </w:pPr>
            <w:r w:rsidRPr="008A4226">
              <w:rPr>
                <w:b/>
                <w:sz w:val="22"/>
                <w:szCs w:val="22"/>
              </w:rPr>
              <w:t>Level 1</w:t>
            </w:r>
          </w:p>
        </w:tc>
        <w:tc>
          <w:tcPr>
            <w:tcW w:w="1515" w:type="dxa"/>
            <w:tcBorders>
              <w:top w:val="single" w:sz="6" w:space="0" w:color="CCCCCC"/>
              <w:left w:val="single" w:sz="6" w:space="0" w:color="CCCCCC"/>
              <w:bottom w:val="single" w:sz="6" w:space="0" w:color="000000"/>
              <w:right w:val="single" w:sz="6" w:space="0" w:color="000000"/>
            </w:tcBorders>
            <w:shd w:val="clear" w:color="auto" w:fill="FFC000"/>
            <w:tcMar>
              <w:top w:w="40" w:type="dxa"/>
              <w:left w:w="40" w:type="dxa"/>
              <w:bottom w:w="40" w:type="dxa"/>
              <w:right w:w="40" w:type="dxa"/>
            </w:tcMar>
            <w:vAlign w:val="bottom"/>
          </w:tcPr>
          <w:p w14:paraId="3B27CA2D" w14:textId="77777777" w:rsidR="005C34DA" w:rsidRPr="008A4226" w:rsidRDefault="005C34DA" w:rsidP="00BC5767">
            <w:pPr>
              <w:widowControl w:val="0"/>
              <w:jc w:val="center"/>
              <w:rPr>
                <w:b/>
                <w:sz w:val="22"/>
                <w:szCs w:val="22"/>
              </w:rPr>
            </w:pPr>
            <w:r w:rsidRPr="008A4226">
              <w:rPr>
                <w:b/>
                <w:sz w:val="22"/>
                <w:szCs w:val="22"/>
              </w:rPr>
              <w:t>Level 2</w:t>
            </w:r>
          </w:p>
        </w:tc>
        <w:tc>
          <w:tcPr>
            <w:tcW w:w="1785" w:type="dxa"/>
            <w:tcBorders>
              <w:top w:val="single" w:sz="6" w:space="0" w:color="CCCCCC"/>
              <w:left w:val="single" w:sz="6" w:space="0" w:color="CCCCCC"/>
              <w:bottom w:val="single" w:sz="6" w:space="0" w:color="000000"/>
              <w:right w:val="single" w:sz="6" w:space="0" w:color="CCCCCC"/>
            </w:tcBorders>
            <w:shd w:val="clear" w:color="auto" w:fill="218B30"/>
            <w:tcMar>
              <w:top w:w="40" w:type="dxa"/>
              <w:left w:w="40" w:type="dxa"/>
              <w:bottom w:w="40" w:type="dxa"/>
              <w:right w:w="40" w:type="dxa"/>
            </w:tcMar>
            <w:vAlign w:val="bottom"/>
          </w:tcPr>
          <w:p w14:paraId="0083F6D2" w14:textId="77777777" w:rsidR="005C34DA" w:rsidRPr="008A4226" w:rsidRDefault="005C34DA" w:rsidP="00BC5767">
            <w:pPr>
              <w:widowControl w:val="0"/>
              <w:jc w:val="center"/>
              <w:rPr>
                <w:b/>
                <w:sz w:val="22"/>
                <w:szCs w:val="22"/>
              </w:rPr>
            </w:pPr>
            <w:r w:rsidRPr="008A4226">
              <w:rPr>
                <w:b/>
                <w:sz w:val="22"/>
                <w:szCs w:val="22"/>
              </w:rPr>
              <w:t>Level 3</w:t>
            </w:r>
          </w:p>
        </w:tc>
      </w:tr>
      <w:tr w:rsidR="005C34DA" w:rsidRPr="008A4226" w14:paraId="20EFE45B" w14:textId="77777777" w:rsidTr="00BC5767">
        <w:trPr>
          <w:trHeight w:val="1350"/>
        </w:trPr>
        <w:tc>
          <w:tcPr>
            <w:tcW w:w="1425" w:type="dxa"/>
            <w:tcBorders>
              <w:top w:val="single" w:sz="6" w:space="0" w:color="CCCCCC"/>
              <w:left w:val="single" w:sz="6" w:space="0" w:color="000000"/>
              <w:bottom w:val="single" w:sz="6" w:space="0" w:color="000000"/>
              <w:right w:val="single" w:sz="6" w:space="0" w:color="000000"/>
            </w:tcBorders>
            <w:shd w:val="clear" w:color="auto" w:fill="F1F9F7"/>
            <w:tcMar>
              <w:top w:w="40" w:type="dxa"/>
              <w:left w:w="40" w:type="dxa"/>
              <w:bottom w:w="40" w:type="dxa"/>
              <w:right w:w="40" w:type="dxa"/>
            </w:tcMar>
          </w:tcPr>
          <w:p w14:paraId="6498CF7B" w14:textId="77777777" w:rsidR="005C34DA" w:rsidRPr="008A4226" w:rsidRDefault="005C34DA" w:rsidP="00BC5767">
            <w:pPr>
              <w:widowControl w:val="0"/>
              <w:rPr>
                <w:sz w:val="22"/>
                <w:szCs w:val="22"/>
              </w:rPr>
            </w:pPr>
            <w:r w:rsidRPr="008A4226">
              <w:rPr>
                <w:b/>
                <w:sz w:val="22"/>
                <w:szCs w:val="22"/>
              </w:rPr>
              <w:t>1) Mandate Alignment with Nutrition</w:t>
            </w:r>
          </w:p>
        </w:tc>
        <w:tc>
          <w:tcPr>
            <w:tcW w:w="1350"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tcPr>
          <w:p w14:paraId="555C90E0" w14:textId="77777777" w:rsidR="005C34DA" w:rsidRPr="008A4226" w:rsidRDefault="005C34DA" w:rsidP="00BC5767">
            <w:pPr>
              <w:widowControl w:val="0"/>
              <w:rPr>
                <w:sz w:val="22"/>
                <w:szCs w:val="22"/>
              </w:rPr>
            </w:pPr>
            <w:r w:rsidRPr="008A4226">
              <w:rPr>
                <w:sz w:val="22"/>
                <w:szCs w:val="22"/>
              </w:rPr>
              <w:t>Does the fund’s core mandate support or allow for nutrition-related goals, either directly or indirectly?</w:t>
            </w:r>
          </w:p>
        </w:tc>
        <w:tc>
          <w:tcPr>
            <w:tcW w:w="1305"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tcPr>
          <w:p w14:paraId="5B2ED07E" w14:textId="77777777" w:rsidR="005C34DA" w:rsidRPr="008A4226" w:rsidRDefault="005C34DA" w:rsidP="00BC5767">
            <w:pPr>
              <w:widowControl w:val="0"/>
              <w:rPr>
                <w:sz w:val="22"/>
                <w:szCs w:val="22"/>
              </w:rPr>
            </w:pPr>
            <w:r w:rsidRPr="008A4226">
              <w:rPr>
                <w:sz w:val="22"/>
                <w:szCs w:val="22"/>
              </w:rPr>
              <w:t>0 = No nutrition mandate alignment; 1 = Limited nutrition mandate alignment; 2 = Explicit or Strong Nutrition mandate Alignment</w:t>
            </w:r>
          </w:p>
        </w:tc>
        <w:tc>
          <w:tcPr>
            <w:tcW w:w="1635"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tcPr>
          <w:p w14:paraId="2E0159ED" w14:textId="77777777" w:rsidR="005C34DA" w:rsidRPr="008A4226" w:rsidRDefault="005C34DA" w:rsidP="00BC5767">
            <w:pPr>
              <w:widowControl w:val="0"/>
              <w:rPr>
                <w:sz w:val="22"/>
                <w:szCs w:val="22"/>
              </w:rPr>
            </w:pPr>
            <w:r w:rsidRPr="008A4226">
              <w:rPr>
                <w:sz w:val="22"/>
                <w:szCs w:val="22"/>
              </w:rPr>
              <w:t>0 = No Nutrition mandate alignment: The fund’s core mandate does not support or allow for nutrition-related goals, either directly or indirectly.</w:t>
            </w:r>
          </w:p>
        </w:tc>
        <w:tc>
          <w:tcPr>
            <w:tcW w:w="1515"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tcPr>
          <w:p w14:paraId="04E39F02" w14:textId="77777777" w:rsidR="005C34DA" w:rsidRPr="008A4226" w:rsidRDefault="005C34DA" w:rsidP="00BC5767">
            <w:pPr>
              <w:widowControl w:val="0"/>
              <w:rPr>
                <w:sz w:val="22"/>
                <w:szCs w:val="22"/>
              </w:rPr>
            </w:pPr>
            <w:r w:rsidRPr="008A4226">
              <w:rPr>
                <w:sz w:val="22"/>
                <w:szCs w:val="22"/>
              </w:rPr>
              <w:t>1 = Limited nutrition mandate alignment: The fund’s core mandate provides limited support or allows for inclusion of nutrition-related goals with indirect or weak linkage.</w:t>
            </w:r>
          </w:p>
        </w:tc>
        <w:tc>
          <w:tcPr>
            <w:tcW w:w="1785" w:type="dxa"/>
            <w:tcBorders>
              <w:top w:val="single" w:sz="6" w:space="0" w:color="CCCCCC"/>
              <w:left w:val="single" w:sz="6" w:space="0" w:color="CCCCCC"/>
              <w:bottom w:val="single" w:sz="6" w:space="0" w:color="000000"/>
              <w:right w:val="single" w:sz="6" w:space="0" w:color="CCCCCC"/>
            </w:tcBorders>
            <w:shd w:val="clear" w:color="auto" w:fill="auto"/>
            <w:tcMar>
              <w:top w:w="40" w:type="dxa"/>
              <w:left w:w="40" w:type="dxa"/>
              <w:bottom w:w="40" w:type="dxa"/>
              <w:right w:w="40" w:type="dxa"/>
            </w:tcMar>
          </w:tcPr>
          <w:p w14:paraId="2B57D543" w14:textId="77777777" w:rsidR="005C34DA" w:rsidRPr="008A4226" w:rsidRDefault="005C34DA" w:rsidP="00BC5767">
            <w:pPr>
              <w:widowControl w:val="0"/>
              <w:rPr>
                <w:sz w:val="22"/>
                <w:szCs w:val="22"/>
              </w:rPr>
            </w:pPr>
            <w:r w:rsidRPr="008A4226">
              <w:rPr>
                <w:sz w:val="22"/>
                <w:szCs w:val="22"/>
              </w:rPr>
              <w:t>2 = Explicit or strong nutrition mandate alignment</w:t>
            </w:r>
          </w:p>
          <w:p w14:paraId="639D3465" w14:textId="77777777" w:rsidR="005C34DA" w:rsidRPr="008A4226" w:rsidRDefault="005C34DA" w:rsidP="00BC5767">
            <w:pPr>
              <w:widowControl w:val="0"/>
              <w:rPr>
                <w:sz w:val="22"/>
                <w:szCs w:val="22"/>
              </w:rPr>
            </w:pPr>
            <w:r w:rsidRPr="008A4226">
              <w:rPr>
                <w:sz w:val="22"/>
                <w:szCs w:val="22"/>
              </w:rPr>
              <w:t>The fund’s core mandate explicitly supports or strongly aligns with nutrition-related goals, either directly or through clear indirect linkage.</w:t>
            </w:r>
          </w:p>
        </w:tc>
      </w:tr>
      <w:tr w:rsidR="005C34DA" w:rsidRPr="008A4226" w14:paraId="6457131B" w14:textId="77777777" w:rsidTr="00BC5767">
        <w:trPr>
          <w:trHeight w:val="1575"/>
        </w:trPr>
        <w:tc>
          <w:tcPr>
            <w:tcW w:w="1425" w:type="dxa"/>
            <w:tcBorders>
              <w:top w:val="single" w:sz="6" w:space="0" w:color="CCCCCC"/>
              <w:left w:val="single" w:sz="6" w:space="0" w:color="000000"/>
              <w:bottom w:val="single" w:sz="6" w:space="0" w:color="000000"/>
              <w:right w:val="single" w:sz="6" w:space="0" w:color="000000"/>
            </w:tcBorders>
            <w:shd w:val="clear" w:color="auto" w:fill="F1F9F7"/>
            <w:tcMar>
              <w:top w:w="40" w:type="dxa"/>
              <w:left w:w="40" w:type="dxa"/>
              <w:bottom w:w="40" w:type="dxa"/>
              <w:right w:w="40" w:type="dxa"/>
            </w:tcMar>
          </w:tcPr>
          <w:p w14:paraId="2E182C7C" w14:textId="364E50AC" w:rsidR="005C34DA" w:rsidRPr="008A4226" w:rsidRDefault="005C34DA" w:rsidP="00BC5767">
            <w:pPr>
              <w:widowControl w:val="0"/>
              <w:rPr>
                <w:sz w:val="22"/>
                <w:szCs w:val="22"/>
              </w:rPr>
            </w:pPr>
            <w:r w:rsidRPr="008A4226">
              <w:rPr>
                <w:b/>
                <w:sz w:val="22"/>
                <w:szCs w:val="22"/>
              </w:rPr>
              <w:t xml:space="preserve">2) Flexibility in Funding </w:t>
            </w:r>
            <w:r w:rsidR="00711FC0" w:rsidRPr="008A4226">
              <w:rPr>
                <w:b/>
                <w:sz w:val="22"/>
                <w:szCs w:val="22"/>
              </w:rPr>
              <w:t>S</w:t>
            </w:r>
            <w:r w:rsidR="00711FC0">
              <w:rPr>
                <w:b/>
                <w:sz w:val="22"/>
                <w:szCs w:val="22"/>
              </w:rPr>
              <w:t>tructure</w:t>
            </w:r>
          </w:p>
        </w:tc>
        <w:tc>
          <w:tcPr>
            <w:tcW w:w="1350"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tcPr>
          <w:p w14:paraId="706F5814" w14:textId="77777777" w:rsidR="005C34DA" w:rsidRPr="008A4226" w:rsidRDefault="005C34DA" w:rsidP="00BC5767">
            <w:pPr>
              <w:widowControl w:val="0"/>
              <w:rPr>
                <w:sz w:val="22"/>
                <w:szCs w:val="22"/>
              </w:rPr>
            </w:pPr>
            <w:r w:rsidRPr="008A4226">
              <w:rPr>
                <w:sz w:val="22"/>
                <w:szCs w:val="22"/>
              </w:rPr>
              <w:t>How open is the fund’s structure to integrating projects that include nutrition as a secondary or indirect benefits?</w:t>
            </w:r>
          </w:p>
        </w:tc>
        <w:tc>
          <w:tcPr>
            <w:tcW w:w="1305"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tcPr>
          <w:p w14:paraId="7A92D898" w14:textId="77777777" w:rsidR="005C34DA" w:rsidRPr="008A4226" w:rsidRDefault="005C34DA" w:rsidP="00BC5767">
            <w:pPr>
              <w:widowControl w:val="0"/>
              <w:rPr>
                <w:sz w:val="22"/>
                <w:szCs w:val="22"/>
              </w:rPr>
            </w:pPr>
            <w:r w:rsidRPr="008A4226">
              <w:rPr>
                <w:sz w:val="22"/>
                <w:szCs w:val="22"/>
              </w:rPr>
              <w:t>0=Rigid; 2=Flexible</w:t>
            </w:r>
          </w:p>
        </w:tc>
        <w:tc>
          <w:tcPr>
            <w:tcW w:w="1635"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tcPr>
          <w:p w14:paraId="6E8C3D9F" w14:textId="77777777" w:rsidR="005C34DA" w:rsidRPr="008A4226" w:rsidRDefault="005C34DA" w:rsidP="00BC5767">
            <w:pPr>
              <w:widowControl w:val="0"/>
              <w:rPr>
                <w:sz w:val="22"/>
                <w:szCs w:val="22"/>
              </w:rPr>
            </w:pPr>
            <w:r w:rsidRPr="008A4226">
              <w:rPr>
                <w:sz w:val="22"/>
                <w:szCs w:val="22"/>
              </w:rPr>
              <w:t>0 = Rigid: The fund has strict criteria with little to no flexibility for integrating nutrition-related components or other cross-sectoral benefits. Its primary focus remains exclusively on its main sector.</w:t>
            </w:r>
          </w:p>
        </w:tc>
        <w:tc>
          <w:tcPr>
            <w:tcW w:w="1515"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tcPr>
          <w:p w14:paraId="1524E717" w14:textId="77777777" w:rsidR="005C34DA" w:rsidRPr="008A4226" w:rsidRDefault="005C34DA" w:rsidP="00BC5767">
            <w:pPr>
              <w:widowControl w:val="0"/>
              <w:rPr>
                <w:sz w:val="22"/>
                <w:szCs w:val="22"/>
              </w:rPr>
            </w:pPr>
            <w:r w:rsidRPr="008A4226">
              <w:rPr>
                <w:sz w:val="22"/>
                <w:szCs w:val="22"/>
              </w:rPr>
              <w:t>N/A</w:t>
            </w:r>
          </w:p>
        </w:tc>
        <w:tc>
          <w:tcPr>
            <w:tcW w:w="1785" w:type="dxa"/>
            <w:tcBorders>
              <w:top w:val="single" w:sz="6" w:space="0" w:color="CCCCCC"/>
              <w:left w:val="single" w:sz="6" w:space="0" w:color="CCCCCC"/>
              <w:bottom w:val="single" w:sz="6" w:space="0" w:color="000000"/>
              <w:right w:val="single" w:sz="6" w:space="0" w:color="CCCCCC"/>
            </w:tcBorders>
            <w:shd w:val="clear" w:color="auto" w:fill="auto"/>
            <w:tcMar>
              <w:top w:w="40" w:type="dxa"/>
              <w:left w:w="40" w:type="dxa"/>
              <w:bottom w:w="40" w:type="dxa"/>
              <w:right w:w="40" w:type="dxa"/>
            </w:tcMar>
          </w:tcPr>
          <w:p w14:paraId="43C2073E" w14:textId="77777777" w:rsidR="005C34DA" w:rsidRPr="008A4226" w:rsidRDefault="005C34DA" w:rsidP="00BC5767">
            <w:pPr>
              <w:widowControl w:val="0"/>
              <w:rPr>
                <w:sz w:val="22"/>
                <w:szCs w:val="22"/>
              </w:rPr>
            </w:pPr>
            <w:r w:rsidRPr="008A4226">
              <w:rPr>
                <w:sz w:val="22"/>
                <w:szCs w:val="22"/>
              </w:rPr>
              <w:t>2 = Flexible:</w:t>
            </w:r>
          </w:p>
          <w:p w14:paraId="059C9D9C" w14:textId="77777777" w:rsidR="005C34DA" w:rsidRPr="008A4226" w:rsidRDefault="005C34DA" w:rsidP="00BC5767">
            <w:pPr>
              <w:widowControl w:val="0"/>
              <w:rPr>
                <w:sz w:val="22"/>
                <w:szCs w:val="22"/>
              </w:rPr>
            </w:pPr>
            <w:r w:rsidRPr="008A4226">
              <w:rPr>
                <w:sz w:val="22"/>
                <w:szCs w:val="22"/>
              </w:rPr>
              <w:t>The fund is open to integrating nutrition-related components or other cross-sectoral benefits, showing moderate to high adaptability.</w:t>
            </w:r>
          </w:p>
        </w:tc>
      </w:tr>
      <w:tr w:rsidR="005C34DA" w:rsidRPr="008A4226" w14:paraId="6A385120" w14:textId="77777777" w:rsidTr="00BC5767">
        <w:trPr>
          <w:trHeight w:val="1440"/>
        </w:trPr>
        <w:tc>
          <w:tcPr>
            <w:tcW w:w="1425" w:type="dxa"/>
            <w:tcBorders>
              <w:top w:val="single" w:sz="6" w:space="0" w:color="CCCCCC"/>
              <w:left w:val="single" w:sz="6" w:space="0" w:color="000000"/>
              <w:bottom w:val="single" w:sz="6" w:space="0" w:color="000000"/>
              <w:right w:val="single" w:sz="6" w:space="0" w:color="000000"/>
            </w:tcBorders>
            <w:shd w:val="clear" w:color="auto" w:fill="F1F9F7"/>
            <w:tcMar>
              <w:top w:w="40" w:type="dxa"/>
              <w:left w:w="40" w:type="dxa"/>
              <w:bottom w:w="40" w:type="dxa"/>
              <w:right w:w="40" w:type="dxa"/>
            </w:tcMar>
          </w:tcPr>
          <w:p w14:paraId="7B84DDCE" w14:textId="77777777" w:rsidR="005C34DA" w:rsidRPr="008A4226" w:rsidRDefault="005C34DA" w:rsidP="00BC5767">
            <w:pPr>
              <w:widowControl w:val="0"/>
              <w:rPr>
                <w:sz w:val="22"/>
                <w:szCs w:val="22"/>
              </w:rPr>
            </w:pPr>
            <w:r w:rsidRPr="008A4226">
              <w:rPr>
                <w:b/>
                <w:sz w:val="22"/>
                <w:szCs w:val="22"/>
              </w:rPr>
              <w:t>3) Visibility of nutrition action</w:t>
            </w:r>
          </w:p>
        </w:tc>
        <w:tc>
          <w:tcPr>
            <w:tcW w:w="1350"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tcPr>
          <w:p w14:paraId="333E105D" w14:textId="77777777" w:rsidR="005C34DA" w:rsidRPr="008A4226" w:rsidRDefault="005C34DA" w:rsidP="00BC5767">
            <w:pPr>
              <w:widowControl w:val="0"/>
              <w:rPr>
                <w:sz w:val="22"/>
                <w:szCs w:val="22"/>
              </w:rPr>
            </w:pPr>
            <w:r w:rsidRPr="008A4226">
              <w:rPr>
                <w:sz w:val="22"/>
                <w:szCs w:val="22"/>
              </w:rPr>
              <w:t xml:space="preserve">Does the fund present itself as a resource to support actions that can effectively contribute to impact nutrition </w:t>
            </w:r>
            <w:r w:rsidRPr="008A4226">
              <w:rPr>
                <w:sz w:val="22"/>
                <w:szCs w:val="22"/>
              </w:rPr>
              <w:lastRenderedPageBreak/>
              <w:t>through approaches implemented across relevant sectors, such as health, agriculture, WASH, or social protection?</w:t>
            </w:r>
          </w:p>
        </w:tc>
        <w:tc>
          <w:tcPr>
            <w:tcW w:w="1305"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tcPr>
          <w:p w14:paraId="6F06823E" w14:textId="77777777" w:rsidR="005C34DA" w:rsidRPr="008A4226" w:rsidRDefault="005C34DA" w:rsidP="00BC5767">
            <w:pPr>
              <w:widowControl w:val="0"/>
              <w:rPr>
                <w:sz w:val="22"/>
                <w:szCs w:val="22"/>
              </w:rPr>
            </w:pPr>
            <w:r w:rsidRPr="008A4226">
              <w:rPr>
                <w:sz w:val="22"/>
                <w:szCs w:val="22"/>
              </w:rPr>
              <w:lastRenderedPageBreak/>
              <w:t xml:space="preserve">0 = No Nutrition </w:t>
            </w:r>
          </w:p>
          <w:p w14:paraId="67BF8925" w14:textId="77777777" w:rsidR="005C34DA" w:rsidRPr="008A4226" w:rsidRDefault="005C34DA" w:rsidP="00BC5767">
            <w:pPr>
              <w:widowControl w:val="0"/>
              <w:rPr>
                <w:sz w:val="22"/>
                <w:szCs w:val="22"/>
              </w:rPr>
            </w:pPr>
            <w:r w:rsidRPr="008A4226">
              <w:rPr>
                <w:sz w:val="22"/>
                <w:szCs w:val="22"/>
              </w:rPr>
              <w:t xml:space="preserve">Action visibility; </w:t>
            </w:r>
            <w:r w:rsidRPr="008A4226">
              <w:rPr>
                <w:sz w:val="22"/>
                <w:szCs w:val="22"/>
              </w:rPr>
              <w:br/>
              <w:t xml:space="preserve">1 = </w:t>
            </w:r>
            <w:proofErr w:type="gramStart"/>
            <w:r w:rsidRPr="008A4226">
              <w:rPr>
                <w:sz w:val="22"/>
                <w:szCs w:val="22"/>
              </w:rPr>
              <w:t>Nutrition  action</w:t>
            </w:r>
            <w:proofErr w:type="gramEnd"/>
            <w:r w:rsidRPr="008A4226">
              <w:rPr>
                <w:sz w:val="22"/>
                <w:szCs w:val="22"/>
              </w:rPr>
              <w:t xml:space="preserve"> visibility; </w:t>
            </w:r>
            <w:r w:rsidRPr="008A4226">
              <w:rPr>
                <w:sz w:val="22"/>
                <w:szCs w:val="22"/>
              </w:rPr>
              <w:br/>
              <w:t xml:space="preserve">2 = Established Nutrition action </w:t>
            </w:r>
            <w:r w:rsidRPr="008A4226">
              <w:rPr>
                <w:sz w:val="22"/>
                <w:szCs w:val="22"/>
              </w:rPr>
              <w:lastRenderedPageBreak/>
              <w:t xml:space="preserve">visibility </w:t>
            </w:r>
          </w:p>
        </w:tc>
        <w:tc>
          <w:tcPr>
            <w:tcW w:w="1635"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tcPr>
          <w:p w14:paraId="39FD3D9D" w14:textId="77777777" w:rsidR="005C34DA" w:rsidRPr="008A4226" w:rsidRDefault="005C34DA" w:rsidP="00BC5767">
            <w:pPr>
              <w:widowControl w:val="0"/>
              <w:rPr>
                <w:sz w:val="22"/>
                <w:szCs w:val="22"/>
              </w:rPr>
            </w:pPr>
            <w:r w:rsidRPr="008A4226">
              <w:rPr>
                <w:sz w:val="22"/>
                <w:szCs w:val="22"/>
              </w:rPr>
              <w:lastRenderedPageBreak/>
              <w:t xml:space="preserve">0 = No Nutrition Action </w:t>
            </w:r>
            <w:proofErr w:type="gramStart"/>
            <w:r w:rsidRPr="008A4226">
              <w:rPr>
                <w:sz w:val="22"/>
                <w:szCs w:val="22"/>
              </w:rPr>
              <w:t>visibility :</w:t>
            </w:r>
            <w:proofErr w:type="gramEnd"/>
            <w:r w:rsidRPr="008A4226">
              <w:rPr>
                <w:sz w:val="22"/>
                <w:szCs w:val="22"/>
              </w:rPr>
              <w:t xml:space="preserve"> The fund is focused on actions with no clear connection to nutrition, either in terms of potential or evidence-based </w:t>
            </w:r>
            <w:r w:rsidRPr="008A4226">
              <w:rPr>
                <w:sz w:val="22"/>
                <w:szCs w:val="22"/>
              </w:rPr>
              <w:lastRenderedPageBreak/>
              <w:t>impact.</w:t>
            </w:r>
          </w:p>
          <w:p w14:paraId="43317C76" w14:textId="77777777" w:rsidR="005C34DA" w:rsidRPr="008A4226" w:rsidRDefault="005C34DA" w:rsidP="00BC5767">
            <w:pPr>
              <w:widowControl w:val="0"/>
              <w:rPr>
                <w:sz w:val="22"/>
                <w:szCs w:val="22"/>
              </w:rPr>
            </w:pPr>
          </w:p>
        </w:tc>
        <w:tc>
          <w:tcPr>
            <w:tcW w:w="1515"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tcPr>
          <w:p w14:paraId="5C809F32" w14:textId="77777777" w:rsidR="005C34DA" w:rsidRPr="008A4226" w:rsidRDefault="005C34DA" w:rsidP="00BC5767">
            <w:pPr>
              <w:widowControl w:val="0"/>
              <w:rPr>
                <w:sz w:val="22"/>
                <w:szCs w:val="22"/>
              </w:rPr>
            </w:pPr>
            <w:r w:rsidRPr="008A4226">
              <w:rPr>
                <w:sz w:val="22"/>
                <w:szCs w:val="22"/>
              </w:rPr>
              <w:lastRenderedPageBreak/>
              <w:t xml:space="preserve">1 = Nutrition Action </w:t>
            </w:r>
            <w:proofErr w:type="gramStart"/>
            <w:r w:rsidRPr="008A4226">
              <w:rPr>
                <w:sz w:val="22"/>
                <w:szCs w:val="22"/>
              </w:rPr>
              <w:t>visibility :</w:t>
            </w:r>
            <w:proofErr w:type="gramEnd"/>
          </w:p>
          <w:p w14:paraId="4D682352" w14:textId="77777777" w:rsidR="005C34DA" w:rsidRPr="008A4226" w:rsidRDefault="005C34DA" w:rsidP="00BC5767">
            <w:pPr>
              <w:widowControl w:val="0"/>
              <w:rPr>
                <w:sz w:val="22"/>
                <w:szCs w:val="22"/>
              </w:rPr>
            </w:pPr>
            <w:r w:rsidRPr="008A4226">
              <w:rPr>
                <w:sz w:val="22"/>
                <w:szCs w:val="22"/>
              </w:rPr>
              <w:t xml:space="preserve">The fund highlights support for actions that could contribute to nutrition improvement. </w:t>
            </w:r>
            <w:r w:rsidRPr="008A4226">
              <w:rPr>
                <w:sz w:val="22"/>
                <w:szCs w:val="22"/>
              </w:rPr>
              <w:lastRenderedPageBreak/>
              <w:t xml:space="preserve">These actions are either vague or focus on approaches with unknown quantification of </w:t>
            </w:r>
            <w:proofErr w:type="gramStart"/>
            <w:r w:rsidRPr="008A4226">
              <w:rPr>
                <w:sz w:val="22"/>
                <w:szCs w:val="22"/>
              </w:rPr>
              <w:t>impact(</w:t>
            </w:r>
            <w:proofErr w:type="gramEnd"/>
            <w:r w:rsidRPr="008A4226">
              <w:rPr>
                <w:sz w:val="22"/>
                <w:szCs w:val="22"/>
              </w:rPr>
              <w:t>outside the list of best buys for nutrition outlined in the Investment Framework for Nutrition 2024).</w:t>
            </w:r>
          </w:p>
        </w:tc>
        <w:tc>
          <w:tcPr>
            <w:tcW w:w="1785" w:type="dxa"/>
            <w:tcBorders>
              <w:top w:val="single" w:sz="6" w:space="0" w:color="CCCCCC"/>
              <w:left w:val="single" w:sz="6" w:space="0" w:color="CCCCCC"/>
              <w:bottom w:val="single" w:sz="6" w:space="0" w:color="000000"/>
              <w:right w:val="single" w:sz="6" w:space="0" w:color="CCCCCC"/>
            </w:tcBorders>
            <w:shd w:val="clear" w:color="auto" w:fill="auto"/>
            <w:tcMar>
              <w:top w:w="40" w:type="dxa"/>
              <w:left w:w="40" w:type="dxa"/>
              <w:bottom w:w="40" w:type="dxa"/>
              <w:right w:w="40" w:type="dxa"/>
            </w:tcMar>
          </w:tcPr>
          <w:p w14:paraId="2F1FD8AE" w14:textId="77777777" w:rsidR="005C34DA" w:rsidRPr="008A4226" w:rsidRDefault="005C34DA" w:rsidP="00BC5767">
            <w:pPr>
              <w:widowControl w:val="0"/>
              <w:rPr>
                <w:sz w:val="22"/>
                <w:szCs w:val="22"/>
              </w:rPr>
            </w:pPr>
            <w:r w:rsidRPr="008A4226">
              <w:rPr>
                <w:sz w:val="22"/>
                <w:szCs w:val="22"/>
              </w:rPr>
              <w:lastRenderedPageBreak/>
              <w:t xml:space="preserve">2= Established Nutrition Action </w:t>
            </w:r>
            <w:proofErr w:type="gramStart"/>
            <w:r w:rsidRPr="008A4226">
              <w:rPr>
                <w:sz w:val="22"/>
                <w:szCs w:val="22"/>
              </w:rPr>
              <w:t>visibility :</w:t>
            </w:r>
            <w:proofErr w:type="gramEnd"/>
          </w:p>
          <w:p w14:paraId="73C86785" w14:textId="77777777" w:rsidR="005C34DA" w:rsidRPr="008A4226" w:rsidRDefault="005C34DA" w:rsidP="00BC5767">
            <w:pPr>
              <w:widowControl w:val="0"/>
              <w:rPr>
                <w:sz w:val="22"/>
                <w:szCs w:val="22"/>
              </w:rPr>
            </w:pPr>
            <w:r w:rsidRPr="008A4226">
              <w:rPr>
                <w:sz w:val="22"/>
                <w:szCs w:val="22"/>
              </w:rPr>
              <w:t xml:space="preserve">The fund supports one or more interventions recognized as highly effective in improving nutrition </w:t>
            </w:r>
            <w:r w:rsidRPr="008A4226">
              <w:rPr>
                <w:sz w:val="22"/>
                <w:szCs w:val="22"/>
              </w:rPr>
              <w:lastRenderedPageBreak/>
              <w:t>outcomes based on the recent review of best buys for nutrition outlined in the Investment Framework for Nutrition 2024.</w:t>
            </w:r>
          </w:p>
        </w:tc>
      </w:tr>
      <w:tr w:rsidR="005C34DA" w:rsidRPr="008A4226" w14:paraId="2D989435" w14:textId="77777777" w:rsidTr="00BC5767">
        <w:trPr>
          <w:trHeight w:val="1830"/>
        </w:trPr>
        <w:tc>
          <w:tcPr>
            <w:tcW w:w="1425" w:type="dxa"/>
            <w:tcBorders>
              <w:top w:val="single" w:sz="6" w:space="0" w:color="CCCCCC"/>
              <w:left w:val="single" w:sz="6" w:space="0" w:color="000000"/>
              <w:bottom w:val="single" w:sz="6" w:space="0" w:color="000000"/>
              <w:right w:val="single" w:sz="6" w:space="0" w:color="000000"/>
            </w:tcBorders>
            <w:shd w:val="clear" w:color="auto" w:fill="F1F9F7"/>
            <w:tcMar>
              <w:top w:w="40" w:type="dxa"/>
              <w:left w:w="40" w:type="dxa"/>
              <w:bottom w:w="40" w:type="dxa"/>
              <w:right w:w="40" w:type="dxa"/>
            </w:tcMar>
          </w:tcPr>
          <w:p w14:paraId="0D8D238D" w14:textId="77777777" w:rsidR="005C34DA" w:rsidRPr="008A4226" w:rsidRDefault="005C34DA" w:rsidP="00BC5767">
            <w:pPr>
              <w:widowControl w:val="0"/>
              <w:rPr>
                <w:sz w:val="22"/>
                <w:szCs w:val="22"/>
              </w:rPr>
            </w:pPr>
            <w:r w:rsidRPr="008A4226">
              <w:rPr>
                <w:b/>
                <w:sz w:val="22"/>
                <w:szCs w:val="22"/>
              </w:rPr>
              <w:lastRenderedPageBreak/>
              <w:t>4) Publicly available nutrition precedent</w:t>
            </w:r>
          </w:p>
        </w:tc>
        <w:tc>
          <w:tcPr>
            <w:tcW w:w="1350"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tcPr>
          <w:p w14:paraId="7A99936A" w14:textId="77777777" w:rsidR="005C34DA" w:rsidRPr="008A4226" w:rsidRDefault="005C34DA" w:rsidP="00BC5767">
            <w:pPr>
              <w:widowControl w:val="0"/>
              <w:rPr>
                <w:sz w:val="22"/>
                <w:szCs w:val="22"/>
              </w:rPr>
            </w:pPr>
            <w:r w:rsidRPr="008A4226">
              <w:rPr>
                <w:sz w:val="22"/>
                <w:szCs w:val="22"/>
              </w:rPr>
              <w:t xml:space="preserve">Does the fund have a publicly available record of financing projects that include interventions that have the potential to directly or indirectly impact nutrition (either potential or evidence-based) </w:t>
            </w:r>
          </w:p>
        </w:tc>
        <w:tc>
          <w:tcPr>
            <w:tcW w:w="1305"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tcPr>
          <w:p w14:paraId="70B93660" w14:textId="77777777" w:rsidR="005C34DA" w:rsidRPr="008A4226" w:rsidRDefault="005C34DA" w:rsidP="00BC5767">
            <w:pPr>
              <w:widowControl w:val="0"/>
              <w:rPr>
                <w:sz w:val="22"/>
                <w:szCs w:val="22"/>
              </w:rPr>
            </w:pPr>
            <w:r w:rsidRPr="008A4226">
              <w:rPr>
                <w:sz w:val="22"/>
                <w:szCs w:val="22"/>
              </w:rPr>
              <w:t>0 = None; 1 = Rarely; 2 = Some</w:t>
            </w:r>
          </w:p>
          <w:p w14:paraId="0C67FE3C" w14:textId="77777777" w:rsidR="005C34DA" w:rsidRPr="008A4226" w:rsidRDefault="005C34DA" w:rsidP="00BC5767">
            <w:pPr>
              <w:widowControl w:val="0"/>
              <w:rPr>
                <w:sz w:val="22"/>
                <w:szCs w:val="22"/>
              </w:rPr>
            </w:pPr>
          </w:p>
        </w:tc>
        <w:tc>
          <w:tcPr>
            <w:tcW w:w="1635"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tcPr>
          <w:p w14:paraId="0C90F2EE" w14:textId="77777777" w:rsidR="005C34DA" w:rsidRPr="008A4226" w:rsidRDefault="005C34DA" w:rsidP="00BC5767">
            <w:pPr>
              <w:widowControl w:val="0"/>
              <w:rPr>
                <w:sz w:val="22"/>
                <w:szCs w:val="22"/>
              </w:rPr>
            </w:pPr>
            <w:r w:rsidRPr="008A4226">
              <w:rPr>
                <w:sz w:val="22"/>
                <w:szCs w:val="22"/>
              </w:rPr>
              <w:t>0 = None: No publicly available record or historical precedent of the fund financing projects that include nutrition-related components.</w:t>
            </w:r>
          </w:p>
        </w:tc>
        <w:tc>
          <w:tcPr>
            <w:tcW w:w="1515" w:type="dxa"/>
            <w:tcBorders>
              <w:top w:val="single" w:sz="6" w:space="0" w:color="CCCCCC"/>
              <w:left w:val="single" w:sz="6" w:space="0" w:color="CCCCCC"/>
              <w:bottom w:val="single" w:sz="6" w:space="0" w:color="000000"/>
              <w:right w:val="single" w:sz="6" w:space="0" w:color="000000"/>
            </w:tcBorders>
            <w:shd w:val="clear" w:color="auto" w:fill="auto"/>
            <w:tcMar>
              <w:top w:w="40" w:type="dxa"/>
              <w:left w:w="40" w:type="dxa"/>
              <w:bottom w:w="40" w:type="dxa"/>
              <w:right w:w="40" w:type="dxa"/>
            </w:tcMar>
          </w:tcPr>
          <w:p w14:paraId="2FC4519B" w14:textId="77777777" w:rsidR="005C34DA" w:rsidRPr="008A4226" w:rsidRDefault="005C34DA" w:rsidP="00BC5767">
            <w:pPr>
              <w:widowControl w:val="0"/>
              <w:rPr>
                <w:sz w:val="22"/>
                <w:szCs w:val="22"/>
              </w:rPr>
            </w:pPr>
            <w:r w:rsidRPr="008A4226">
              <w:rPr>
                <w:sz w:val="22"/>
                <w:szCs w:val="22"/>
              </w:rPr>
              <w:t>1 = Limited: The fund has rarely financed projects that include components with the potential for nutrition impact (</w:t>
            </w:r>
            <w:proofErr w:type="gramStart"/>
            <w:r w:rsidRPr="008A4226">
              <w:rPr>
                <w:sz w:val="22"/>
                <w:szCs w:val="22"/>
              </w:rPr>
              <w:t>or  known</w:t>
            </w:r>
            <w:proofErr w:type="gramEnd"/>
            <w:r w:rsidRPr="008A4226">
              <w:rPr>
                <w:sz w:val="22"/>
                <w:szCs w:val="22"/>
              </w:rPr>
              <w:t xml:space="preserve"> to effectively impact nutrition based on current evidence). Such projects are infrequent and not a focus of the fund's financing activities.</w:t>
            </w:r>
          </w:p>
        </w:tc>
        <w:tc>
          <w:tcPr>
            <w:tcW w:w="1785" w:type="dxa"/>
            <w:tcBorders>
              <w:top w:val="single" w:sz="6" w:space="0" w:color="CCCCCC"/>
              <w:left w:val="single" w:sz="6" w:space="0" w:color="CCCCCC"/>
              <w:bottom w:val="single" w:sz="6" w:space="0" w:color="000000"/>
              <w:right w:val="single" w:sz="6" w:space="0" w:color="CCCCCC"/>
            </w:tcBorders>
            <w:shd w:val="clear" w:color="auto" w:fill="auto"/>
            <w:tcMar>
              <w:top w:w="40" w:type="dxa"/>
              <w:left w:w="40" w:type="dxa"/>
              <w:bottom w:w="40" w:type="dxa"/>
              <w:right w:w="40" w:type="dxa"/>
            </w:tcMar>
          </w:tcPr>
          <w:p w14:paraId="197B632E" w14:textId="77777777" w:rsidR="005C34DA" w:rsidRPr="008A4226" w:rsidRDefault="005C34DA" w:rsidP="00BC5767">
            <w:pPr>
              <w:widowControl w:val="0"/>
              <w:rPr>
                <w:sz w:val="22"/>
                <w:szCs w:val="22"/>
              </w:rPr>
            </w:pPr>
            <w:r w:rsidRPr="008A4226">
              <w:rPr>
                <w:sz w:val="22"/>
                <w:szCs w:val="22"/>
              </w:rPr>
              <w:t>2 = Some: The fund has occasionally or regularly financed projects that include components with the potential for nutrition impact (or known to effectively impact nutrition based on current evidence). Previous projects show a moderate to significant focus on nutrition components as part of the fund's portfolio.</w:t>
            </w:r>
          </w:p>
        </w:tc>
      </w:tr>
    </w:tbl>
    <w:p w14:paraId="517A8D72" w14:textId="77777777" w:rsidR="005C34DA" w:rsidRPr="008A4226" w:rsidRDefault="005C34DA" w:rsidP="005C34DA">
      <w:pPr>
        <w:spacing w:line="360" w:lineRule="auto"/>
        <w:jc w:val="both"/>
        <w:rPr>
          <w:sz w:val="22"/>
          <w:szCs w:val="22"/>
        </w:rPr>
      </w:pPr>
    </w:p>
    <w:p w14:paraId="6591203C" w14:textId="77777777" w:rsidR="005C34DA" w:rsidRPr="008A4226" w:rsidRDefault="005C34DA" w:rsidP="005C34DA">
      <w:pPr>
        <w:spacing w:after="160" w:line="278" w:lineRule="auto"/>
        <w:rPr>
          <w:sz w:val="22"/>
          <w:szCs w:val="22"/>
        </w:rPr>
      </w:pPr>
      <w:r w:rsidRPr="008A4226">
        <w:rPr>
          <w:sz w:val="22"/>
          <w:szCs w:val="22"/>
        </w:rPr>
        <w:br w:type="page"/>
      </w:r>
    </w:p>
    <w:p w14:paraId="3E47578A" w14:textId="77777777" w:rsidR="005C34DA" w:rsidRPr="005C34DA" w:rsidRDefault="005C34DA" w:rsidP="005C34DA">
      <w:pPr>
        <w:pStyle w:val="Bibliography"/>
        <w:rPr>
          <w:rFonts w:ascii="Aptos"/>
        </w:rPr>
      </w:pPr>
      <w:r>
        <w:lastRenderedPageBreak/>
        <w:fldChar w:fldCharType="begin"/>
      </w:r>
      <w:r>
        <w:instrText xml:space="preserve"> ADDIN ZOTERO_BIBL {"uncited":[],"omitted":[],"custom":[]} CSL_BIBLIOGRAPHY </w:instrText>
      </w:r>
      <w:r>
        <w:fldChar w:fldCharType="separate"/>
      </w:r>
      <w:r w:rsidRPr="005C34DA">
        <w:rPr>
          <w:rFonts w:ascii="Aptos"/>
        </w:rPr>
        <w:t xml:space="preserve">1. Shekar M, Okamura KS, Vilar-Compte M, Dell’Aira C. Investment Framework for Nutrition. Washington, DC: World Bank.; 2024. </w:t>
      </w:r>
    </w:p>
    <w:p w14:paraId="25C2D898" w14:textId="6BF8CCFF" w:rsidR="00C20E6A" w:rsidRDefault="005C34DA">
      <w:r>
        <w:fldChar w:fldCharType="end"/>
      </w:r>
    </w:p>
    <w:sectPr w:rsidR="00C20E6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9F788F"/>
    <w:multiLevelType w:val="hybridMultilevel"/>
    <w:tmpl w:val="C054FE24"/>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235616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34DA"/>
    <w:rsid w:val="00020C82"/>
    <w:rsid w:val="000463D5"/>
    <w:rsid w:val="000926AF"/>
    <w:rsid w:val="00095E75"/>
    <w:rsid w:val="00096E4E"/>
    <w:rsid w:val="000C4EF4"/>
    <w:rsid w:val="000D3F3A"/>
    <w:rsid w:val="000D69CB"/>
    <w:rsid w:val="0010383F"/>
    <w:rsid w:val="001164EC"/>
    <w:rsid w:val="0013022D"/>
    <w:rsid w:val="00133BAA"/>
    <w:rsid w:val="001642FF"/>
    <w:rsid w:val="001B278F"/>
    <w:rsid w:val="001C7F2F"/>
    <w:rsid w:val="001D17CB"/>
    <w:rsid w:val="001E22F9"/>
    <w:rsid w:val="002A20A8"/>
    <w:rsid w:val="002E1EC7"/>
    <w:rsid w:val="002F2A67"/>
    <w:rsid w:val="002F7C93"/>
    <w:rsid w:val="00311465"/>
    <w:rsid w:val="003444AD"/>
    <w:rsid w:val="00394928"/>
    <w:rsid w:val="003A63C0"/>
    <w:rsid w:val="003C65D9"/>
    <w:rsid w:val="003F29F5"/>
    <w:rsid w:val="00401E95"/>
    <w:rsid w:val="00411C98"/>
    <w:rsid w:val="00431AFA"/>
    <w:rsid w:val="00437592"/>
    <w:rsid w:val="00477103"/>
    <w:rsid w:val="0048514B"/>
    <w:rsid w:val="004924C2"/>
    <w:rsid w:val="004925CB"/>
    <w:rsid w:val="00496281"/>
    <w:rsid w:val="004A7071"/>
    <w:rsid w:val="004B6B47"/>
    <w:rsid w:val="004B742F"/>
    <w:rsid w:val="004C3564"/>
    <w:rsid w:val="004D6344"/>
    <w:rsid w:val="00521B81"/>
    <w:rsid w:val="00583BB7"/>
    <w:rsid w:val="00585E3F"/>
    <w:rsid w:val="00590E0B"/>
    <w:rsid w:val="005C34DA"/>
    <w:rsid w:val="005D5FCF"/>
    <w:rsid w:val="00631B56"/>
    <w:rsid w:val="00634FBF"/>
    <w:rsid w:val="006462BC"/>
    <w:rsid w:val="00664C60"/>
    <w:rsid w:val="006921B5"/>
    <w:rsid w:val="006A08E5"/>
    <w:rsid w:val="006A53D5"/>
    <w:rsid w:val="006C5A04"/>
    <w:rsid w:val="006E39D8"/>
    <w:rsid w:val="00711FC0"/>
    <w:rsid w:val="007366E8"/>
    <w:rsid w:val="0075334D"/>
    <w:rsid w:val="0078433C"/>
    <w:rsid w:val="007C14D8"/>
    <w:rsid w:val="007D62F6"/>
    <w:rsid w:val="00801652"/>
    <w:rsid w:val="008113DD"/>
    <w:rsid w:val="008231D9"/>
    <w:rsid w:val="008334B8"/>
    <w:rsid w:val="008470EB"/>
    <w:rsid w:val="00872416"/>
    <w:rsid w:val="00900945"/>
    <w:rsid w:val="00902BFC"/>
    <w:rsid w:val="0092315E"/>
    <w:rsid w:val="00965230"/>
    <w:rsid w:val="009952F6"/>
    <w:rsid w:val="009B7D9D"/>
    <w:rsid w:val="009E01F0"/>
    <w:rsid w:val="00A0675A"/>
    <w:rsid w:val="00A21061"/>
    <w:rsid w:val="00A515D3"/>
    <w:rsid w:val="00A8680D"/>
    <w:rsid w:val="00A8710F"/>
    <w:rsid w:val="00B031AF"/>
    <w:rsid w:val="00B1077A"/>
    <w:rsid w:val="00B131C9"/>
    <w:rsid w:val="00B13C15"/>
    <w:rsid w:val="00B167A6"/>
    <w:rsid w:val="00B273C5"/>
    <w:rsid w:val="00B57B13"/>
    <w:rsid w:val="00B87BE6"/>
    <w:rsid w:val="00B87CE8"/>
    <w:rsid w:val="00B94DF6"/>
    <w:rsid w:val="00BB23E9"/>
    <w:rsid w:val="00C20E6A"/>
    <w:rsid w:val="00C2416C"/>
    <w:rsid w:val="00C87F3B"/>
    <w:rsid w:val="00C96E9C"/>
    <w:rsid w:val="00CA7A24"/>
    <w:rsid w:val="00D02882"/>
    <w:rsid w:val="00D06EFE"/>
    <w:rsid w:val="00D20D31"/>
    <w:rsid w:val="00D2600E"/>
    <w:rsid w:val="00D40F9C"/>
    <w:rsid w:val="00D558DF"/>
    <w:rsid w:val="00D81F91"/>
    <w:rsid w:val="00D8699F"/>
    <w:rsid w:val="00DC0592"/>
    <w:rsid w:val="00DF5480"/>
    <w:rsid w:val="00E072CD"/>
    <w:rsid w:val="00E2231E"/>
    <w:rsid w:val="00E30E0F"/>
    <w:rsid w:val="00E94322"/>
    <w:rsid w:val="00EA7F7D"/>
    <w:rsid w:val="00EC0699"/>
    <w:rsid w:val="00EE08BA"/>
    <w:rsid w:val="00EF69E4"/>
    <w:rsid w:val="00F011B0"/>
    <w:rsid w:val="00F3033F"/>
    <w:rsid w:val="00F3781A"/>
    <w:rsid w:val="00FA7504"/>
    <w:rsid w:val="00FB5FE4"/>
    <w:rsid w:val="00FB68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A623D"/>
  <w15:chartTrackingRefBased/>
  <w15:docId w15:val="{5836A0F8-B5BA-EB47-B72C-CB4341799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34DA"/>
  </w:style>
  <w:style w:type="paragraph" w:styleId="Heading1">
    <w:name w:val="heading 1"/>
    <w:basedOn w:val="Normal"/>
    <w:next w:val="Normal"/>
    <w:link w:val="Heading1Char"/>
    <w:uiPriority w:val="9"/>
    <w:qFormat/>
    <w:rsid w:val="005C34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C34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C34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C34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C34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C34D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34D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34D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34D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34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C34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C34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C34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34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34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34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34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34DA"/>
    <w:rPr>
      <w:rFonts w:eastAsiaTheme="majorEastAsia" w:cstheme="majorBidi"/>
      <w:color w:val="272727" w:themeColor="text1" w:themeTint="D8"/>
    </w:rPr>
  </w:style>
  <w:style w:type="paragraph" w:styleId="Title">
    <w:name w:val="Title"/>
    <w:basedOn w:val="Normal"/>
    <w:next w:val="Normal"/>
    <w:link w:val="TitleChar"/>
    <w:uiPriority w:val="10"/>
    <w:qFormat/>
    <w:rsid w:val="005C34D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34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34D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34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34D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C34DA"/>
    <w:rPr>
      <w:i/>
      <w:iCs/>
      <w:color w:val="404040" w:themeColor="text1" w:themeTint="BF"/>
    </w:rPr>
  </w:style>
  <w:style w:type="paragraph" w:styleId="ListParagraph">
    <w:name w:val="List Paragraph"/>
    <w:basedOn w:val="Normal"/>
    <w:uiPriority w:val="34"/>
    <w:qFormat/>
    <w:rsid w:val="005C34DA"/>
    <w:pPr>
      <w:ind w:left="720"/>
      <w:contextualSpacing/>
    </w:pPr>
  </w:style>
  <w:style w:type="character" w:styleId="IntenseEmphasis">
    <w:name w:val="Intense Emphasis"/>
    <w:basedOn w:val="DefaultParagraphFont"/>
    <w:uiPriority w:val="21"/>
    <w:qFormat/>
    <w:rsid w:val="005C34DA"/>
    <w:rPr>
      <w:i/>
      <w:iCs/>
      <w:color w:val="0F4761" w:themeColor="accent1" w:themeShade="BF"/>
    </w:rPr>
  </w:style>
  <w:style w:type="paragraph" w:styleId="IntenseQuote">
    <w:name w:val="Intense Quote"/>
    <w:basedOn w:val="Normal"/>
    <w:next w:val="Normal"/>
    <w:link w:val="IntenseQuoteChar"/>
    <w:uiPriority w:val="30"/>
    <w:qFormat/>
    <w:rsid w:val="005C34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C34DA"/>
    <w:rPr>
      <w:i/>
      <w:iCs/>
      <w:color w:val="0F4761" w:themeColor="accent1" w:themeShade="BF"/>
    </w:rPr>
  </w:style>
  <w:style w:type="character" w:styleId="IntenseReference">
    <w:name w:val="Intense Reference"/>
    <w:basedOn w:val="DefaultParagraphFont"/>
    <w:uiPriority w:val="32"/>
    <w:qFormat/>
    <w:rsid w:val="005C34DA"/>
    <w:rPr>
      <w:b/>
      <w:bCs/>
      <w:smallCaps/>
      <w:color w:val="0F4761" w:themeColor="accent1" w:themeShade="BF"/>
      <w:spacing w:val="5"/>
    </w:rPr>
  </w:style>
  <w:style w:type="paragraph" w:styleId="Caption">
    <w:name w:val="caption"/>
    <w:basedOn w:val="Normal"/>
    <w:next w:val="Normal"/>
    <w:uiPriority w:val="35"/>
    <w:unhideWhenUsed/>
    <w:qFormat/>
    <w:rsid w:val="005C34DA"/>
    <w:pPr>
      <w:spacing w:after="200"/>
    </w:pPr>
    <w:rPr>
      <w:i/>
      <w:iCs/>
      <w:color w:val="0E2841" w:themeColor="text2"/>
      <w:sz w:val="18"/>
      <w:szCs w:val="18"/>
    </w:rPr>
  </w:style>
  <w:style w:type="paragraph" w:styleId="Bibliography">
    <w:name w:val="Bibliography"/>
    <w:basedOn w:val="Normal"/>
    <w:next w:val="Normal"/>
    <w:uiPriority w:val="37"/>
    <w:unhideWhenUsed/>
    <w:rsid w:val="005C34DA"/>
    <w:pPr>
      <w:spacing w:after="240"/>
    </w:pPr>
  </w:style>
  <w:style w:type="paragraph" w:styleId="Revision">
    <w:name w:val="Revision"/>
    <w:hidden/>
    <w:uiPriority w:val="99"/>
    <w:semiHidden/>
    <w:rsid w:val="006E39D8"/>
  </w:style>
  <w:style w:type="character" w:styleId="CommentReference">
    <w:name w:val="annotation reference"/>
    <w:basedOn w:val="DefaultParagraphFont"/>
    <w:uiPriority w:val="99"/>
    <w:semiHidden/>
    <w:unhideWhenUsed/>
    <w:rsid w:val="00A8680D"/>
    <w:rPr>
      <w:sz w:val="16"/>
      <w:szCs w:val="16"/>
    </w:rPr>
  </w:style>
  <w:style w:type="paragraph" w:styleId="CommentText">
    <w:name w:val="annotation text"/>
    <w:basedOn w:val="Normal"/>
    <w:link w:val="CommentTextChar"/>
    <w:uiPriority w:val="99"/>
    <w:unhideWhenUsed/>
    <w:rsid w:val="00A8680D"/>
    <w:rPr>
      <w:sz w:val="20"/>
      <w:szCs w:val="20"/>
    </w:rPr>
  </w:style>
  <w:style w:type="character" w:customStyle="1" w:styleId="CommentTextChar">
    <w:name w:val="Comment Text Char"/>
    <w:basedOn w:val="DefaultParagraphFont"/>
    <w:link w:val="CommentText"/>
    <w:uiPriority w:val="99"/>
    <w:rsid w:val="00A8680D"/>
    <w:rPr>
      <w:sz w:val="20"/>
      <w:szCs w:val="20"/>
    </w:rPr>
  </w:style>
  <w:style w:type="paragraph" w:styleId="CommentSubject">
    <w:name w:val="annotation subject"/>
    <w:basedOn w:val="CommentText"/>
    <w:next w:val="CommentText"/>
    <w:link w:val="CommentSubjectChar"/>
    <w:uiPriority w:val="99"/>
    <w:semiHidden/>
    <w:unhideWhenUsed/>
    <w:rsid w:val="00A8680D"/>
    <w:rPr>
      <w:b/>
      <w:bCs/>
    </w:rPr>
  </w:style>
  <w:style w:type="character" w:customStyle="1" w:styleId="CommentSubjectChar">
    <w:name w:val="Comment Subject Char"/>
    <w:basedOn w:val="CommentTextChar"/>
    <w:link w:val="CommentSubject"/>
    <w:uiPriority w:val="99"/>
    <w:semiHidden/>
    <w:rsid w:val="00A8680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9</Pages>
  <Words>2270</Words>
  <Characters>12939</Characters>
  <Application>Microsoft Office Word</Application>
  <DocSecurity>0</DocSecurity>
  <Lines>107</Lines>
  <Paragraphs>30</Paragraphs>
  <ScaleCrop>false</ScaleCrop>
  <Company/>
  <LinksUpToDate>false</LinksUpToDate>
  <CharactersWithSpaces>15179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Revelo Velazquez, Natalia</dc:creator>
  <cp:keywords/>
  <dc:description/>
  <cp:lastModifiedBy>Chiara Dell' Aira</cp:lastModifiedBy>
  <cp:revision>12</cp:revision>
  <dcterms:created xsi:type="dcterms:W3CDTF">2025-03-20T18:41:00Z</dcterms:created>
  <dcterms:modified xsi:type="dcterms:W3CDTF">2025-03-20T19:16:00Z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id="PQjyTa9d"/&gt;&lt;style id="http://www.zotero.org/styles/international-journal-for-equity-in-health" hasBibliography="1" bibliographyStyleHasBeenSet="1"/&gt;&lt;prefs&gt;&lt;pref name="fieldType" value="Field"/&gt;&lt;p</vt:lpwstr>
  </property>
  <property fmtid="{D5CDD505-2E9C-101B-9397-08002B2CF9AE}" pid="3" name="ZOTERO_PREF_2">
    <vt:lpwstr>ref name="automaticJournalAbbreviations" value="true"/&gt;&lt;/prefs&gt;&lt;/data&gt;</vt:lpwstr>
  </property>
</Properties>
</file>