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640FF" w14:textId="77777777" w:rsidR="000069C3" w:rsidRPr="00FF75EE" w:rsidRDefault="000069C3" w:rsidP="000069C3">
      <w:pPr>
        <w:pStyle w:val="Heading3"/>
        <w:shd w:val="clear" w:color="auto" w:fill="FFFFFF"/>
        <w:spacing w:before="120" w:after="120"/>
        <w:jc w:val="both"/>
        <w:rPr>
          <w:rFonts w:ascii="Arial" w:eastAsia="Arial" w:hAnsi="Arial"/>
          <w:b/>
          <w:sz w:val="20"/>
        </w:rPr>
      </w:pPr>
      <w:r w:rsidRPr="00FF75EE">
        <w:rPr>
          <w:rFonts w:ascii="Arial" w:eastAsia="Arial" w:hAnsi="Arial"/>
          <w:sz w:val="20"/>
        </w:rPr>
        <w:t xml:space="preserve">Table 1 - Demographic and clinical features of chronic insomnia patients and control group. </w:t>
      </w:r>
    </w:p>
    <w:tbl>
      <w:tblPr>
        <w:tblStyle w:val="PlainTable1"/>
        <w:tblW w:w="8217" w:type="dxa"/>
        <w:tblLayout w:type="fixed"/>
        <w:tblLook w:val="0400" w:firstRow="0" w:lastRow="0" w:firstColumn="0" w:lastColumn="0" w:noHBand="0" w:noVBand="1"/>
      </w:tblPr>
      <w:tblGrid>
        <w:gridCol w:w="2717"/>
        <w:gridCol w:w="2201"/>
        <w:gridCol w:w="2224"/>
        <w:gridCol w:w="1075"/>
      </w:tblGrid>
      <w:tr w:rsidR="000069C3" w:rsidRPr="00FF75EE" w14:paraId="09C7EDB3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</w:tcPr>
          <w:p w14:paraId="27182ACA" w14:textId="77777777" w:rsidR="000069C3" w:rsidRPr="00FF75EE" w:rsidRDefault="000069C3" w:rsidP="00512BEF">
            <w:pPr>
              <w:pStyle w:val="Heading3"/>
              <w:spacing w:before="0" w:after="120"/>
              <w:rPr>
                <w:rFonts w:ascii="Arial" w:eastAsia="Arial" w:hAnsi="Arial"/>
                <w:sz w:val="20"/>
              </w:rPr>
            </w:pPr>
          </w:p>
        </w:tc>
        <w:tc>
          <w:tcPr>
            <w:tcW w:w="220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</w:tcPr>
          <w:p w14:paraId="652E4B0B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Control subjects n=13</w:t>
            </w:r>
          </w:p>
        </w:tc>
        <w:tc>
          <w:tcPr>
            <w:tcW w:w="2224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</w:tcPr>
          <w:p w14:paraId="3C01BFA9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Insomnia subjects n=14</w:t>
            </w:r>
          </w:p>
        </w:tc>
        <w:tc>
          <w:tcPr>
            <w:tcW w:w="1075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</w:tcPr>
          <w:p w14:paraId="2A2287FE" w14:textId="77777777" w:rsidR="000069C3" w:rsidRPr="00FF75EE" w:rsidRDefault="000069C3" w:rsidP="00512BEF">
            <w:pPr>
              <w:pStyle w:val="Heading3"/>
              <w:spacing w:before="0" w:after="120"/>
              <w:rPr>
                <w:rFonts w:ascii="Arial" w:eastAsia="Arial" w:hAnsi="Arial"/>
                <w:i/>
                <w:sz w:val="20"/>
              </w:rPr>
            </w:pPr>
            <w:r w:rsidRPr="00FF75EE">
              <w:rPr>
                <w:rFonts w:ascii="Arial" w:eastAsia="Arial" w:hAnsi="Arial"/>
                <w:i/>
                <w:sz w:val="20"/>
              </w:rPr>
              <w:t>p-value</w:t>
            </w:r>
          </w:p>
        </w:tc>
      </w:tr>
      <w:tr w:rsidR="000069C3" w:rsidRPr="00FF75EE" w14:paraId="3AA82CFC" w14:textId="77777777" w:rsidTr="00512BEF">
        <w:trPr>
          <w:trHeight w:val="494"/>
        </w:trPr>
        <w:tc>
          <w:tcPr>
            <w:tcW w:w="2717" w:type="dxa"/>
            <w:tcBorders>
              <w:top w:val="single" w:sz="4" w:space="0" w:color="BFBFBF"/>
              <w:left w:val="nil"/>
              <w:bottom w:val="nil"/>
              <w:right w:val="nil"/>
            </w:tcBorders>
          </w:tcPr>
          <w:p w14:paraId="55F69802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Age (years)</w:t>
            </w:r>
          </w:p>
        </w:tc>
        <w:tc>
          <w:tcPr>
            <w:tcW w:w="2201" w:type="dxa"/>
            <w:tcBorders>
              <w:top w:val="single" w:sz="4" w:space="0" w:color="BFBFBF"/>
              <w:left w:val="nil"/>
              <w:bottom w:val="nil"/>
              <w:right w:val="nil"/>
            </w:tcBorders>
          </w:tcPr>
          <w:p w14:paraId="70327677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39.31 ± 2.59</w:t>
            </w:r>
          </w:p>
        </w:tc>
        <w:tc>
          <w:tcPr>
            <w:tcW w:w="2224" w:type="dxa"/>
            <w:tcBorders>
              <w:top w:val="single" w:sz="4" w:space="0" w:color="BFBFBF"/>
              <w:left w:val="nil"/>
              <w:bottom w:val="nil"/>
              <w:right w:val="nil"/>
            </w:tcBorders>
          </w:tcPr>
          <w:p w14:paraId="5AF7A917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44.36 ± 3.60</w:t>
            </w:r>
          </w:p>
        </w:tc>
        <w:tc>
          <w:tcPr>
            <w:tcW w:w="1075" w:type="dxa"/>
            <w:tcBorders>
              <w:top w:val="single" w:sz="4" w:space="0" w:color="BFBFBF"/>
              <w:left w:val="nil"/>
              <w:bottom w:val="nil"/>
              <w:right w:val="nil"/>
            </w:tcBorders>
          </w:tcPr>
          <w:p w14:paraId="6A1ECCEA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 xml:space="preserve">0.27 </w:t>
            </w:r>
          </w:p>
        </w:tc>
      </w:tr>
      <w:tr w:rsidR="000069C3" w:rsidRPr="00FF75EE" w14:paraId="43C2AF47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0D2A2AD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Sex (M/F)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0BB7AC9B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Male n=4/ Female n=9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20655D0C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Male n=1/ Female n=13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6BAF6BAD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-</w:t>
            </w:r>
          </w:p>
        </w:tc>
      </w:tr>
      <w:tr w:rsidR="000069C3" w:rsidRPr="00FF75EE" w14:paraId="11A1C436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1ECB1222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BMI (kg/m²)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6F8365EF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22.67 ± 0.85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1EEA7BE2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22.73 ± 0.97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249F62E5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0.96</w:t>
            </w:r>
          </w:p>
        </w:tc>
      </w:tr>
      <w:tr w:rsidR="000069C3" w:rsidRPr="00FF75EE" w14:paraId="53DC5D70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05F0F701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STOP-Bang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08409B5D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0.91 ± 0.31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3194E287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1.86 ± 0.29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37C3212C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0.05</w:t>
            </w:r>
          </w:p>
        </w:tc>
      </w:tr>
      <w:tr w:rsidR="000069C3" w:rsidRPr="00FF75EE" w14:paraId="2B8EE020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7F98454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Epworth Sleepiness Scale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A5660E8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7.25 ± 1.11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6ED08EAD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8.21 ± 1.82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51FE805A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0.67</w:t>
            </w:r>
          </w:p>
        </w:tc>
      </w:tr>
      <w:tr w:rsidR="000069C3" w:rsidRPr="00FF75EE" w14:paraId="6364A1DC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233906E4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 xml:space="preserve"> Insomnia Severity Index (ISI)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DCA1572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4.83 ± 1.62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2CA58E3B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17.2 ± 1.10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664E42C6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****</w:t>
            </w:r>
          </w:p>
        </w:tc>
      </w:tr>
      <w:tr w:rsidR="000069C3" w:rsidRPr="00FF75EE" w14:paraId="39E1D4D1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26A25F66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HADS anxiety scale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E3283CD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5.25 ± 0.77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32F72EB5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8.43 ± 0.65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4FC7AA6C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**</w:t>
            </w:r>
          </w:p>
        </w:tc>
      </w:tr>
      <w:tr w:rsidR="000069C3" w:rsidRPr="00FF75EE" w14:paraId="625EE36E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27AE18C3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HADS depression scale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CF8CB94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2.00 ± 0.63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4FA6C555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5.50 ± 0.82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4BED1C2E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**</w:t>
            </w:r>
          </w:p>
        </w:tc>
      </w:tr>
      <w:tr w:rsidR="000069C3" w:rsidRPr="00FF75EE" w14:paraId="5AED8514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D47E12E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Diet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799682F7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1E2B353E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A65A92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6F5516D2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5173BC9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Healthy diet,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75D80F6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10/12 (83,3%)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69292944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13/14 (92,8%)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115FA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4A6493A1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2E5971FF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Regular diet,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8771948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12/12 (100%)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4C11AA3C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10/14 (71,4%)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C99C9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22EAF979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0F8058A4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No. of meals per day, average [n]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9D53430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4 [11]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13400083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4 [14]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606AB9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1B9B138C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2B716EA0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Physical activity,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9ADB788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8/12 (66.6%)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5866BA37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4/14 (28.6%)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02B9B4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1A9B0D3D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27499DBB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At night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E34C76E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–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59D39F26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–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D6CFE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4F12C4EA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957A325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 w:cs="Arial"/>
                <w:color w:val="1F1F1F"/>
                <w:sz w:val="20"/>
                <w:szCs w:val="20"/>
              </w:rPr>
            </w:pP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Smoke,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21A8EF2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 w:cs="Arial"/>
                <w:b/>
                <w:color w:val="1F1F1F"/>
                <w:sz w:val="20"/>
                <w:szCs w:val="20"/>
                <w:highlight w:val="yellow"/>
              </w:rPr>
            </w:pP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 xml:space="preserve">1/12 (8.3%) 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0FEA9EDA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 w:cs="Arial"/>
                <w:b/>
                <w:color w:val="1F1F1F"/>
                <w:sz w:val="20"/>
                <w:szCs w:val="20"/>
                <w:highlight w:val="yellow"/>
              </w:rPr>
            </w:pP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3/14 (21.4%)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CC8DE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111405B2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1E191DCD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 w:cs="Arial"/>
                <w:color w:val="1F1F1F"/>
                <w:sz w:val="20"/>
                <w:szCs w:val="20"/>
              </w:rPr>
            </w:pPr>
            <w:r w:rsidRPr="00FF75EE">
              <w:rPr>
                <w:rFonts w:ascii="Arial" w:eastAsia="Arial" w:hAnsi="Arial"/>
                <w:sz w:val="20"/>
              </w:rPr>
              <w:t xml:space="preserve">Alcohol intake, </w:t>
            </w: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498FE51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 w:cs="Arial"/>
                <w:b/>
                <w:color w:val="1F1F1F"/>
                <w:sz w:val="20"/>
                <w:szCs w:val="20"/>
                <w:highlight w:val="yellow"/>
              </w:rPr>
            </w:pPr>
            <w:r w:rsidRPr="00FF75EE">
              <w:rPr>
                <w:rFonts w:ascii="Arial" w:eastAsia="Arial" w:hAnsi="Arial"/>
                <w:sz w:val="20"/>
              </w:rPr>
              <w:t>4/12 (33.3%)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3C612FC9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 w:cs="Arial"/>
                <w:b/>
                <w:color w:val="1F1F1F"/>
                <w:sz w:val="20"/>
                <w:szCs w:val="20"/>
                <w:highlight w:val="yellow"/>
              </w:rPr>
            </w:pPr>
            <w:r w:rsidRPr="00FF75EE">
              <w:rPr>
                <w:rFonts w:ascii="Arial" w:eastAsia="Arial" w:hAnsi="Arial"/>
                <w:sz w:val="20"/>
              </w:rPr>
              <w:t>3/14 (21</w:t>
            </w: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.</w:t>
            </w:r>
            <w:r w:rsidRPr="00FF75EE">
              <w:rPr>
                <w:rFonts w:ascii="Arial" w:eastAsia="Arial" w:hAnsi="Arial"/>
                <w:sz w:val="20"/>
              </w:rPr>
              <w:t>4%)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72FAFF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2261E559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82B3749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 xml:space="preserve">Caffeine, </w:t>
            </w: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CF4B925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8/12 (66.6%)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136FA12D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9/14 (64</w:t>
            </w: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.</w:t>
            </w:r>
            <w:r w:rsidRPr="00FF75EE">
              <w:rPr>
                <w:rFonts w:ascii="Arial" w:eastAsia="Arial" w:hAnsi="Arial"/>
                <w:sz w:val="20"/>
              </w:rPr>
              <w:t>2%)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8701EE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085BF20F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20A851AA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 w:cs="Arial"/>
                <w:color w:val="1F1F1F"/>
                <w:sz w:val="20"/>
                <w:szCs w:val="20"/>
              </w:rPr>
              <w:t>Diagnosed conditions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7451A16C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7AAAB50D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0A7A4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2E81907C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A61D4C3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Hypertension,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262C06DD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1/13 (7.69%)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0210022A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2/14 (14.3%)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FA960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66853939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B90AFE7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Cardiovascular diseases,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8B8F601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-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2AC249F9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1/14 (7.1%)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9CA57A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210F49C0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1FF11BF2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Metabolic disorders,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7FC9DD64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-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7E3F344B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1/14 (7.1%)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C621E6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1AFB8063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28D1261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Musculoskeletal disorders,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90705F4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-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7D7C3EFF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1/14 (7.1%)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89C947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7C4305C9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D791667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Gastrointestinal disorders,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695D4F59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-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3BB9F2AF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3/14 (21,4%)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9FE5E2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7443874C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241E56F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Asthma, COPD,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250B9F14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2/13 (15.4%)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49E28E3E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1/14 (7.1%)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77C169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7D3169CA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DAA6A9D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Endocrine disorders,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6DC8FA8D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-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5240D42E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1/14 (7.1%)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8C45A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731663C0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BB453F4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Chronic Fatigue (Fibromyalgia),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0005B54D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-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7608EF9C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1/14 (7.1%)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DD2D0E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7FDF67A9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CFDABA5" w14:textId="77777777" w:rsidR="000069C3" w:rsidRPr="00FF75EE" w:rsidRDefault="000069C3" w:rsidP="00512BEF">
            <w:pPr>
              <w:jc w:val="right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b/>
                <w:sz w:val="20"/>
              </w:rPr>
              <w:t>Medication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6AAEAC2F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4A107FB5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02D86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6FA74646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898B382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lastRenderedPageBreak/>
              <w:t>Antihypertensives,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52B5878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1/13 (7.69%)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7AEDD00D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2/14 (14.3%)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38879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4A28999E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7F3FCDBB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Anticholesterolemic agents,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DC48B20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-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081A1EC6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1/14 (7.1%)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B44BB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1DCF6562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129A1A98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Hypoglicemic/Antidiabetic agents,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CFAE4AD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-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0023A82E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1/14 (7.1%)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F78C54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27E02239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87133FF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Heart drugs,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69E49DD8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-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02884A01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1/14 (7.1%)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BB65F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5FC18B3F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C8DA8AA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Drugs for gastrointestinal system,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18C784B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-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44EFBCB9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2/14 (14.3%)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7D921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66C64437" w14:textId="77777777" w:rsidTr="00512BEF"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1F07DBF0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Asthma/COPD drugs, y/n (%)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0B8D36D2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2/13 (15.4%)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</w:tcPr>
          <w:p w14:paraId="437CC558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1/14 (7.1%)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B9D82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  <w:tr w:rsidR="000069C3" w:rsidRPr="00FF75EE" w14:paraId="5ED35C05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717" w:type="dxa"/>
            <w:tcBorders>
              <w:top w:val="nil"/>
              <w:left w:val="nil"/>
              <w:bottom w:val="single" w:sz="4" w:space="0" w:color="BFBFBF"/>
              <w:right w:val="nil"/>
            </w:tcBorders>
          </w:tcPr>
          <w:p w14:paraId="5F33D077" w14:textId="77777777" w:rsidR="000069C3" w:rsidRPr="00FF75EE" w:rsidRDefault="000069C3" w:rsidP="00512BEF">
            <w:pPr>
              <w:pStyle w:val="Heading3"/>
              <w:spacing w:before="0" w:after="120"/>
              <w:jc w:val="right"/>
              <w:rPr>
                <w:rFonts w:ascii="Arial" w:eastAsia="Arial" w:hAnsi="Arial"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Thyroid drugs, y/n (%)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BFBFBF"/>
              <w:right w:val="nil"/>
            </w:tcBorders>
          </w:tcPr>
          <w:p w14:paraId="61D140F1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-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BFBFBF"/>
              <w:right w:val="nil"/>
            </w:tcBorders>
          </w:tcPr>
          <w:p w14:paraId="33B543FB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  <w:r w:rsidRPr="00FF75EE">
              <w:rPr>
                <w:rFonts w:ascii="Arial" w:eastAsia="Arial" w:hAnsi="Arial"/>
                <w:sz w:val="20"/>
              </w:rPr>
              <w:t>1/14 (7.1%)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</w:tcPr>
          <w:p w14:paraId="4BFDB346" w14:textId="77777777" w:rsidR="000069C3" w:rsidRPr="00FF75EE" w:rsidRDefault="000069C3" w:rsidP="00512BEF">
            <w:pPr>
              <w:pStyle w:val="Heading3"/>
              <w:spacing w:before="0" w:after="120"/>
              <w:jc w:val="center"/>
              <w:rPr>
                <w:rFonts w:ascii="Arial" w:eastAsia="Arial" w:hAnsi="Arial"/>
                <w:b/>
                <w:sz w:val="20"/>
              </w:rPr>
            </w:pPr>
          </w:p>
        </w:tc>
      </w:tr>
    </w:tbl>
    <w:p w14:paraId="6D7E129E" w14:textId="77777777" w:rsidR="000069C3" w:rsidRPr="00FF75EE" w:rsidRDefault="000069C3" w:rsidP="000069C3">
      <w:pPr>
        <w:pStyle w:val="Heading3"/>
        <w:shd w:val="clear" w:color="auto" w:fill="FFFFFF"/>
        <w:spacing w:before="120" w:after="120" w:line="276" w:lineRule="auto"/>
        <w:jc w:val="both"/>
        <w:rPr>
          <w:rFonts w:ascii="Arial" w:eastAsia="Arial" w:hAnsi="Arial"/>
          <w:b/>
          <w:sz w:val="20"/>
        </w:rPr>
      </w:pPr>
      <w:r w:rsidRPr="00FF75EE">
        <w:rPr>
          <w:rFonts w:ascii="Arial" w:eastAsia="Arial" w:hAnsi="Arial"/>
          <w:sz w:val="20"/>
        </w:rPr>
        <w:t>BMI, Body mass index. ESS, Epworth sleepiness scale.</w:t>
      </w:r>
      <w:r w:rsidRPr="00FF75EE">
        <w:rPr>
          <w:rFonts w:ascii="Arial" w:eastAsia="Arial" w:hAnsi="Arial"/>
          <w:color w:val="FF0000"/>
          <w:sz w:val="20"/>
        </w:rPr>
        <w:t xml:space="preserve"> </w:t>
      </w:r>
      <w:r w:rsidRPr="00FF75EE">
        <w:rPr>
          <w:rFonts w:ascii="Arial" w:eastAsia="Arial" w:hAnsi="Arial"/>
          <w:color w:val="000000"/>
          <w:sz w:val="20"/>
        </w:rPr>
        <w:t xml:space="preserve">HADS, Hospitalar anxiety and depression scale. COPD, </w:t>
      </w:r>
      <w:r w:rsidRPr="00FF75EE">
        <w:rPr>
          <w:rFonts w:ascii="Arial" w:eastAsia="Arial" w:hAnsi="Arial"/>
          <w:sz w:val="20"/>
        </w:rPr>
        <w:t>Chronic Obstructive Pulmonary Disease. y/n, number of subjects included in the category per total number of subjects, in the group, from who data is available. Data is presented as mean ± SEM when applicable. Significant alterations were evaluated using unpaired parametric t-test for comparisons with control group (*p &lt; 0.05, **p &lt; 0.01, ***p &lt; 0.001; ****p &lt; 0.0001). N = 13-14 per group.</w:t>
      </w:r>
    </w:p>
    <w:p w14:paraId="189D1955" w14:textId="77777777" w:rsidR="000069C3" w:rsidRPr="00FF75EE" w:rsidRDefault="000069C3" w:rsidP="000069C3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both"/>
        <w:rPr>
          <w:rFonts w:ascii="Arial" w:eastAsia="Arial" w:hAnsi="Arial"/>
          <w:color w:val="1F1F1F"/>
          <w:sz w:val="20"/>
          <w:lang w:val="en-US"/>
        </w:rPr>
      </w:pPr>
      <w:r w:rsidRPr="00FF75EE">
        <w:rPr>
          <w:rFonts w:ascii="Arial" w:eastAsia="Arial" w:hAnsi="Arial"/>
          <w:b/>
          <w:color w:val="1F1F1F"/>
          <w:sz w:val="20"/>
          <w:lang w:val="en-US"/>
        </w:rPr>
        <w:t xml:space="preserve">Table 2 – Sleep-related characteristics assessed by polysomnography (PSG) in healthy control subjects and patients with chronic Insomnia categorized into subgroups with short sleep duration (ISSD) and normal sleep duration (INSD). </w:t>
      </w:r>
      <w:r w:rsidRPr="00FF75EE">
        <w:rPr>
          <w:rFonts w:ascii="Arial" w:eastAsia="Arial" w:hAnsi="Arial"/>
          <w:color w:val="1F1F1F"/>
          <w:sz w:val="20"/>
          <w:lang w:val="en-US"/>
        </w:rPr>
        <w:t xml:space="preserve">Graphs show the Mean ± SEM for the following variables: Total Sleep Time (TST), sleep efficiency percentage (%), sleep latency (min), number of awakenings, wakefulness after sleep onset (WASO, minutes), REM </w:t>
      </w:r>
      <w:r>
        <w:rPr>
          <w:rFonts w:ascii="Arial" w:eastAsia="Arial" w:hAnsi="Arial"/>
          <w:color w:val="1F1F1F"/>
          <w:sz w:val="20"/>
          <w:lang w:val="en-US"/>
        </w:rPr>
        <w:t>percentage</w:t>
      </w:r>
      <w:r w:rsidRPr="00FF75EE">
        <w:rPr>
          <w:rFonts w:ascii="Arial" w:eastAsia="Arial" w:hAnsi="Arial"/>
          <w:color w:val="1F1F1F"/>
          <w:sz w:val="20"/>
          <w:lang w:val="en-US"/>
        </w:rPr>
        <w:t xml:space="preserve"> (%), and Apnea-Hypoapnea Index (AHI). Significant alterations were evaluated using unpaired parametric t-test for comparisons with control group (*p &lt; 0.05, **p &lt; 0.01, ***p &lt; 0.001; ****p &lt; 0.0001). N = 6-14 per group.</w:t>
      </w:r>
    </w:p>
    <w:tbl>
      <w:tblPr>
        <w:tblStyle w:val="PlainTable1"/>
        <w:tblW w:w="8640" w:type="dxa"/>
        <w:tblLayout w:type="fixed"/>
        <w:tblLook w:val="0400" w:firstRow="0" w:lastRow="0" w:firstColumn="0" w:lastColumn="0" w:noHBand="0" w:noVBand="1"/>
      </w:tblPr>
      <w:tblGrid>
        <w:gridCol w:w="1760"/>
        <w:gridCol w:w="1780"/>
        <w:gridCol w:w="1780"/>
        <w:gridCol w:w="1660"/>
        <w:gridCol w:w="1660"/>
      </w:tblGrid>
      <w:tr w:rsidR="000069C3" w:rsidRPr="00FF75EE" w14:paraId="77039ACA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1"/>
        </w:trPr>
        <w:tc>
          <w:tcPr>
            <w:tcW w:w="17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DE194F0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>PSG parameter</w:t>
            </w:r>
          </w:p>
        </w:tc>
        <w:tc>
          <w:tcPr>
            <w:tcW w:w="178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321BAAD5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>Controls (n=13)</w:t>
            </w:r>
          </w:p>
        </w:tc>
        <w:tc>
          <w:tcPr>
            <w:tcW w:w="178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6A757994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>Insomnia (n=14)</w:t>
            </w:r>
          </w:p>
        </w:tc>
        <w:tc>
          <w:tcPr>
            <w:tcW w:w="16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37C6188E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>ISSD (n=8)</w:t>
            </w:r>
          </w:p>
        </w:tc>
        <w:tc>
          <w:tcPr>
            <w:tcW w:w="16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5A8C7BE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>INSD (n=6)</w:t>
            </w:r>
          </w:p>
        </w:tc>
      </w:tr>
      <w:tr w:rsidR="000069C3" w:rsidRPr="00FF75EE" w14:paraId="2B92F3D0" w14:textId="77777777" w:rsidTr="00512BEF">
        <w:trPr>
          <w:trHeight w:val="666"/>
        </w:trPr>
        <w:tc>
          <w:tcPr>
            <w:tcW w:w="1760" w:type="dxa"/>
            <w:tcBorders>
              <w:top w:val="single" w:sz="4" w:space="0" w:color="BFBFBF"/>
              <w:left w:val="nil"/>
              <w:bottom w:val="nil"/>
              <w:right w:val="nil"/>
            </w:tcBorders>
            <w:vAlign w:val="center"/>
          </w:tcPr>
          <w:p w14:paraId="60561E42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>TST (h)</w:t>
            </w:r>
          </w:p>
        </w:tc>
        <w:tc>
          <w:tcPr>
            <w:tcW w:w="1780" w:type="dxa"/>
            <w:tcBorders>
              <w:top w:val="single" w:sz="4" w:space="0" w:color="BFBFBF"/>
              <w:left w:val="nil"/>
              <w:bottom w:val="nil"/>
              <w:right w:val="nil"/>
            </w:tcBorders>
            <w:vAlign w:val="center"/>
          </w:tcPr>
          <w:p w14:paraId="62D3B2F3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6.92 ± 0.31</w:t>
            </w:r>
          </w:p>
        </w:tc>
        <w:tc>
          <w:tcPr>
            <w:tcW w:w="1780" w:type="dxa"/>
            <w:tcBorders>
              <w:top w:val="single" w:sz="4" w:space="0" w:color="BFBFBF"/>
              <w:left w:val="nil"/>
              <w:bottom w:val="nil"/>
              <w:right w:val="nil"/>
            </w:tcBorders>
            <w:vAlign w:val="center"/>
          </w:tcPr>
          <w:p w14:paraId="6E850079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5.83 ± 0.27 *</w:t>
            </w:r>
          </w:p>
        </w:tc>
        <w:tc>
          <w:tcPr>
            <w:tcW w:w="1660" w:type="dxa"/>
            <w:tcBorders>
              <w:top w:val="single" w:sz="4" w:space="0" w:color="BFBFBF"/>
              <w:left w:val="nil"/>
              <w:bottom w:val="nil"/>
              <w:right w:val="nil"/>
            </w:tcBorders>
            <w:vAlign w:val="center"/>
          </w:tcPr>
          <w:p w14:paraId="7F7006E2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5.28 ± 0.34 **</w:t>
            </w:r>
          </w:p>
        </w:tc>
        <w:tc>
          <w:tcPr>
            <w:tcW w:w="1660" w:type="dxa"/>
            <w:tcBorders>
              <w:top w:val="single" w:sz="4" w:space="0" w:color="BFBFBF"/>
              <w:left w:val="nil"/>
              <w:bottom w:val="nil"/>
              <w:right w:val="nil"/>
            </w:tcBorders>
            <w:vAlign w:val="center"/>
          </w:tcPr>
          <w:p w14:paraId="07C4FFB8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6.56 ± 0.23</w:t>
            </w:r>
          </w:p>
        </w:tc>
      </w:tr>
      <w:tr w:rsidR="000069C3" w:rsidRPr="00FF75EE" w14:paraId="1A95F01C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02E5B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>Sleep Latency (min)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F30F2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15.58 ± 2.05</w:t>
            </w:r>
          </w:p>
          <w:p w14:paraId="6AA5B696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A904D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33.30 ± 8.47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EC4D3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44.79 ± 12.97 *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18707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17.98 ± 6.23</w:t>
            </w:r>
          </w:p>
        </w:tc>
      </w:tr>
      <w:tr w:rsidR="000069C3" w:rsidRPr="00FF75EE" w14:paraId="6C207830" w14:textId="77777777" w:rsidTr="00512BEF">
        <w:trPr>
          <w:trHeight w:val="775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9307A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>Sleep efficiency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564AE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91.18 ± 0.70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42F11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77.60 ± 3.02  ***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E806F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70.71 ± 2.62 ****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1F353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86.78 ± 3.63</w:t>
            </w:r>
          </w:p>
        </w:tc>
      </w:tr>
      <w:tr w:rsidR="000069C3" w:rsidRPr="00FF75EE" w14:paraId="4F91F54B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5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FBCC1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>No. of awakenings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90091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4.33 ± 0.58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7AD52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22.53 ± 1.58 ****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0D2D1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24.50 ± 2.52 ****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48653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20.78 ± 1.93 ****</w:t>
            </w:r>
          </w:p>
        </w:tc>
      </w:tr>
      <w:tr w:rsidR="000069C3" w:rsidRPr="00FF75EE" w14:paraId="7A9D9A7D" w14:textId="77777777" w:rsidTr="00512BEF">
        <w:trPr>
          <w:trHeight w:val="775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C219A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>WASO (min)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1E53E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-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43C43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57.11 ± 8.73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8ADC8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77.75 ± 9.33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FAA86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29.58 ± 5.90</w:t>
            </w:r>
          </w:p>
        </w:tc>
      </w:tr>
      <w:tr w:rsidR="000069C3" w:rsidRPr="00FF75EE" w14:paraId="1BE9A7D3" w14:textId="77777777" w:rsidTr="00512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5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C9603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 xml:space="preserve">REM </w:t>
            </w:r>
            <w:r>
              <w:rPr>
                <w:rFonts w:ascii="Arial" w:eastAsia="Arial" w:hAnsi="Arial"/>
                <w:b/>
                <w:color w:val="000000"/>
                <w:sz w:val="20"/>
              </w:rPr>
              <w:t>percentage</w:t>
            </w: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 xml:space="preserve"> (%)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3BA72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27.25 ± 1.88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47A95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18.20 ± 1.09 ***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F97CB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17.39 ± 1.28 **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F35A4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19.28 ± 1.94 *</w:t>
            </w:r>
          </w:p>
        </w:tc>
      </w:tr>
      <w:tr w:rsidR="000069C3" w:rsidRPr="00FF75EE" w14:paraId="591D434E" w14:textId="77777777" w:rsidTr="00512BEF">
        <w:trPr>
          <w:trHeight w:val="388"/>
        </w:trPr>
        <w:tc>
          <w:tcPr>
            <w:tcW w:w="1760" w:type="dxa"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</w:tcPr>
          <w:p w14:paraId="6DD81BEC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b/>
                <w:color w:val="000000"/>
                <w:sz w:val="20"/>
              </w:rPr>
              <w:t>AHI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</w:tcPr>
          <w:p w14:paraId="16B41783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2.92 ± 0.71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</w:tcPr>
          <w:p w14:paraId="15F6A9ED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3.54 ± 0.69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</w:tcPr>
          <w:p w14:paraId="32E19874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2.80 ± 0.91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</w:tcPr>
          <w:p w14:paraId="13A26C31" w14:textId="77777777" w:rsidR="000069C3" w:rsidRPr="00FF75EE" w:rsidRDefault="000069C3" w:rsidP="00512B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/>
                <w:color w:val="000000"/>
                <w:sz w:val="20"/>
              </w:rPr>
            </w:pPr>
            <w:r w:rsidRPr="00FF75EE">
              <w:rPr>
                <w:rFonts w:ascii="Arial" w:eastAsia="Arial" w:hAnsi="Arial"/>
                <w:color w:val="000000"/>
                <w:sz w:val="20"/>
              </w:rPr>
              <w:t>4.53 ± 0.98</w:t>
            </w:r>
          </w:p>
        </w:tc>
      </w:tr>
    </w:tbl>
    <w:p w14:paraId="52ABE751" w14:textId="77777777" w:rsidR="000069C3" w:rsidRPr="00FF75EE" w:rsidRDefault="000069C3" w:rsidP="000069C3">
      <w:pPr>
        <w:pStyle w:val="Heading3"/>
        <w:shd w:val="clear" w:color="auto" w:fill="FFFFFF"/>
        <w:spacing w:before="120" w:after="120" w:line="276" w:lineRule="auto"/>
        <w:jc w:val="both"/>
        <w:rPr>
          <w:rFonts w:ascii="Arial" w:eastAsia="Arial" w:hAnsi="Arial" w:cs="Arial"/>
          <w:bCs/>
          <w:sz w:val="20"/>
          <w:szCs w:val="20"/>
        </w:rPr>
      </w:pPr>
    </w:p>
    <w:p w14:paraId="27D6026B" w14:textId="77777777" w:rsidR="000069C3" w:rsidRPr="00FF75EE" w:rsidRDefault="000069C3" w:rsidP="000069C3">
      <w:pPr>
        <w:spacing w:before="120" w:after="120" w:line="276" w:lineRule="auto"/>
        <w:rPr>
          <w:rFonts w:ascii="Arial" w:eastAsia="Arial" w:hAnsi="Arial" w:cs="Arial"/>
          <w:b/>
          <w:sz w:val="21"/>
          <w:szCs w:val="21"/>
          <w:lang w:val="en-US"/>
        </w:rPr>
      </w:pPr>
      <w:r w:rsidRPr="00FF75EE">
        <w:rPr>
          <w:rFonts w:ascii="Arial" w:eastAsia="Arial" w:hAnsi="Arial" w:cs="Arial"/>
          <w:b/>
          <w:sz w:val="21"/>
          <w:szCs w:val="21"/>
          <w:lang w:val="en-US"/>
        </w:rPr>
        <w:br w:type="page"/>
      </w:r>
    </w:p>
    <w:p w14:paraId="41684D0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9C3"/>
    <w:rsid w:val="000069C3"/>
    <w:rsid w:val="002E281E"/>
    <w:rsid w:val="003201BB"/>
    <w:rsid w:val="00865217"/>
    <w:rsid w:val="00E3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C5D1F"/>
  <w15:chartTrackingRefBased/>
  <w15:docId w15:val="{7B95EA56-FCAD-445B-B6D1-CFD4A8F99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9C3"/>
    <w:pPr>
      <w:spacing w:after="0" w:line="240" w:lineRule="auto"/>
    </w:pPr>
    <w:rPr>
      <w:rFonts w:ascii="Times New Roman" w:eastAsia="Times New Roman" w:hAnsi="Times New Roman" w:cs="Times New Roman"/>
      <w:kern w:val="0"/>
      <w:lang w:val="pt-PT" w:eastAsia="pt-P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69C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69C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069C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69C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69C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69C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69C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69C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69C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69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69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069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69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69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69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69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69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69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69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069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69C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069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69C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069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69C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069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69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69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69C3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0069C3"/>
    <w:pPr>
      <w:spacing w:after="0" w:line="240" w:lineRule="auto"/>
    </w:pPr>
    <w:rPr>
      <w:rFonts w:ascii="Times New Roman" w:eastAsia="Times New Roman" w:hAnsi="Times New Roman" w:cs="Times New Roman"/>
      <w:kern w:val="0"/>
      <w:lang w:eastAsia="pt-PT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514</Words>
  <Characters>2933</Characters>
  <Application>Microsoft Office Word</Application>
  <DocSecurity>0</DocSecurity>
  <Lines>24</Lines>
  <Paragraphs>6</Paragraphs>
  <ScaleCrop>false</ScaleCrop>
  <Company>Springer Nature</Company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2025-06-18T15:18:00Z</dcterms:created>
  <dcterms:modified xsi:type="dcterms:W3CDTF">2025-06-18T15:18:00Z</dcterms:modified>
</cp:coreProperties>
</file>