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43949" w14:textId="77777777" w:rsidR="00540190" w:rsidRPr="00540190" w:rsidRDefault="00540190" w:rsidP="00540190">
      <w:pPr>
        <w:spacing w:line="480" w:lineRule="auto"/>
        <w:rPr>
          <w:rFonts w:ascii="Times New Roman" w:hAnsi="Times New Roman" w:cs="Times New Roman"/>
          <w:sz w:val="24"/>
          <w:szCs w:val="24"/>
          <w:lang w:val="en-US"/>
        </w:rPr>
      </w:pPr>
      <w:bookmarkStart w:id="0" w:name="_Hlk66820687"/>
      <w:r w:rsidRPr="00540190">
        <w:rPr>
          <w:rFonts w:ascii="Times New Roman" w:hAnsi="Times New Roman" w:cs="Times New Roman"/>
          <w:sz w:val="24"/>
          <w:szCs w:val="24"/>
          <w:lang w:val="en-US"/>
        </w:rPr>
        <w:t>SUPPLEMENTARY MATERIALS AND METHODS</w:t>
      </w:r>
    </w:p>
    <w:bookmarkEnd w:id="0"/>
    <w:p w14:paraId="059C6F3E" w14:textId="1CDF5372"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Fabrication of the poly(ε-caprolactone) </w:t>
      </w:r>
      <w:proofErr w:type="spellStart"/>
      <w:r w:rsidRPr="00540190">
        <w:rPr>
          <w:rFonts w:ascii="Times New Roman" w:hAnsi="Times New Roman" w:cs="Times New Roman"/>
          <w:b/>
          <w:bCs/>
          <w:sz w:val="24"/>
          <w:szCs w:val="24"/>
          <w:lang w:val="en-US"/>
        </w:rPr>
        <w:t>microfibrous</w:t>
      </w:r>
      <w:proofErr w:type="spellEnd"/>
      <w:r w:rsidRPr="00540190">
        <w:rPr>
          <w:rFonts w:ascii="Times New Roman" w:hAnsi="Times New Roman" w:cs="Times New Roman"/>
          <w:b/>
          <w:bCs/>
          <w:sz w:val="24"/>
          <w:szCs w:val="24"/>
          <w:lang w:val="en-US"/>
        </w:rPr>
        <w:t xml:space="preserve"> scaffold.</w:t>
      </w:r>
      <w:r w:rsidRPr="00540190">
        <w:rPr>
          <w:rFonts w:ascii="Times New Roman" w:hAnsi="Times New Roman" w:cs="Times New Roman"/>
          <w:sz w:val="24"/>
          <w:szCs w:val="24"/>
          <w:lang w:val="en-US"/>
        </w:rPr>
        <w:t xml:space="preserve"> The direct writing device we used to fabricate poly(ε-caprolactone) (PCL) scaffolds was customized by the Foshan </w:t>
      </w:r>
      <w:proofErr w:type="spellStart"/>
      <w:r w:rsidRPr="00540190">
        <w:rPr>
          <w:rFonts w:ascii="Times New Roman" w:hAnsi="Times New Roman" w:cs="Times New Roman"/>
          <w:sz w:val="24"/>
          <w:szCs w:val="24"/>
          <w:lang w:val="en-US"/>
        </w:rPr>
        <w:t>Qingzinano</w:t>
      </w:r>
      <w:proofErr w:type="spellEnd"/>
      <w:r w:rsidRPr="00540190">
        <w:rPr>
          <w:rFonts w:ascii="Times New Roman" w:hAnsi="Times New Roman" w:cs="Times New Roman"/>
          <w:sz w:val="24"/>
          <w:szCs w:val="24"/>
          <w:lang w:val="en-US"/>
        </w:rPr>
        <w:t xml:space="preserve"> Corporation using a pneumatic extrusion system with a stainless syringe, precision X-Y translational stages with a conductive glass as the collector plate, and a high voltage power. The morphology and motion of the polymer jet ejected from the Taylor cone were observed using a high-speed camera (SHL-200WS, </w:t>
      </w:r>
      <w:proofErr w:type="spellStart"/>
      <w:r w:rsidRPr="00540190">
        <w:rPr>
          <w:rFonts w:ascii="Times New Roman" w:hAnsi="Times New Roman" w:cs="Times New Roman"/>
          <w:sz w:val="24"/>
          <w:szCs w:val="24"/>
          <w:lang w:val="en-US"/>
        </w:rPr>
        <w:t>HuaGuDongLi</w:t>
      </w:r>
      <w:proofErr w:type="spellEnd"/>
      <w:r w:rsidRPr="00540190">
        <w:rPr>
          <w:rFonts w:ascii="Times New Roman" w:hAnsi="Times New Roman" w:cs="Times New Roman"/>
          <w:sz w:val="24"/>
          <w:szCs w:val="24"/>
          <w:lang w:val="en-US"/>
        </w:rPr>
        <w:t>, China). The PCL copolymer was heated to 110°C for 30 min. We found that a stable PCL jet was obtained under the following conditions: 3.6-kV electrostatic voltage, 20-kPa gas pressure, 3-mm distance between the syringe needle and the collector plate, and a velocity of 60 mm/s. The grid scaffold was fabricated with a fiber spacing of 200 μm and stacked with 10 layers.</w:t>
      </w:r>
    </w:p>
    <w:p w14:paraId="6B6A8B58" w14:textId="3E90FF53"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Preparation of rat tail collagen type I and PCL/collagen scaffolds.</w:t>
      </w:r>
      <w:r w:rsidRPr="00540190">
        <w:rPr>
          <w:rFonts w:ascii="Times New Roman" w:hAnsi="Times New Roman" w:cs="Times New Roman"/>
          <w:sz w:val="24"/>
          <w:szCs w:val="24"/>
          <w:lang w:val="en-US"/>
        </w:rPr>
        <w:t xml:space="preserve"> The sterile rat tail collagen type I stock solution (10.21 mg/ml; Corning® Collagen I, Rat Tail, 354236), phosphate-buffered saline (PBS), water, and NaOH were pre-cooled on ice. Approximately 0.1M NaOH was used to neutralize the rat tail collagen type I at a ratio of 1:5 to obtain collagen solutions with concentrations of 3, 5, and 8 mg/ml. The neutralized collagen solution was added into the customized mold to infuse the PCL scaffold and placed into the incubator at 37°C for 30 min to gelatinize the scaffold. The PCL scaffold was fabricated by infusing collagen at concentrations of 3, 5, and 8 mg/ml. We cut the rectangular scaffold with a 3.25-mm-diameter trephine to obtain a corneal graft.</w:t>
      </w:r>
    </w:p>
    <w:p w14:paraId="08341CCF" w14:textId="6CF751CF"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Scanning electron microscope imaging.</w:t>
      </w:r>
      <w:r w:rsidRPr="00540190">
        <w:rPr>
          <w:rFonts w:ascii="Times New Roman" w:hAnsi="Times New Roman" w:cs="Times New Roman"/>
          <w:sz w:val="24"/>
          <w:szCs w:val="24"/>
          <w:lang w:val="en-US"/>
        </w:rPr>
        <w:t xml:space="preserve"> Samples of PCL scaffold, collagen, and PCL/collagen scaffold were pre-coated with a 20-nm-thick layer of platinum after freeze-drying, and the </w:t>
      </w:r>
      <w:r w:rsidRPr="00540190">
        <w:rPr>
          <w:rFonts w:ascii="Times New Roman" w:hAnsi="Times New Roman" w:cs="Times New Roman"/>
          <w:sz w:val="24"/>
          <w:szCs w:val="24"/>
          <w:lang w:val="en-US"/>
        </w:rPr>
        <w:lastRenderedPageBreak/>
        <w:t>morphology of the samples were imaged using a scanning electron microscope</w:t>
      </w:r>
      <w:r w:rsidRPr="00540190" w:rsidDel="00730766">
        <w:rPr>
          <w:rFonts w:ascii="Times New Roman" w:hAnsi="Times New Roman" w:cs="Times New Roman"/>
          <w:sz w:val="24"/>
          <w:szCs w:val="24"/>
          <w:lang w:val="en-US"/>
        </w:rPr>
        <w:t xml:space="preserve"> </w:t>
      </w:r>
      <w:r w:rsidRPr="00540190">
        <w:rPr>
          <w:rFonts w:ascii="Times New Roman" w:hAnsi="Times New Roman" w:cs="Times New Roman"/>
          <w:sz w:val="24"/>
          <w:szCs w:val="24"/>
          <w:lang w:val="en-US"/>
        </w:rPr>
        <w:t xml:space="preserve">(Quanta 650 FEG; </w:t>
      </w:r>
      <w:proofErr w:type="spellStart"/>
      <w:r w:rsidRPr="00540190">
        <w:rPr>
          <w:rFonts w:ascii="Times New Roman" w:hAnsi="Times New Roman" w:cs="Times New Roman"/>
          <w:sz w:val="24"/>
          <w:szCs w:val="24"/>
          <w:lang w:val="en-US"/>
        </w:rPr>
        <w:t>ThermoFisher</w:t>
      </w:r>
      <w:proofErr w:type="spellEnd"/>
      <w:r w:rsidRPr="00540190">
        <w:rPr>
          <w:rFonts w:ascii="Times New Roman" w:hAnsi="Times New Roman" w:cs="Times New Roman"/>
          <w:sz w:val="24"/>
          <w:szCs w:val="24"/>
          <w:lang w:val="en-US"/>
        </w:rPr>
        <w:t xml:space="preserve"> Scientific, Waltham, MA, USA).</w:t>
      </w:r>
    </w:p>
    <w:p w14:paraId="5241DD7B"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Physical characterization of the PCL/collagen scaffold.</w:t>
      </w:r>
      <w:r w:rsidRPr="00540190">
        <w:rPr>
          <w:rFonts w:ascii="Times New Roman" w:hAnsi="Times New Roman" w:cs="Times New Roman"/>
          <w:sz w:val="24"/>
          <w:szCs w:val="24"/>
          <w:lang w:val="en-US"/>
        </w:rPr>
        <w:t xml:space="preserve"> The light transmittance of PCL scaffold, collagen, PCL/collagen scaffold and cornea were measured using a UV-VIS-NIR Spectrophotometer (SolidSpec-3700; Shimadzu Corp., Kyoto, Japan) under wavelengths ranging between 400 and 800 nm.</w:t>
      </w:r>
    </w:p>
    <w:p w14:paraId="43DA9EEF"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 xml:space="preserve">The tensile properties of the PCL scaffold, PCL/collagen scaffold, and cornea were measured using a universal material testing machine (Z020; </w:t>
      </w:r>
      <w:proofErr w:type="spellStart"/>
      <w:r w:rsidRPr="00540190">
        <w:rPr>
          <w:rFonts w:ascii="Times New Roman" w:hAnsi="Times New Roman" w:cs="Times New Roman"/>
          <w:sz w:val="24"/>
          <w:szCs w:val="24"/>
          <w:lang w:val="en-US"/>
        </w:rPr>
        <w:t>ZwickRoell</w:t>
      </w:r>
      <w:proofErr w:type="spellEnd"/>
      <w:r w:rsidRPr="00540190">
        <w:rPr>
          <w:rFonts w:ascii="Times New Roman" w:hAnsi="Times New Roman" w:cs="Times New Roman"/>
          <w:sz w:val="24"/>
          <w:szCs w:val="24"/>
          <w:lang w:val="en-US"/>
        </w:rPr>
        <w:t xml:space="preserve"> LP, Germany) at a loading speed of 1 mm/min. The strain–stress tensile curves were plotted, and the maximum tensile strengths were recorded and calculated. </w:t>
      </w:r>
    </w:p>
    <w:p w14:paraId="35101C34"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The water content and swelling ratio of the cornea and PCL scaffold infused with collagen at 3-, 5-, and 8-mg/ml concentrations were measured. The water content of the samples was calculated by weighing the samples before and after freeze-drying. The samples were immersed in PBS (pH = 7.4) at 37°C for 24 h, and the swollen samples were weighed after gently removing excess liquid. The swelling ratios were calculated after weighing. All tests were independently repeated thrice to calculate the mean and standard deviation.</w:t>
      </w:r>
    </w:p>
    <w:p w14:paraId="4616C783" w14:textId="43165172"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Isolation and culture of limbal stromal stem cells.</w:t>
      </w:r>
      <w:r w:rsidRPr="00540190">
        <w:rPr>
          <w:rFonts w:ascii="Times New Roman" w:hAnsi="Times New Roman" w:cs="Times New Roman"/>
          <w:sz w:val="24"/>
          <w:szCs w:val="24"/>
          <w:lang w:val="en-US"/>
        </w:rPr>
        <w:t xml:space="preserve"> The 8-week-old male Sprague–Dawley rats (weighing 200–220 g) were provided by the Animal Center of Tongji Medical College, Huazhong University of Science and Technology. Animal experimental procedures were performed in accordance with the protocols approved by the Clinical Research Ethics Committee of Tongji Medical College, Huazhong University of Science and Technology. Fresh rat corneas were separated into the limbus and central cornea by a 3-mm-diameter trephine, and the central </w:t>
      </w:r>
      <w:r w:rsidRPr="00540190">
        <w:rPr>
          <w:rFonts w:ascii="Times New Roman" w:hAnsi="Times New Roman" w:cs="Times New Roman"/>
          <w:sz w:val="24"/>
          <w:szCs w:val="24"/>
          <w:lang w:val="en-US"/>
        </w:rPr>
        <w:lastRenderedPageBreak/>
        <w:t xml:space="preserve">cornea was removed to obtain corneoscleral rims. The rims were cut into 6–8 segments and incubated in 10-mg/ml </w:t>
      </w:r>
      <w:proofErr w:type="spellStart"/>
      <w:r w:rsidRPr="00540190">
        <w:rPr>
          <w:rFonts w:ascii="Times New Roman" w:hAnsi="Times New Roman" w:cs="Times New Roman"/>
          <w:sz w:val="24"/>
          <w:szCs w:val="24"/>
          <w:lang w:val="en-US"/>
        </w:rPr>
        <w:t>dispase</w:t>
      </w:r>
      <w:proofErr w:type="spellEnd"/>
      <w:r w:rsidRPr="00540190">
        <w:rPr>
          <w:rFonts w:ascii="Times New Roman" w:hAnsi="Times New Roman" w:cs="Times New Roman"/>
          <w:sz w:val="24"/>
          <w:szCs w:val="24"/>
          <w:lang w:val="en-US"/>
        </w:rPr>
        <w:t xml:space="preserve"> II neutral protease (</w:t>
      </w:r>
      <w:proofErr w:type="spellStart"/>
      <w:r w:rsidRPr="00540190">
        <w:rPr>
          <w:rFonts w:ascii="Times New Roman" w:hAnsi="Times New Roman" w:cs="Times New Roman"/>
          <w:sz w:val="24"/>
          <w:szCs w:val="24"/>
          <w:lang w:val="en-US"/>
        </w:rPr>
        <w:t>Solarbio</w:t>
      </w:r>
      <w:proofErr w:type="spellEnd"/>
      <w:r w:rsidRPr="00540190">
        <w:rPr>
          <w:rFonts w:ascii="Times New Roman" w:hAnsi="Times New Roman" w:cs="Times New Roman"/>
          <w:sz w:val="24"/>
          <w:szCs w:val="24"/>
          <w:lang w:val="en-US"/>
        </w:rPr>
        <w:t xml:space="preserve">) at 37°C for 30 min and then rinsed twice in PBS. Segments were immersed in 1-mg/ml collagenase (Gibco) at 37°C for 4 h after carefully tearing out the limbal epithelium, rinsed twice with PBS, and centrifuged at 1200 rpm for 5 min. The segments were further digested with 0.25% trypsin (Gibco) for 15 min at 37°C to yield single cells. Cells were suspended at a density of </w:t>
      </w:r>
      <w:bookmarkStart w:id="1" w:name="OLE_LINK1"/>
      <w:r w:rsidRPr="00540190">
        <w:rPr>
          <w:rFonts w:ascii="Times New Roman" w:hAnsi="Times New Roman" w:cs="Times New Roman"/>
          <w:sz w:val="24"/>
          <w:szCs w:val="24"/>
          <w:lang w:val="en-US"/>
        </w:rPr>
        <w:t>1×10</w:t>
      </w:r>
      <w:r w:rsidRPr="00540190">
        <w:rPr>
          <w:rFonts w:ascii="Times New Roman" w:hAnsi="Times New Roman" w:cs="Times New Roman"/>
          <w:sz w:val="24"/>
          <w:szCs w:val="24"/>
          <w:vertAlign w:val="superscript"/>
          <w:lang w:val="en-US"/>
        </w:rPr>
        <w:t>4</w:t>
      </w:r>
      <w:bookmarkEnd w:id="1"/>
      <w:r w:rsidRPr="00540190">
        <w:rPr>
          <w:rFonts w:ascii="Times New Roman" w:hAnsi="Times New Roman" w:cs="Times New Roman"/>
          <w:sz w:val="24"/>
          <w:szCs w:val="24"/>
          <w:lang w:val="en-US"/>
        </w:rPr>
        <w:t>/cm</w:t>
      </w:r>
      <w:r w:rsidRPr="00540190">
        <w:rPr>
          <w:rFonts w:ascii="Times New Roman" w:hAnsi="Times New Roman" w:cs="Times New Roman"/>
          <w:sz w:val="24"/>
          <w:szCs w:val="24"/>
          <w:vertAlign w:val="superscript"/>
          <w:lang w:val="en-US"/>
        </w:rPr>
        <w:t>2</w:t>
      </w:r>
      <w:r w:rsidRPr="00540190">
        <w:rPr>
          <w:rFonts w:ascii="Times New Roman" w:hAnsi="Times New Roman" w:cs="Times New Roman"/>
          <w:sz w:val="24"/>
          <w:szCs w:val="24"/>
          <w:lang w:val="en-US"/>
        </w:rPr>
        <w:t xml:space="preserve"> in six-well plastic culture plates coated with 5% Matrigel in modified embryonic stem cell medium (MESCM). MESCM is composed of DMEM/F-12 (Gibco) supplemented with 10% knockout serum (Gibco), 1% ITS-X (Gibco), 4-ng/ml basic fibroblast growth factor (</w:t>
      </w:r>
      <w:proofErr w:type="spellStart"/>
      <w:r w:rsidRPr="00540190">
        <w:rPr>
          <w:rFonts w:ascii="Times New Roman" w:hAnsi="Times New Roman" w:cs="Times New Roman"/>
          <w:sz w:val="24"/>
          <w:szCs w:val="24"/>
          <w:lang w:val="en-US"/>
        </w:rPr>
        <w:t>PeproTech</w:t>
      </w:r>
      <w:proofErr w:type="spellEnd"/>
      <w:r w:rsidRPr="00540190">
        <w:rPr>
          <w:rFonts w:ascii="Times New Roman" w:hAnsi="Times New Roman" w:cs="Times New Roman"/>
          <w:sz w:val="24"/>
          <w:szCs w:val="24"/>
          <w:lang w:val="en-US"/>
        </w:rPr>
        <w:t xml:space="preserve">), 10-ng/ml human leukemia inhibitory factor (LIF, </w:t>
      </w:r>
      <w:proofErr w:type="spellStart"/>
      <w:r w:rsidRPr="00540190">
        <w:rPr>
          <w:rFonts w:ascii="Times New Roman" w:hAnsi="Times New Roman" w:cs="Times New Roman"/>
          <w:sz w:val="24"/>
          <w:szCs w:val="24"/>
          <w:lang w:val="en-US"/>
        </w:rPr>
        <w:t>PeproTech</w:t>
      </w:r>
      <w:proofErr w:type="spellEnd"/>
      <w:r w:rsidRPr="00540190">
        <w:rPr>
          <w:rFonts w:ascii="Times New Roman" w:hAnsi="Times New Roman" w:cs="Times New Roman"/>
          <w:sz w:val="24"/>
          <w:szCs w:val="24"/>
          <w:lang w:val="en-US"/>
        </w:rPr>
        <w:t>), 100-U/ml penicillin, and 100-μg/ml streptomycin (Gibco). Culture media were replaced every 2–3 days, and cells were sub-cultured by digestion with trypsin at 90% confluence.</w:t>
      </w:r>
    </w:p>
    <w:p w14:paraId="72F0D782"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Biocompatibility of PCL/collagen scaffolds in vitro.</w:t>
      </w:r>
      <w:r w:rsidRPr="00540190">
        <w:rPr>
          <w:rFonts w:ascii="Times New Roman" w:hAnsi="Times New Roman" w:cs="Times New Roman"/>
          <w:sz w:val="24"/>
          <w:szCs w:val="24"/>
          <w:lang w:val="en-US"/>
        </w:rPr>
        <w:t xml:space="preserve"> The Cell Counting Kit-8 assay was performed on the obtained limbal stromal stem cells to verify the in vitro toxicity and biocompatibility of PCL/collagen scaffolds with different concentrations and Matrigel as the control.</w:t>
      </w:r>
    </w:p>
    <w:p w14:paraId="1C889E26"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Keratoplasty of rats in the corneal injury model. </w:t>
      </w:r>
      <w:r w:rsidRPr="00540190">
        <w:rPr>
          <w:rFonts w:ascii="Times New Roman" w:hAnsi="Times New Roman" w:cs="Times New Roman"/>
          <w:sz w:val="24"/>
          <w:szCs w:val="24"/>
          <w:lang w:val="en-US"/>
        </w:rPr>
        <w:t xml:space="preserve">Seventy-two 8-week-old male Sprague–Dawley rats (weighing 200–220 g) were provided by the Animal Center of Tongji Medical College, Huazhong University of Science and Technology, and were randomly divided into 12 groups (n = 9 per group). The rats were anesthetized by an abdominal injection of 10% </w:t>
      </w:r>
      <w:proofErr w:type="spellStart"/>
      <w:r w:rsidRPr="00540190">
        <w:rPr>
          <w:rFonts w:ascii="Times New Roman" w:hAnsi="Times New Roman" w:cs="Times New Roman"/>
          <w:sz w:val="24"/>
          <w:szCs w:val="24"/>
          <w:lang w:val="en-US"/>
        </w:rPr>
        <w:t>chloralic</w:t>
      </w:r>
      <w:proofErr w:type="spellEnd"/>
      <w:r w:rsidRPr="00540190">
        <w:rPr>
          <w:rFonts w:ascii="Times New Roman" w:hAnsi="Times New Roman" w:cs="Times New Roman"/>
          <w:sz w:val="24"/>
          <w:szCs w:val="24"/>
          <w:lang w:val="en-US"/>
        </w:rPr>
        <w:t xml:space="preserve"> hydras and using tetracaine hydrochloride as local anesthetic drops during the surgery. Stromal keratectomy was performed in the right eyes of 24 rats; after which, transplantation procedures of PCL scaffold and PCL/collagen scaffold were performed in the right eyes of the 24 rats, with </w:t>
      </w:r>
      <w:r w:rsidRPr="00540190">
        <w:rPr>
          <w:rFonts w:ascii="Times New Roman" w:hAnsi="Times New Roman" w:cs="Times New Roman"/>
          <w:sz w:val="24"/>
          <w:szCs w:val="24"/>
          <w:lang w:val="en-US"/>
        </w:rPr>
        <w:lastRenderedPageBreak/>
        <w:t>the left eyes serving as uninjured controls. A 3-mm trephine was used to make a cut in the center of the cornea, cutting off 2/3 of the thickness of the cornea. The prepared corneal graft (diameter, 3.25 mm) was sutured to the corneal defect with surgical sutures (10-0 nylon, black monofilament, Alcon). Tobramycin and dexamethasone eye drops (Alcon) were applied to the surgical eyes three times a day after the surgery for the first week, and the usage was reduced gradually in the following 3 weeks.</w:t>
      </w:r>
      <w:r w:rsidRPr="00540190">
        <w:rPr>
          <w:rFonts w:ascii="Times New Roman" w:hAnsi="Times New Roman" w:cs="Times New Roman"/>
          <w:b/>
          <w:bCs/>
          <w:sz w:val="24"/>
          <w:szCs w:val="24"/>
          <w:lang w:val="en-US"/>
        </w:rPr>
        <w:t xml:space="preserve"> </w:t>
      </w:r>
    </w:p>
    <w:p w14:paraId="4027DE76"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Optical coherence tomography scanning. </w:t>
      </w:r>
      <w:r w:rsidRPr="00540190">
        <w:rPr>
          <w:rFonts w:ascii="Times New Roman" w:hAnsi="Times New Roman" w:cs="Times New Roman"/>
          <w:sz w:val="24"/>
          <w:szCs w:val="24"/>
          <w:lang w:val="en-US"/>
        </w:rPr>
        <w:t xml:space="preserve">Histological morphology and the thickness of the corneas after surgery were evaluated by optical coherence tomography (Zeiss, Inc., </w:t>
      </w:r>
      <w:proofErr w:type="spellStart"/>
      <w:r w:rsidRPr="00540190">
        <w:rPr>
          <w:rFonts w:ascii="Times New Roman" w:hAnsi="Times New Roman" w:cs="Times New Roman"/>
          <w:sz w:val="24"/>
          <w:szCs w:val="24"/>
          <w:lang w:val="en-US"/>
        </w:rPr>
        <w:t>Oberkochen</w:t>
      </w:r>
      <w:proofErr w:type="spellEnd"/>
      <w:r w:rsidRPr="00540190">
        <w:rPr>
          <w:rFonts w:ascii="Times New Roman" w:hAnsi="Times New Roman" w:cs="Times New Roman"/>
          <w:sz w:val="24"/>
          <w:szCs w:val="24"/>
          <w:lang w:val="en-US"/>
        </w:rPr>
        <w:t>, Germany) under general anesthesia.</w:t>
      </w:r>
    </w:p>
    <w:p w14:paraId="548E39B8"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Hematoxylin and eosin staining.</w:t>
      </w:r>
      <w:r w:rsidRPr="00540190">
        <w:rPr>
          <w:rFonts w:ascii="Times New Roman" w:hAnsi="Times New Roman" w:cs="Times New Roman"/>
          <w:sz w:val="24"/>
          <w:szCs w:val="24"/>
          <w:lang w:val="en-US"/>
        </w:rPr>
        <w:t xml:space="preserve"> The eyeballs of operated rats were removed after euthanasia, and the corneas were taken after being fixed in 4% paraformaldehyde (PFA) for 24 h and then dehydrated for 8 h to prepare paraffin sections for hematoxylin and eosin (H&amp;E) staining. The paraffin sections were stained with hematoxylin for 8 min and soaked in 1% acid and 1% ammonia. After 10 min of dehydration with alcohol, the sections were stained with acidic eosin solution for 3 min. The samples were observed under a microscope after rinsing with running tap water.</w:t>
      </w:r>
    </w:p>
    <w:p w14:paraId="6F49346A"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Immunofluorescence staining. </w:t>
      </w:r>
      <w:r w:rsidRPr="00540190">
        <w:rPr>
          <w:rFonts w:ascii="Times New Roman" w:hAnsi="Times New Roman" w:cs="Times New Roman"/>
          <w:sz w:val="24"/>
          <w:szCs w:val="24"/>
          <w:lang w:val="en-US"/>
        </w:rPr>
        <w:t xml:space="preserve">The cells were fixed with 4% paraformaldehyde for 15 min. The cells were saturated with 0.5% Triton X-100 for 15 min and blocked with 1% bovine serum albumin for 60 min. The cells were incubated with primary antibodies (overnight at 4°C) and their respective secondary antibodies for 1 h at room temperature. The nuclei were stained with 4′,6-diamidino-2-phenylindole (DAPI) for 15 min. Fluorescence images were captured using a laser fluorescence microscope (Zeiss Microscopy, Jena, Germany). </w:t>
      </w:r>
    </w:p>
    <w:p w14:paraId="666CA7EA"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lastRenderedPageBreak/>
        <w:t xml:space="preserve">Expression of related proteins. </w:t>
      </w:r>
      <w:r w:rsidRPr="00540190">
        <w:rPr>
          <w:rFonts w:ascii="Times New Roman" w:hAnsi="Times New Roman" w:cs="Times New Roman"/>
          <w:sz w:val="24"/>
          <w:szCs w:val="24"/>
          <w:lang w:val="en-US"/>
        </w:rPr>
        <w:t>The corneas were divided into 13 groups according to the treatments and time points: damaged, PCL, PCL/collagen for 1, 2, 3, and 4 weeks, and normal cornea as control. The total corneal proteins were extracted using a standard protein extraction kit, and cell lysates were centrifuged at 4°C for 10 min.</w:t>
      </w:r>
      <w:r w:rsidRPr="00540190">
        <w:rPr>
          <w:rFonts w:ascii="Times New Roman" w:hAnsi="Times New Roman" w:cs="Times New Roman"/>
          <w:b/>
          <w:bCs/>
          <w:sz w:val="24"/>
          <w:szCs w:val="24"/>
          <w:lang w:val="en-US"/>
        </w:rPr>
        <w:t xml:space="preserve"> </w:t>
      </w:r>
      <w:r w:rsidRPr="00540190">
        <w:rPr>
          <w:rFonts w:ascii="Times New Roman" w:hAnsi="Times New Roman" w:cs="Times New Roman"/>
          <w:sz w:val="24"/>
          <w:szCs w:val="24"/>
          <w:lang w:val="en-US"/>
        </w:rPr>
        <w:t>Then, the cell membrane was treated with nonfat milk, followed by incubation at 4°C overnight using rabbit monoclonal collagen VI antibody (Abcam) and vimentin antibody (Abcam).</w:t>
      </w:r>
      <w:r w:rsidRPr="00540190">
        <w:rPr>
          <w:rFonts w:ascii="Times New Roman" w:hAnsi="Times New Roman" w:cs="Times New Roman"/>
          <w:b/>
          <w:bCs/>
          <w:sz w:val="24"/>
          <w:szCs w:val="24"/>
          <w:lang w:val="en-US"/>
        </w:rPr>
        <w:t xml:space="preserve"> </w:t>
      </w:r>
      <w:r w:rsidRPr="00540190">
        <w:rPr>
          <w:rFonts w:ascii="Times New Roman" w:hAnsi="Times New Roman" w:cs="Times New Roman"/>
          <w:sz w:val="24"/>
          <w:szCs w:val="24"/>
          <w:lang w:val="en-US"/>
        </w:rPr>
        <w:t>The membrane was incubated with secondary antibodies at 25°C for 1 h after washing three times. The immunoreactive membrane was visualized using the enhanced chemiluminescence method according to the manufacturer’s instructions (</w:t>
      </w:r>
      <w:proofErr w:type="spellStart"/>
      <w:r w:rsidRPr="00540190">
        <w:rPr>
          <w:rFonts w:ascii="Times New Roman" w:hAnsi="Times New Roman" w:cs="Times New Roman"/>
          <w:sz w:val="24"/>
          <w:szCs w:val="24"/>
          <w:lang w:val="en-US"/>
        </w:rPr>
        <w:t>Amersham</w:t>
      </w:r>
      <w:proofErr w:type="spellEnd"/>
      <w:r w:rsidRPr="00540190">
        <w:rPr>
          <w:rFonts w:ascii="Times New Roman" w:hAnsi="Times New Roman" w:cs="Times New Roman"/>
          <w:sz w:val="24"/>
          <w:szCs w:val="24"/>
          <w:lang w:val="en-US"/>
        </w:rPr>
        <w:t xml:space="preserve"> Biosciences, USA).</w:t>
      </w:r>
    </w:p>
    <w:p w14:paraId="71729AF0"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Whole-genome sequencing. </w:t>
      </w:r>
      <w:r w:rsidRPr="00540190">
        <w:rPr>
          <w:rFonts w:ascii="Times New Roman" w:hAnsi="Times New Roman" w:cs="Times New Roman"/>
          <w:sz w:val="24"/>
          <w:szCs w:val="24"/>
          <w:lang w:val="en-US"/>
        </w:rPr>
        <w:t>The whole genome of the samples was sequenced by the Beijing Genomics Institute.</w:t>
      </w:r>
    </w:p>
    <w:p w14:paraId="54AEEEB5" w14:textId="6A80152A" w:rsid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Gene expression.</w:t>
      </w:r>
      <w:r w:rsidRPr="00540190">
        <w:rPr>
          <w:rFonts w:ascii="Times New Roman" w:hAnsi="Times New Roman" w:cs="Times New Roman"/>
          <w:sz w:val="24"/>
          <w:szCs w:val="24"/>
          <w:lang w:val="en-US"/>
        </w:rPr>
        <w:t xml:space="preserve"> Total RNA was extracted using </w:t>
      </w:r>
      <w:proofErr w:type="spellStart"/>
      <w:r w:rsidRPr="00540190">
        <w:rPr>
          <w:rFonts w:ascii="Times New Roman" w:hAnsi="Times New Roman" w:cs="Times New Roman"/>
          <w:sz w:val="24"/>
          <w:szCs w:val="24"/>
          <w:lang w:val="en-US"/>
        </w:rPr>
        <w:t>TRIzol</w:t>
      </w:r>
      <w:proofErr w:type="spellEnd"/>
      <w:r w:rsidRPr="00540190" w:rsidDel="00202E21">
        <w:rPr>
          <w:rFonts w:ascii="Times New Roman" w:hAnsi="Times New Roman" w:cs="Times New Roman"/>
          <w:sz w:val="24"/>
          <w:szCs w:val="24"/>
          <w:lang w:val="en-US"/>
        </w:rPr>
        <w:t xml:space="preserve"> </w:t>
      </w:r>
      <w:r w:rsidRPr="00540190">
        <w:rPr>
          <w:rFonts w:ascii="Times New Roman" w:hAnsi="Times New Roman" w:cs="Times New Roman"/>
          <w:sz w:val="24"/>
          <w:szCs w:val="24"/>
          <w:lang w:val="en-US"/>
        </w:rPr>
        <w:t>(Thermo Fisher Scientific), and the same amount of RNA was transcribed to cDNA using a quantitative reverse transcription kit (Thermo Fisher Scientific) according to the manufacturer’s protocol. The quantitative real-time polymerase chain reaction (PCR) amplification procedure began with initial pre-denaturation at 50°C for 2 min, followed by 40 cycles of denaturation at 95°C for 10 min, annealing at 95°C for 30 s, and extension at 60°C for 30 s. Relative gene expression was analyzed using the comparative cycle threshold method; β-actin was used as an internal reference. Three replicates were used for each sample. Detailed information on the primer sequences is provided in Supplementary Table S1.</w:t>
      </w:r>
    </w:p>
    <w:p w14:paraId="4EB8DD06" w14:textId="2504172F" w:rsidR="00540190" w:rsidRDefault="00540190" w:rsidP="00540190">
      <w:pPr>
        <w:spacing w:line="480" w:lineRule="auto"/>
        <w:rPr>
          <w:rFonts w:ascii="Times New Roman" w:hAnsi="Times New Roman" w:cs="Times New Roman"/>
          <w:sz w:val="24"/>
          <w:szCs w:val="24"/>
          <w:lang w:val="en-US"/>
        </w:rPr>
      </w:pPr>
    </w:p>
    <w:p w14:paraId="28FA1E0C" w14:textId="77777777" w:rsidR="00540190" w:rsidRDefault="00540190" w:rsidP="00540190">
      <w:pPr>
        <w:spacing w:line="480" w:lineRule="auto"/>
        <w:rPr>
          <w:rFonts w:ascii="Times New Roman" w:hAnsi="Times New Roman" w:cs="Times New Roman"/>
          <w:sz w:val="24"/>
          <w:szCs w:val="24"/>
          <w:lang w:val="en-US"/>
        </w:rPr>
      </w:pPr>
    </w:p>
    <w:p w14:paraId="0DB27EE6" w14:textId="1E5F8023" w:rsidR="00540190" w:rsidRPr="00540190" w:rsidRDefault="00540190" w:rsidP="00540190">
      <w:pPr>
        <w:spacing w:after="0"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lastRenderedPageBreak/>
        <w:t xml:space="preserve">Supplementary Table </w:t>
      </w:r>
      <w:r>
        <w:rPr>
          <w:rFonts w:ascii="Times New Roman" w:hAnsi="Times New Roman" w:cs="Times New Roman"/>
          <w:b/>
          <w:bCs/>
          <w:sz w:val="24"/>
          <w:szCs w:val="24"/>
          <w:lang w:val="en-US"/>
        </w:rPr>
        <w:t>S</w:t>
      </w:r>
      <w:r w:rsidRPr="00540190">
        <w:rPr>
          <w:rFonts w:ascii="Times New Roman" w:hAnsi="Times New Roman" w:cs="Times New Roman"/>
          <w:b/>
          <w:bCs/>
          <w:sz w:val="24"/>
          <w:szCs w:val="24"/>
          <w:lang w:val="en-US"/>
        </w:rPr>
        <w:t xml:space="preserve">1. </w:t>
      </w:r>
      <w:r w:rsidRPr="00540190">
        <w:rPr>
          <w:rFonts w:ascii="Times New Roman" w:hAnsi="Times New Roman" w:cs="Times New Roman"/>
          <w:sz w:val="24"/>
          <w:szCs w:val="24"/>
          <w:lang w:val="en-US"/>
        </w:rPr>
        <w:t>qPCR primer sequences.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630"/>
        <w:gridCol w:w="6730"/>
      </w:tblGrid>
      <w:tr w:rsidR="00540190" w:rsidRPr="00540190" w14:paraId="20C46177" w14:textId="77777777" w:rsidTr="00540190">
        <w:trPr>
          <w:trHeight w:val="339"/>
        </w:trPr>
        <w:tc>
          <w:tcPr>
            <w:tcW w:w="1405" w:type="pct"/>
            <w:tcBorders>
              <w:bottom w:val="single" w:sz="4" w:space="0" w:color="auto"/>
              <w:right w:val="nil"/>
            </w:tcBorders>
          </w:tcPr>
          <w:p w14:paraId="13BB0770" w14:textId="77777777" w:rsidR="00540190" w:rsidRPr="00540190" w:rsidRDefault="00540190" w:rsidP="00540190">
            <w:pPr>
              <w:spacing w:line="480" w:lineRule="auto"/>
              <w:rPr>
                <w:rFonts w:ascii="Times New Roman" w:hAnsi="Times New Roman" w:cs="Times New Roman"/>
                <w:sz w:val="24"/>
                <w:szCs w:val="24"/>
                <w:lang w:val="en-US"/>
              </w:rPr>
            </w:pPr>
            <w:bookmarkStart w:id="2" w:name="OLE_LINK3"/>
            <w:bookmarkStart w:id="3" w:name="OLE_LINK4"/>
            <w:r w:rsidRPr="00540190">
              <w:rPr>
                <w:rFonts w:ascii="Times New Roman" w:hAnsi="Times New Roman" w:cs="Times New Roman"/>
                <w:sz w:val="24"/>
                <w:szCs w:val="24"/>
                <w:lang w:val="en-US"/>
              </w:rPr>
              <w:t>Gene</w:t>
            </w:r>
          </w:p>
        </w:tc>
        <w:tc>
          <w:tcPr>
            <w:tcW w:w="3595" w:type="pct"/>
            <w:tcBorders>
              <w:left w:val="nil"/>
              <w:bottom w:val="single" w:sz="4" w:space="0" w:color="auto"/>
            </w:tcBorders>
          </w:tcPr>
          <w:p w14:paraId="09190AEA"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Sequence (5’-3’)</w:t>
            </w:r>
          </w:p>
        </w:tc>
      </w:tr>
      <w:tr w:rsidR="00540190" w:rsidRPr="00540190" w14:paraId="1A9297BB" w14:textId="77777777" w:rsidTr="00540190">
        <w:trPr>
          <w:trHeight w:val="1047"/>
        </w:trPr>
        <w:tc>
          <w:tcPr>
            <w:tcW w:w="1405" w:type="pct"/>
            <w:tcBorders>
              <w:bottom w:val="nil"/>
              <w:right w:val="nil"/>
            </w:tcBorders>
          </w:tcPr>
          <w:p w14:paraId="28DBDD63"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PCNA</w:t>
            </w:r>
          </w:p>
          <w:p w14:paraId="15C8D990"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Forward</w:t>
            </w:r>
          </w:p>
          <w:p w14:paraId="554F1E70"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Reverse</w:t>
            </w:r>
          </w:p>
        </w:tc>
        <w:tc>
          <w:tcPr>
            <w:tcW w:w="3595" w:type="pct"/>
            <w:tcBorders>
              <w:left w:val="nil"/>
              <w:bottom w:val="nil"/>
            </w:tcBorders>
          </w:tcPr>
          <w:p w14:paraId="574F8035" w14:textId="77777777" w:rsidR="00540190" w:rsidRPr="00540190" w:rsidRDefault="00540190" w:rsidP="00540190">
            <w:pPr>
              <w:spacing w:line="480" w:lineRule="auto"/>
              <w:rPr>
                <w:rFonts w:ascii="Times New Roman" w:hAnsi="Times New Roman" w:cs="Times New Roman"/>
                <w:sz w:val="24"/>
                <w:szCs w:val="24"/>
                <w:lang w:val="en-US"/>
              </w:rPr>
            </w:pPr>
          </w:p>
          <w:p w14:paraId="1FF66312"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TATTGGAGATGCTGTGGTGAT</w:t>
            </w:r>
          </w:p>
          <w:p w14:paraId="4A438002"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CAGTGGAGTGGCTTTTGTGA</w:t>
            </w:r>
          </w:p>
        </w:tc>
      </w:tr>
      <w:tr w:rsidR="00540190" w:rsidRPr="00540190" w14:paraId="2B05416B" w14:textId="77777777" w:rsidTr="00540190">
        <w:trPr>
          <w:trHeight w:val="1047"/>
        </w:trPr>
        <w:tc>
          <w:tcPr>
            <w:tcW w:w="1405" w:type="pct"/>
            <w:tcBorders>
              <w:top w:val="nil"/>
              <w:bottom w:val="nil"/>
              <w:right w:val="nil"/>
            </w:tcBorders>
          </w:tcPr>
          <w:p w14:paraId="04D3B3F5"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MMP9</w:t>
            </w:r>
          </w:p>
          <w:p w14:paraId="48AB7B5F"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Forward</w:t>
            </w:r>
          </w:p>
          <w:p w14:paraId="75A8BC48"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Reverse</w:t>
            </w:r>
          </w:p>
        </w:tc>
        <w:tc>
          <w:tcPr>
            <w:tcW w:w="3595" w:type="pct"/>
            <w:tcBorders>
              <w:top w:val="nil"/>
              <w:left w:val="nil"/>
              <w:bottom w:val="nil"/>
            </w:tcBorders>
          </w:tcPr>
          <w:p w14:paraId="654C0F03" w14:textId="77777777" w:rsidR="00540190" w:rsidRPr="00540190" w:rsidRDefault="00540190" w:rsidP="00540190">
            <w:pPr>
              <w:spacing w:line="480" w:lineRule="auto"/>
              <w:rPr>
                <w:rFonts w:ascii="Times New Roman" w:hAnsi="Times New Roman" w:cs="Times New Roman"/>
                <w:sz w:val="24"/>
                <w:szCs w:val="24"/>
                <w:lang w:val="en-US"/>
              </w:rPr>
            </w:pPr>
          </w:p>
          <w:p w14:paraId="31E8E5D8"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TCGGATGGTTATCGCTGGTG</w:t>
            </w:r>
          </w:p>
          <w:p w14:paraId="4EC65DB1"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AAGACGCACATCTCTCCTGC</w:t>
            </w:r>
          </w:p>
        </w:tc>
      </w:tr>
      <w:tr w:rsidR="00540190" w:rsidRPr="00540190" w14:paraId="3D2BEE56" w14:textId="77777777" w:rsidTr="00540190">
        <w:trPr>
          <w:trHeight w:val="1047"/>
        </w:trPr>
        <w:tc>
          <w:tcPr>
            <w:tcW w:w="1405" w:type="pct"/>
            <w:tcBorders>
              <w:top w:val="nil"/>
              <w:bottom w:val="nil"/>
              <w:right w:val="nil"/>
            </w:tcBorders>
          </w:tcPr>
          <w:p w14:paraId="03AB71DA"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MMP13</w:t>
            </w:r>
          </w:p>
          <w:p w14:paraId="633B72B6"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Forward</w:t>
            </w:r>
          </w:p>
          <w:p w14:paraId="7AACAAFF"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Reverse</w:t>
            </w:r>
          </w:p>
        </w:tc>
        <w:tc>
          <w:tcPr>
            <w:tcW w:w="3595" w:type="pct"/>
            <w:tcBorders>
              <w:top w:val="nil"/>
              <w:left w:val="nil"/>
              <w:bottom w:val="nil"/>
            </w:tcBorders>
          </w:tcPr>
          <w:p w14:paraId="4D28F4A4" w14:textId="77777777" w:rsidR="00540190" w:rsidRPr="00540190" w:rsidRDefault="00540190" w:rsidP="00540190">
            <w:pPr>
              <w:spacing w:line="480" w:lineRule="auto"/>
              <w:rPr>
                <w:rFonts w:ascii="Times New Roman" w:hAnsi="Times New Roman" w:cs="Times New Roman"/>
                <w:sz w:val="24"/>
                <w:szCs w:val="24"/>
                <w:lang w:val="en-US"/>
              </w:rPr>
            </w:pPr>
          </w:p>
          <w:p w14:paraId="373E2918"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CCCAGCCCTATCCCTTGATG</w:t>
            </w:r>
          </w:p>
          <w:p w14:paraId="66BB5EAD"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TCGGGATGGATGCTCGTATG</w:t>
            </w:r>
          </w:p>
        </w:tc>
      </w:tr>
      <w:tr w:rsidR="00540190" w:rsidRPr="00540190" w14:paraId="56342E0B" w14:textId="77777777" w:rsidTr="00540190">
        <w:trPr>
          <w:trHeight w:val="1047"/>
        </w:trPr>
        <w:tc>
          <w:tcPr>
            <w:tcW w:w="1405" w:type="pct"/>
            <w:tcBorders>
              <w:top w:val="nil"/>
              <w:right w:val="nil"/>
            </w:tcBorders>
          </w:tcPr>
          <w:p w14:paraId="59632AC3"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 xml:space="preserve">β-actin </w:t>
            </w:r>
          </w:p>
          <w:p w14:paraId="4C6C6CA8"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Forward</w:t>
            </w:r>
          </w:p>
          <w:p w14:paraId="76913F7F"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Reverse</w:t>
            </w:r>
          </w:p>
        </w:tc>
        <w:tc>
          <w:tcPr>
            <w:tcW w:w="3595" w:type="pct"/>
            <w:tcBorders>
              <w:top w:val="nil"/>
              <w:left w:val="nil"/>
            </w:tcBorders>
          </w:tcPr>
          <w:p w14:paraId="3D3DDC81" w14:textId="77777777" w:rsidR="00540190" w:rsidRPr="00540190" w:rsidRDefault="00540190" w:rsidP="00540190">
            <w:pPr>
              <w:spacing w:line="480" w:lineRule="auto"/>
              <w:rPr>
                <w:rFonts w:ascii="Times New Roman" w:hAnsi="Times New Roman" w:cs="Times New Roman"/>
                <w:sz w:val="24"/>
                <w:szCs w:val="24"/>
                <w:lang w:val="en-US"/>
              </w:rPr>
            </w:pPr>
          </w:p>
          <w:p w14:paraId="094113F6"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CGTTGACATCCGTAAAGACCTC</w:t>
            </w:r>
          </w:p>
          <w:p w14:paraId="20A788B4" w14:textId="77777777"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sz w:val="24"/>
                <w:szCs w:val="24"/>
                <w:lang w:val="en-US"/>
              </w:rPr>
              <w:t>TAGGAGCCAGGGCAGTAATCT</w:t>
            </w:r>
          </w:p>
        </w:tc>
      </w:tr>
      <w:bookmarkEnd w:id="2"/>
      <w:bookmarkEnd w:id="3"/>
    </w:tbl>
    <w:p w14:paraId="2AD72EDE" w14:textId="77777777" w:rsidR="00540190" w:rsidRPr="00540190" w:rsidRDefault="00540190" w:rsidP="00540190">
      <w:pPr>
        <w:spacing w:line="480" w:lineRule="auto"/>
        <w:rPr>
          <w:rFonts w:ascii="Times New Roman" w:hAnsi="Times New Roman" w:cs="Times New Roman"/>
          <w:sz w:val="24"/>
          <w:szCs w:val="24"/>
          <w:lang w:val="en-US"/>
        </w:rPr>
      </w:pPr>
    </w:p>
    <w:p w14:paraId="7EA83D62" w14:textId="1747DDC0" w:rsidR="00540190" w:rsidRPr="00540190" w:rsidRDefault="00540190" w:rsidP="00540190">
      <w:pPr>
        <w:spacing w:line="480" w:lineRule="auto"/>
        <w:rPr>
          <w:rFonts w:ascii="Times New Roman" w:hAnsi="Times New Roman" w:cs="Times New Roman"/>
          <w:sz w:val="24"/>
          <w:szCs w:val="24"/>
          <w:lang w:val="en-US"/>
        </w:rPr>
      </w:pPr>
      <w:r w:rsidRPr="00540190">
        <w:rPr>
          <w:rFonts w:ascii="Times New Roman" w:hAnsi="Times New Roman" w:cs="Times New Roman"/>
          <w:b/>
          <w:bCs/>
          <w:sz w:val="24"/>
          <w:szCs w:val="24"/>
          <w:lang w:val="en-US"/>
        </w:rPr>
        <w:t xml:space="preserve">Statistical analysis. </w:t>
      </w:r>
      <w:r w:rsidRPr="00540190">
        <w:rPr>
          <w:rFonts w:ascii="Times New Roman" w:hAnsi="Times New Roman" w:cs="Times New Roman"/>
          <w:sz w:val="24"/>
          <w:szCs w:val="24"/>
          <w:lang w:val="en-US"/>
        </w:rPr>
        <w:t xml:space="preserve">All data are expressed as the mean ± standard deviation. Each experiment was repeated at least 3 times independently. Data analysis was performed using the Student’s t-test. The significance level was set at p &lt; 0.05. </w:t>
      </w:r>
    </w:p>
    <w:sectPr w:rsidR="00540190" w:rsidRPr="00540190" w:rsidSect="00540190">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90"/>
    <w:rsid w:val="004A01F5"/>
    <w:rsid w:val="00540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8F10"/>
  <w15:chartTrackingRefBased/>
  <w15:docId w15:val="{EFA18D83-5754-4304-AFDA-5171743A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1439</Words>
  <Characters>8208</Characters>
  <Application>Microsoft Office Word</Application>
  <DocSecurity>0</DocSecurity>
  <Lines>68</Lines>
  <Paragraphs>19</Paragraphs>
  <ScaleCrop>false</ScaleCrop>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1</cp:revision>
  <dcterms:created xsi:type="dcterms:W3CDTF">2021-05-19T08:36:00Z</dcterms:created>
  <dcterms:modified xsi:type="dcterms:W3CDTF">2021-05-19T08:43:00Z</dcterms:modified>
</cp:coreProperties>
</file>