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F15EC" w14:textId="77777777" w:rsidR="008B2079" w:rsidRPr="00312AF9" w:rsidRDefault="008B2079" w:rsidP="008B2079">
      <w:r w:rsidRPr="00312AF9">
        <w:t>Graphical abstract</w:t>
      </w:r>
      <w:r>
        <w:rPr>
          <w:rFonts w:hint="eastAsia"/>
        </w:rPr>
        <w:t xml:space="preserve"> </w:t>
      </w:r>
    </w:p>
    <w:p w14:paraId="74E8DF64" w14:textId="77777777" w:rsidR="008B2079" w:rsidRDefault="008B2079" w:rsidP="008B2079">
      <w:r>
        <w:rPr>
          <w:noProof/>
        </w:rPr>
        <w:drawing>
          <wp:inline distT="0" distB="0" distL="0" distR="0" wp14:anchorId="2EE33C2E" wp14:editId="5E8881C8">
            <wp:extent cx="5274310" cy="5300345"/>
            <wp:effectExtent l="0" t="0" r="2540" b="0"/>
            <wp:docPr id="13744812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0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EE54F" w14:textId="77777777" w:rsidR="008B2079" w:rsidRDefault="008B2079" w:rsidP="008B2079">
      <w:r w:rsidRPr="00C41D07">
        <w:t>A total of 23</w:t>
      </w:r>
      <w:r>
        <w:rPr>
          <w:rFonts w:hint="eastAsia"/>
        </w:rPr>
        <w:t>,</w:t>
      </w:r>
      <w:r w:rsidRPr="00C41D07">
        <w:t xml:space="preserve">103 participants with </w:t>
      </w:r>
      <w:r>
        <w:rPr>
          <w:rFonts w:hint="eastAsia"/>
        </w:rPr>
        <w:t>n</w:t>
      </w:r>
      <w:r w:rsidRPr="00C41D07">
        <w:t>ormoglycemia (n=10</w:t>
      </w:r>
      <w:r>
        <w:rPr>
          <w:rFonts w:hint="eastAsia"/>
        </w:rPr>
        <w:t>,</w:t>
      </w:r>
      <w:r w:rsidRPr="00C41D07">
        <w:t xml:space="preserve">078), </w:t>
      </w:r>
      <w:r>
        <w:rPr>
          <w:rFonts w:hint="eastAsia"/>
        </w:rPr>
        <w:t>d</w:t>
      </w:r>
      <w:r w:rsidRPr="00C41D07">
        <w:rPr>
          <w:rFonts w:hint="eastAsia"/>
        </w:rPr>
        <w:t>ys</w:t>
      </w:r>
      <w:r w:rsidRPr="00C41D07">
        <w:t>glycemia (n=8</w:t>
      </w:r>
      <w:r>
        <w:rPr>
          <w:rFonts w:hint="eastAsia"/>
        </w:rPr>
        <w:t>,</w:t>
      </w:r>
      <w:r w:rsidRPr="00C41D07">
        <w:t xml:space="preserve">748), and </w:t>
      </w:r>
      <w:r>
        <w:rPr>
          <w:rFonts w:hint="eastAsia"/>
        </w:rPr>
        <w:t>d</w:t>
      </w:r>
      <w:r w:rsidRPr="00C41D07">
        <w:t>iabetes (n=4</w:t>
      </w:r>
      <w:r>
        <w:rPr>
          <w:rFonts w:hint="eastAsia"/>
        </w:rPr>
        <w:t>,</w:t>
      </w:r>
      <w:r w:rsidRPr="00C41D07">
        <w:t>277) were included. The median follow-up time was 9.2 years.</w:t>
      </w:r>
      <w:r>
        <w:rPr>
          <w:rFonts w:hint="eastAsia"/>
        </w:rPr>
        <w:t xml:space="preserve"> </w:t>
      </w:r>
      <w:r w:rsidRPr="00C41D07">
        <w:t>Weighted COX regression results (upper), restricted cubic spline results (lower left), and time-dependent (cut-off value of 36 months) receiver operating characteristic curve results (lower right)</w:t>
      </w:r>
      <w:r>
        <w:rPr>
          <w:rFonts w:hint="eastAsia"/>
        </w:rPr>
        <w:t>.</w:t>
      </w:r>
    </w:p>
    <w:p w14:paraId="303FC36B" w14:textId="77777777" w:rsidR="008B2079" w:rsidRPr="00C41D07" w:rsidRDefault="008B2079" w:rsidP="008B2079">
      <w:r w:rsidRPr="00C41D07">
        <w:rPr>
          <w:i/>
          <w:iCs/>
        </w:rPr>
        <w:t>TyG triglyceride glucose index</w:t>
      </w:r>
      <w:r>
        <w:rPr>
          <w:rFonts w:hint="eastAsia"/>
        </w:rPr>
        <w:t xml:space="preserve">; AIP </w:t>
      </w:r>
      <w:r w:rsidRPr="00C41D07">
        <w:rPr>
          <w:rFonts w:hint="eastAsia"/>
          <w:i/>
          <w:iCs/>
        </w:rPr>
        <w:t>a</w:t>
      </w:r>
      <w:r w:rsidRPr="00C41D07">
        <w:rPr>
          <w:i/>
          <w:iCs/>
        </w:rPr>
        <w:t>therogenic index of plasma</w:t>
      </w:r>
      <w:r>
        <w:rPr>
          <w:rFonts w:hint="eastAsia"/>
        </w:rPr>
        <w:t xml:space="preserve">; RCS </w:t>
      </w:r>
      <w:r w:rsidRPr="00C41D07">
        <w:rPr>
          <w:i/>
          <w:iCs/>
        </w:rPr>
        <w:t>restricted cubic spline</w:t>
      </w:r>
      <w:r>
        <w:rPr>
          <w:rFonts w:hint="eastAsia"/>
        </w:rPr>
        <w:t xml:space="preserve">; ROC </w:t>
      </w:r>
      <w:r w:rsidRPr="00C41D07">
        <w:rPr>
          <w:i/>
          <w:iCs/>
        </w:rPr>
        <w:t xml:space="preserve">receiver operating </w:t>
      </w:r>
      <w:r w:rsidRPr="00C41D07">
        <w:t>characteristic</w:t>
      </w:r>
      <w:r>
        <w:rPr>
          <w:rFonts w:hint="eastAsia"/>
          <w:i/>
          <w:iCs/>
        </w:rPr>
        <w:t>.</w:t>
      </w:r>
    </w:p>
    <w:p w14:paraId="1938B0CC" w14:textId="77777777" w:rsidR="008B2079" w:rsidRDefault="008B2079" w:rsidP="008B2079">
      <w:r>
        <w:rPr>
          <w:rFonts w:hint="eastAsia"/>
        </w:rPr>
        <w:t>*</w:t>
      </w:r>
      <w:r w:rsidRPr="00D16F4C">
        <w:t>The results of the Cox regression used TyG as a continuous variable.</w:t>
      </w:r>
    </w:p>
    <w:p w14:paraId="0C3C815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079"/>
    <w:rsid w:val="003C2EF4"/>
    <w:rsid w:val="008B2079"/>
    <w:rsid w:val="00AE285D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45565"/>
  <w15:chartTrackingRefBased/>
  <w15:docId w15:val="{F68FDF35-9036-4949-A710-C3C17D230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079"/>
    <w:pPr>
      <w:widowControl w:val="0"/>
      <w:spacing w:after="0" w:line="240" w:lineRule="auto"/>
      <w:jc w:val="both"/>
    </w:pPr>
    <w:rPr>
      <w:rFonts w:ascii="Calibri" w:eastAsiaTheme="minorEastAsia" w:hAnsi="Calibri" w:cs="Calibri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07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07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079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079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079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079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079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079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079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0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0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0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0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0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0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0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0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0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07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B20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079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B20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079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B20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079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8B20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07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0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0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>Springer Nature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2025-04-03T11:05:00Z</dcterms:created>
  <dcterms:modified xsi:type="dcterms:W3CDTF">2025-04-03T11:05:00Z</dcterms:modified>
</cp:coreProperties>
</file>