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33" w:rsidRDefault="00DF59D8">
      <w:pPr>
        <w:pStyle w:val="Ttulo"/>
        <w:spacing w:line="259" w:lineRule="auto"/>
      </w:pPr>
      <w:r>
        <w:rPr>
          <w:b/>
        </w:rPr>
        <w:t>Table 1</w:t>
      </w:r>
      <w:r>
        <w:t xml:space="preserve">: Cytogenetic analysis on root tips of </w:t>
      </w:r>
      <w:proofErr w:type="spellStart"/>
      <w:r>
        <w:rPr>
          <w:i/>
        </w:rPr>
        <w:t>Lactuca</w:t>
      </w:r>
      <w:proofErr w:type="spellEnd"/>
      <w:r>
        <w:rPr>
          <w:i/>
        </w:rPr>
        <w:t xml:space="preserve"> sativa </w:t>
      </w:r>
      <w:r>
        <w:t>exposed to solutions of</w:t>
      </w:r>
      <w:r>
        <w:rPr>
          <w:spacing w:val="-57"/>
        </w:rPr>
        <w:t xml:space="preserve"> </w:t>
      </w:r>
      <w:r>
        <w:t>S-metolachlor</w:t>
      </w:r>
      <w:r>
        <w:rPr>
          <w:spacing w:val="-2"/>
        </w:rPr>
        <w:t xml:space="preserve"> </w:t>
      </w:r>
      <w:r>
        <w:t>based herbicide</w:t>
      </w:r>
    </w:p>
    <w:p w:rsidR="00BE1433" w:rsidRDefault="00BE1433">
      <w:pPr>
        <w:pStyle w:val="Corpodetexto"/>
        <w:spacing w:before="3" w:after="1"/>
        <w:ind w:left="0"/>
        <w:rPr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923"/>
        <w:gridCol w:w="1601"/>
        <w:gridCol w:w="1605"/>
        <w:gridCol w:w="1425"/>
        <w:gridCol w:w="1529"/>
      </w:tblGrid>
      <w:tr w:rsidR="00BE1433">
        <w:trPr>
          <w:trHeight w:val="911"/>
        </w:trPr>
        <w:tc>
          <w:tcPr>
            <w:tcW w:w="1923" w:type="dxa"/>
            <w:tcBorders>
              <w:top w:val="single" w:sz="4" w:space="0" w:color="000000"/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190"/>
              <w:ind w:left="611" w:right="227" w:hanging="267"/>
              <w:rPr>
                <w:sz w:val="24"/>
              </w:rPr>
            </w:pPr>
            <w:r>
              <w:t>Concentrations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sz w:val="24"/>
              </w:rPr>
              <w:t>mg L</w:t>
            </w:r>
            <w:r>
              <w:rPr>
                <w:sz w:val="24"/>
                <w:vertAlign w:val="superscript"/>
              </w:rPr>
              <w:t>-1</w:t>
            </w:r>
            <w:r>
              <w:rPr>
                <w:sz w:val="24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</w:tcBorders>
          </w:tcPr>
          <w:p w:rsidR="00BE1433" w:rsidRDefault="00BE1433">
            <w:pPr>
              <w:pStyle w:val="TableParagraph"/>
              <w:spacing w:before="5"/>
              <w:rPr>
                <w:sz w:val="28"/>
              </w:rPr>
            </w:pPr>
          </w:p>
          <w:p w:rsidR="00BE1433" w:rsidRDefault="00DF59D8">
            <w:pPr>
              <w:pStyle w:val="TableParagraph"/>
              <w:ind w:left="225" w:right="132"/>
              <w:jc w:val="center"/>
            </w:pPr>
            <w:r>
              <w:t>Mitotic</w:t>
            </w:r>
            <w:r>
              <w:rPr>
                <w:spacing w:val="-1"/>
              </w:rPr>
              <w:t xml:space="preserve"> </w:t>
            </w:r>
            <w:r>
              <w:t>Index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202"/>
              <w:ind w:left="287" w:right="188" w:hanging="137"/>
            </w:pPr>
            <w:r>
              <w:t>Chromosomal</w:t>
            </w:r>
            <w:r>
              <w:rPr>
                <w:spacing w:val="-52"/>
              </w:rPr>
              <w:t xml:space="preserve"> </w:t>
            </w:r>
            <w:r>
              <w:t>Alterations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202"/>
              <w:ind w:left="406" w:right="218" w:hanging="197"/>
            </w:pPr>
            <w:r>
              <w:t>Condensed</w:t>
            </w:r>
            <w:r>
              <w:rPr>
                <w:spacing w:val="-52"/>
              </w:rPr>
              <w:t xml:space="preserve"> </w:t>
            </w:r>
            <w:r>
              <w:t>Nuclei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</w:tcBorders>
          </w:tcPr>
          <w:p w:rsidR="00BE1433" w:rsidRDefault="00BE1433">
            <w:pPr>
              <w:pStyle w:val="TableParagraph"/>
              <w:spacing w:before="5"/>
              <w:rPr>
                <w:sz w:val="28"/>
              </w:rPr>
            </w:pPr>
          </w:p>
          <w:p w:rsidR="00BE1433" w:rsidRDefault="00DF59D8">
            <w:pPr>
              <w:pStyle w:val="TableParagraph"/>
              <w:ind w:left="218" w:right="194"/>
              <w:jc w:val="center"/>
            </w:pPr>
            <w:r>
              <w:t>Micronuclei</w:t>
            </w:r>
          </w:p>
        </w:tc>
      </w:tr>
      <w:tr w:rsidR="00BE1433">
        <w:trPr>
          <w:trHeight w:val="318"/>
        </w:trPr>
        <w:tc>
          <w:tcPr>
            <w:tcW w:w="1923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22"/>
              <w:ind w:left="882" w:right="781"/>
              <w:jc w:val="center"/>
            </w:pPr>
            <w:r>
              <w:t>C-</w:t>
            </w:r>
          </w:p>
        </w:tc>
        <w:tc>
          <w:tcPr>
            <w:tcW w:w="1601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left="224" w:right="132"/>
              <w:jc w:val="center"/>
            </w:pPr>
            <w:r>
              <w:t>16.74a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right="583"/>
              <w:jc w:val="right"/>
            </w:pPr>
            <w:r>
              <w:t>0.00a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left="376" w:right="401"/>
              <w:jc w:val="center"/>
            </w:pPr>
            <w:r>
              <w:t>0.40a</w:t>
            </w:r>
          </w:p>
        </w:tc>
        <w:tc>
          <w:tcPr>
            <w:tcW w:w="1529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left="217" w:right="194"/>
              <w:jc w:val="center"/>
            </w:pPr>
            <w:r>
              <w:t>0.20a</w:t>
            </w:r>
          </w:p>
        </w:tc>
      </w:tr>
      <w:tr w:rsidR="00BE1433">
        <w:trPr>
          <w:trHeight w:val="285"/>
        </w:trPr>
        <w:tc>
          <w:tcPr>
            <w:tcW w:w="1923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8"/>
              <w:ind w:left="875"/>
            </w:pPr>
            <w:r>
              <w:t>C+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3" w:lineRule="exact"/>
              <w:ind w:left="225" w:right="130"/>
              <w:jc w:val="center"/>
            </w:pPr>
            <w:r>
              <w:t>11.88*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3" w:lineRule="exact"/>
              <w:ind w:right="578"/>
              <w:jc w:val="right"/>
            </w:pPr>
            <w:r>
              <w:t>1.80*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3" w:lineRule="exact"/>
              <w:ind w:left="379" w:right="401"/>
              <w:jc w:val="center"/>
            </w:pPr>
            <w:r>
              <w:t>10.00*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3" w:lineRule="exact"/>
              <w:ind w:left="218" w:right="192"/>
              <w:jc w:val="center"/>
            </w:pPr>
            <w:r>
              <w:t>8.80*</w:t>
            </w:r>
          </w:p>
        </w:tc>
      </w:tr>
      <w:tr w:rsidR="00BE1433">
        <w:trPr>
          <w:trHeight w:val="318"/>
        </w:trPr>
        <w:tc>
          <w:tcPr>
            <w:tcW w:w="1923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25"/>
              <w:ind w:left="873"/>
            </w:pPr>
            <w:r>
              <w:t>7,5</w:t>
            </w:r>
          </w:p>
        </w:tc>
        <w:tc>
          <w:tcPr>
            <w:tcW w:w="1601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left="225" w:right="130"/>
              <w:jc w:val="center"/>
            </w:pPr>
            <w:r>
              <w:t>9.28*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right="583"/>
              <w:jc w:val="right"/>
            </w:pPr>
            <w:r>
              <w:t>0.00a</w:t>
            </w: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left="376" w:right="401"/>
              <w:jc w:val="center"/>
            </w:pPr>
            <w:r>
              <w:t>0.60a</w:t>
            </w:r>
          </w:p>
        </w:tc>
        <w:tc>
          <w:tcPr>
            <w:tcW w:w="1529" w:type="dxa"/>
            <w:tcBorders>
              <w:top w:val="single" w:sz="4" w:space="0" w:color="000000"/>
            </w:tcBorders>
          </w:tcPr>
          <w:p w:rsidR="00BE1433" w:rsidRDefault="00DF59D8">
            <w:pPr>
              <w:pStyle w:val="TableParagraph"/>
              <w:spacing w:before="49" w:line="250" w:lineRule="exact"/>
              <w:ind w:left="217" w:right="194"/>
              <w:jc w:val="center"/>
            </w:pPr>
            <w:r>
              <w:t>2.60a</w:t>
            </w:r>
          </w:p>
        </w:tc>
      </w:tr>
      <w:tr w:rsidR="00BE1433">
        <w:trPr>
          <w:trHeight w:val="304"/>
        </w:trPr>
        <w:tc>
          <w:tcPr>
            <w:tcW w:w="1923" w:type="dxa"/>
          </w:tcPr>
          <w:p w:rsidR="00BE1433" w:rsidRDefault="00DF59D8">
            <w:pPr>
              <w:pStyle w:val="TableParagraph"/>
              <w:spacing w:before="8"/>
              <w:ind w:left="820"/>
            </w:pPr>
            <w:r>
              <w:t>15,0</w:t>
            </w:r>
          </w:p>
        </w:tc>
        <w:tc>
          <w:tcPr>
            <w:tcW w:w="1601" w:type="dxa"/>
          </w:tcPr>
          <w:p w:rsidR="00BE1433" w:rsidRDefault="00DF59D8">
            <w:pPr>
              <w:pStyle w:val="TableParagraph"/>
              <w:spacing w:before="34" w:line="250" w:lineRule="exact"/>
              <w:ind w:left="225" w:right="130"/>
              <w:jc w:val="center"/>
            </w:pPr>
            <w:r>
              <w:t>8.96*</w:t>
            </w:r>
          </w:p>
        </w:tc>
        <w:tc>
          <w:tcPr>
            <w:tcW w:w="1605" w:type="dxa"/>
          </w:tcPr>
          <w:p w:rsidR="00BE1433" w:rsidRDefault="00DF59D8">
            <w:pPr>
              <w:pStyle w:val="TableParagraph"/>
              <w:spacing w:before="34" w:line="250" w:lineRule="exact"/>
              <w:ind w:right="583"/>
              <w:jc w:val="right"/>
            </w:pPr>
            <w:r>
              <w:t>0.40a</w:t>
            </w:r>
          </w:p>
        </w:tc>
        <w:tc>
          <w:tcPr>
            <w:tcW w:w="1425" w:type="dxa"/>
          </w:tcPr>
          <w:p w:rsidR="00BE1433" w:rsidRDefault="00DF59D8">
            <w:pPr>
              <w:pStyle w:val="TableParagraph"/>
              <w:spacing w:before="34" w:line="250" w:lineRule="exact"/>
              <w:ind w:left="376" w:right="401"/>
              <w:jc w:val="center"/>
            </w:pPr>
            <w:r>
              <w:t>0.80a</w:t>
            </w:r>
          </w:p>
        </w:tc>
        <w:tc>
          <w:tcPr>
            <w:tcW w:w="1529" w:type="dxa"/>
          </w:tcPr>
          <w:p w:rsidR="00BE1433" w:rsidRDefault="00DF59D8">
            <w:pPr>
              <w:pStyle w:val="TableParagraph"/>
              <w:spacing w:before="34" w:line="250" w:lineRule="exact"/>
              <w:ind w:left="217" w:right="194"/>
              <w:jc w:val="center"/>
            </w:pPr>
            <w:r>
              <w:t>3,58a</w:t>
            </w:r>
          </w:p>
        </w:tc>
      </w:tr>
      <w:tr w:rsidR="00BE1433">
        <w:trPr>
          <w:trHeight w:val="302"/>
        </w:trPr>
        <w:tc>
          <w:tcPr>
            <w:tcW w:w="1923" w:type="dxa"/>
          </w:tcPr>
          <w:p w:rsidR="00BE1433" w:rsidRDefault="00DF59D8">
            <w:pPr>
              <w:pStyle w:val="TableParagraph"/>
              <w:spacing w:before="8"/>
              <w:ind w:left="820"/>
            </w:pPr>
            <w:r>
              <w:t>30.0</w:t>
            </w:r>
          </w:p>
        </w:tc>
        <w:tc>
          <w:tcPr>
            <w:tcW w:w="1601" w:type="dxa"/>
          </w:tcPr>
          <w:p w:rsidR="00BE1433" w:rsidRDefault="00DF59D8">
            <w:pPr>
              <w:pStyle w:val="TableParagraph"/>
              <w:spacing w:before="32" w:line="250" w:lineRule="exact"/>
              <w:ind w:left="225" w:right="130"/>
              <w:jc w:val="center"/>
            </w:pPr>
            <w:r>
              <w:t>10.88*</w:t>
            </w:r>
          </w:p>
        </w:tc>
        <w:tc>
          <w:tcPr>
            <w:tcW w:w="1605" w:type="dxa"/>
          </w:tcPr>
          <w:p w:rsidR="00BE1433" w:rsidRDefault="00DF59D8">
            <w:pPr>
              <w:pStyle w:val="TableParagraph"/>
              <w:spacing w:before="32" w:line="250" w:lineRule="exact"/>
              <w:ind w:right="583"/>
              <w:jc w:val="right"/>
            </w:pPr>
            <w:r>
              <w:t>0.00a</w:t>
            </w:r>
          </w:p>
        </w:tc>
        <w:tc>
          <w:tcPr>
            <w:tcW w:w="1425" w:type="dxa"/>
          </w:tcPr>
          <w:p w:rsidR="00BE1433" w:rsidRDefault="00DF59D8">
            <w:pPr>
              <w:pStyle w:val="TableParagraph"/>
              <w:spacing w:before="32" w:line="250" w:lineRule="exact"/>
              <w:ind w:left="379" w:right="401"/>
              <w:jc w:val="center"/>
            </w:pPr>
            <w:r>
              <w:t>6.60*</w:t>
            </w:r>
          </w:p>
        </w:tc>
        <w:tc>
          <w:tcPr>
            <w:tcW w:w="1529" w:type="dxa"/>
          </w:tcPr>
          <w:p w:rsidR="00BE1433" w:rsidRDefault="00DF59D8">
            <w:pPr>
              <w:pStyle w:val="TableParagraph"/>
              <w:spacing w:before="32" w:line="250" w:lineRule="exact"/>
              <w:ind w:left="218" w:right="194"/>
              <w:jc w:val="center"/>
            </w:pPr>
            <w:r>
              <w:t>4.40a*</w:t>
            </w:r>
          </w:p>
        </w:tc>
      </w:tr>
      <w:tr w:rsidR="00BE1433">
        <w:trPr>
          <w:trHeight w:val="288"/>
        </w:trPr>
        <w:tc>
          <w:tcPr>
            <w:tcW w:w="1923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8"/>
              <w:ind w:left="820"/>
            </w:pPr>
            <w:r>
              <w:t>60.0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6" w:lineRule="exact"/>
              <w:ind w:left="225" w:right="130"/>
              <w:jc w:val="center"/>
            </w:pPr>
            <w:r>
              <w:t>9.38*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6" w:lineRule="exact"/>
              <w:ind w:right="527"/>
              <w:jc w:val="right"/>
            </w:pPr>
            <w:r>
              <w:t>0.80a*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6" w:lineRule="exact"/>
              <w:ind w:left="379" w:right="401"/>
              <w:jc w:val="center"/>
            </w:pPr>
            <w:r>
              <w:t>8.40*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:rsidR="00BE1433" w:rsidRDefault="00DF59D8">
            <w:pPr>
              <w:pStyle w:val="TableParagraph"/>
              <w:spacing w:before="32" w:line="236" w:lineRule="exact"/>
              <w:ind w:left="217" w:right="194"/>
              <w:jc w:val="center"/>
            </w:pPr>
            <w:r>
              <w:t>3,80a</w:t>
            </w:r>
          </w:p>
        </w:tc>
      </w:tr>
    </w:tbl>
    <w:p w:rsidR="00BE1433" w:rsidRDefault="00DF59D8">
      <w:pPr>
        <w:pStyle w:val="Corpodetexto"/>
        <w:ind w:right="996"/>
        <w:jc w:val="both"/>
      </w:pPr>
      <w:r>
        <w:t>The</w:t>
      </w:r>
      <w:r>
        <w:rPr>
          <w:spacing w:val="-4"/>
        </w:rPr>
        <w:t xml:space="preserve"> </w:t>
      </w:r>
      <w:r>
        <w:t>Mitotic</w:t>
      </w:r>
      <w:r>
        <w:rPr>
          <w:spacing w:val="-7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percentages.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Chromosomal</w:t>
      </w:r>
      <w:r>
        <w:rPr>
          <w:spacing w:val="-3"/>
        </w:rPr>
        <w:t xml:space="preserve"> </w:t>
      </w:r>
      <w:r>
        <w:t>Alterations,</w:t>
      </w:r>
      <w:r>
        <w:rPr>
          <w:spacing w:val="-4"/>
        </w:rPr>
        <w:t xml:space="preserve"> </w:t>
      </w:r>
      <w:r>
        <w:t>Condensed</w:t>
      </w:r>
      <w:r>
        <w:rPr>
          <w:spacing w:val="-8"/>
        </w:rPr>
        <w:t xml:space="preserve"> </w:t>
      </w:r>
      <w:r>
        <w:t>Nuclei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Micronuclei are in frequency per one thousand cells. Values followed by a “*” differ significantly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“a”</w:t>
      </w:r>
      <w:r>
        <w:rPr>
          <w:spacing w:val="-4"/>
        </w:rPr>
        <w:t xml:space="preserve"> </w:t>
      </w:r>
      <w:r>
        <w:t>differ</w:t>
      </w:r>
      <w:r>
        <w:rPr>
          <w:spacing w:val="-5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-48"/>
        </w:rPr>
        <w:t xml:space="preserve"> </w:t>
      </w:r>
      <w:r>
        <w:t>control.</w:t>
      </w:r>
      <w:bookmarkStart w:id="0" w:name="_GoBack"/>
      <w:bookmarkEnd w:id="0"/>
    </w:p>
    <w:sectPr w:rsidR="00BE1433" w:rsidSect="00C31CC6">
      <w:type w:val="continuous"/>
      <w:pgSz w:w="12240" w:h="15840"/>
      <w:pgMar w:top="1360" w:right="1720" w:bottom="280" w:left="1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E1433"/>
    <w:rsid w:val="00484B66"/>
    <w:rsid w:val="00BE1433"/>
    <w:rsid w:val="00C31CC6"/>
    <w:rsid w:val="00DF59D8"/>
    <w:rsid w:val="00E7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B66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84B66"/>
    <w:pPr>
      <w:ind w:left="120"/>
    </w:pPr>
    <w:rPr>
      <w:sz w:val="20"/>
      <w:szCs w:val="20"/>
    </w:rPr>
  </w:style>
  <w:style w:type="paragraph" w:styleId="Ttulo">
    <w:name w:val="Title"/>
    <w:basedOn w:val="Normal"/>
    <w:uiPriority w:val="10"/>
    <w:qFormat/>
    <w:rsid w:val="00484B66"/>
    <w:pPr>
      <w:spacing w:before="79"/>
      <w:ind w:left="120" w:right="99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84B66"/>
  </w:style>
  <w:style w:type="paragraph" w:customStyle="1" w:styleId="TableParagraph">
    <w:name w:val="Table Paragraph"/>
    <w:basedOn w:val="Normal"/>
    <w:uiPriority w:val="1"/>
    <w:qFormat/>
    <w:rsid w:val="00484B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DBI</cp:lastModifiedBy>
  <cp:revision>2</cp:revision>
  <dcterms:created xsi:type="dcterms:W3CDTF">2022-06-30T19:20:00Z</dcterms:created>
  <dcterms:modified xsi:type="dcterms:W3CDTF">2022-06-30T19:20:00Z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2022-06-02T00:00:00Z</vt:filetime>
  </property>
</Properties>
</file>