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A0D90" w14:textId="77777777" w:rsidR="00C72D10" w:rsidRPr="00311360" w:rsidRDefault="00C72D10" w:rsidP="00C72D10">
      <w:pPr>
        <w:pStyle w:val="Caption"/>
        <w:keepNext/>
        <w:ind w:firstLine="0"/>
      </w:pPr>
      <w:r w:rsidRPr="00311360">
        <w:rPr>
          <w:b/>
          <w:bCs/>
        </w:rPr>
        <w:t xml:space="preserve">Table </w:t>
      </w:r>
      <w:r w:rsidRPr="00311360">
        <w:rPr>
          <w:b/>
          <w:bCs/>
        </w:rPr>
        <w:fldChar w:fldCharType="begin"/>
      </w:r>
      <w:r w:rsidRPr="00311360">
        <w:rPr>
          <w:b/>
          <w:bCs/>
        </w:rPr>
        <w:instrText xml:space="preserve"> SEQ Table \* ARABIC </w:instrText>
      </w:r>
      <w:r w:rsidRPr="00311360">
        <w:rPr>
          <w:b/>
          <w:bCs/>
        </w:rPr>
        <w:fldChar w:fldCharType="separate"/>
      </w:r>
      <w:r w:rsidRPr="00311360">
        <w:rPr>
          <w:b/>
          <w:bCs/>
        </w:rPr>
        <w:t>1</w:t>
      </w:r>
      <w:r w:rsidRPr="00311360">
        <w:rPr>
          <w:b/>
          <w:bCs/>
        </w:rPr>
        <w:fldChar w:fldCharType="end"/>
      </w:r>
      <w:r w:rsidRPr="00311360">
        <w:t>. Overview of Fatigue Assessment in Sickle Cell Disease: A Synthesis of 28 Studies.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87"/>
        <w:gridCol w:w="892"/>
        <w:gridCol w:w="1042"/>
        <w:gridCol w:w="1051"/>
        <w:gridCol w:w="1039"/>
        <w:gridCol w:w="899"/>
        <w:gridCol w:w="889"/>
        <w:gridCol w:w="1192"/>
        <w:gridCol w:w="1639"/>
        <w:gridCol w:w="1192"/>
        <w:gridCol w:w="1639"/>
        <w:gridCol w:w="1341"/>
      </w:tblGrid>
      <w:tr w:rsidR="00C72D10" w:rsidRPr="00311360" w14:paraId="7BC2B5AB" w14:textId="77777777" w:rsidTr="003F4F9E">
        <w:trPr>
          <w:jc w:val="center"/>
        </w:trPr>
        <w:tc>
          <w:tcPr>
            <w:tcW w:w="1129" w:type="dxa"/>
            <w:vMerge w:val="restart"/>
            <w:tcBorders>
              <w:top w:val="single" w:sz="4" w:space="0" w:color="auto"/>
            </w:tcBorders>
            <w:vAlign w:val="center"/>
          </w:tcPr>
          <w:p w14:paraId="524702E3"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bookmarkStart w:id="0" w:name="_Hlk168926396"/>
            <w:r w:rsidRPr="00311360">
              <w:rPr>
                <w:rFonts w:ascii="Aptos Display" w:eastAsiaTheme="minorHAnsi" w:hAnsi="Aptos Display" w:cstheme="minorBidi"/>
                <w:b/>
                <w:bCs/>
                <w:kern w:val="2"/>
                <w:sz w:val="18"/>
                <w:szCs w:val="18"/>
                <w:lang w:eastAsia="en-US"/>
              </w:rPr>
              <w:t>Author(s), Year</w:t>
            </w:r>
          </w:p>
        </w:tc>
        <w:tc>
          <w:tcPr>
            <w:tcW w:w="849" w:type="dxa"/>
            <w:vMerge w:val="restart"/>
            <w:tcBorders>
              <w:top w:val="single" w:sz="4" w:space="0" w:color="auto"/>
            </w:tcBorders>
            <w:vAlign w:val="center"/>
          </w:tcPr>
          <w:p w14:paraId="09469370"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Country</w:t>
            </w:r>
          </w:p>
        </w:tc>
        <w:tc>
          <w:tcPr>
            <w:tcW w:w="991" w:type="dxa"/>
            <w:vMerge w:val="restart"/>
            <w:tcBorders>
              <w:top w:val="single" w:sz="4" w:space="0" w:color="auto"/>
            </w:tcBorders>
            <w:vAlign w:val="center"/>
          </w:tcPr>
          <w:p w14:paraId="7392E269"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Study design</w:t>
            </w:r>
          </w:p>
        </w:tc>
        <w:tc>
          <w:tcPr>
            <w:tcW w:w="4823" w:type="dxa"/>
            <w:gridSpan w:val="5"/>
            <w:tcBorders>
              <w:top w:val="single" w:sz="4" w:space="0" w:color="auto"/>
              <w:bottom w:val="single" w:sz="4" w:space="0" w:color="auto"/>
            </w:tcBorders>
            <w:vAlign w:val="center"/>
          </w:tcPr>
          <w:p w14:paraId="6504D539"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Population</w:t>
            </w:r>
          </w:p>
        </w:tc>
        <w:tc>
          <w:tcPr>
            <w:tcW w:w="1559" w:type="dxa"/>
            <w:vMerge w:val="restart"/>
            <w:tcBorders>
              <w:top w:val="single" w:sz="4" w:space="0" w:color="auto"/>
            </w:tcBorders>
            <w:vAlign w:val="center"/>
          </w:tcPr>
          <w:p w14:paraId="0574C7F3"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Study context</w:t>
            </w:r>
          </w:p>
        </w:tc>
        <w:tc>
          <w:tcPr>
            <w:tcW w:w="1134" w:type="dxa"/>
            <w:vMerge w:val="restart"/>
            <w:tcBorders>
              <w:top w:val="single" w:sz="4" w:space="0" w:color="auto"/>
            </w:tcBorders>
            <w:vAlign w:val="center"/>
          </w:tcPr>
          <w:p w14:paraId="6C275964"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Fatigue Measure(s)</w:t>
            </w:r>
          </w:p>
        </w:tc>
        <w:tc>
          <w:tcPr>
            <w:tcW w:w="1559" w:type="dxa"/>
            <w:vMerge w:val="restart"/>
            <w:tcBorders>
              <w:top w:val="single" w:sz="4" w:space="0" w:color="auto"/>
            </w:tcBorders>
            <w:vAlign w:val="center"/>
          </w:tcPr>
          <w:p w14:paraId="3C9D404C"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Investigated correlates of fatigue</w:t>
            </w:r>
          </w:p>
        </w:tc>
        <w:tc>
          <w:tcPr>
            <w:tcW w:w="1276" w:type="dxa"/>
            <w:vMerge w:val="restart"/>
            <w:tcBorders>
              <w:top w:val="single" w:sz="4" w:space="0" w:color="auto"/>
            </w:tcBorders>
            <w:vAlign w:val="center"/>
          </w:tcPr>
          <w:p w14:paraId="77B87DE5"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r w:rsidRPr="00311360">
              <w:rPr>
                <w:rFonts w:ascii="Aptos Display" w:eastAsiaTheme="minorHAnsi" w:hAnsi="Aptos Display" w:cstheme="minorBidi"/>
                <w:b/>
                <w:bCs/>
                <w:kern w:val="2"/>
                <w:sz w:val="18"/>
                <w:szCs w:val="18"/>
                <w:lang w:eastAsia="en-US"/>
              </w:rPr>
              <w:t>Type of outcomes</w:t>
            </w:r>
          </w:p>
        </w:tc>
      </w:tr>
      <w:tr w:rsidR="00C72D10" w:rsidRPr="00311360" w14:paraId="1698DAF1" w14:textId="77777777" w:rsidTr="003F4F9E">
        <w:trPr>
          <w:jc w:val="center"/>
        </w:trPr>
        <w:tc>
          <w:tcPr>
            <w:tcW w:w="1129" w:type="dxa"/>
            <w:vMerge/>
            <w:tcBorders>
              <w:bottom w:val="single" w:sz="4" w:space="0" w:color="auto"/>
            </w:tcBorders>
            <w:vAlign w:val="center"/>
          </w:tcPr>
          <w:p w14:paraId="77C06E82"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849" w:type="dxa"/>
            <w:vMerge/>
            <w:tcBorders>
              <w:bottom w:val="single" w:sz="4" w:space="0" w:color="auto"/>
            </w:tcBorders>
            <w:vAlign w:val="center"/>
          </w:tcPr>
          <w:p w14:paraId="2C5C6824"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991" w:type="dxa"/>
            <w:vMerge/>
            <w:tcBorders>
              <w:bottom w:val="single" w:sz="4" w:space="0" w:color="auto"/>
            </w:tcBorders>
            <w:vAlign w:val="center"/>
          </w:tcPr>
          <w:p w14:paraId="7013EABE"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1000" w:type="dxa"/>
            <w:tcBorders>
              <w:top w:val="single" w:sz="4" w:space="0" w:color="auto"/>
              <w:bottom w:val="single" w:sz="4" w:space="0" w:color="auto"/>
            </w:tcBorders>
            <w:vAlign w:val="center"/>
          </w:tcPr>
          <w:p w14:paraId="472167AB"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i/>
                <w:iCs/>
                <w:kern w:val="2"/>
                <w:sz w:val="18"/>
                <w:szCs w:val="18"/>
                <w:lang w:eastAsia="en-US"/>
              </w:rPr>
              <w:t>Type</w:t>
            </w:r>
          </w:p>
        </w:tc>
        <w:tc>
          <w:tcPr>
            <w:tcW w:w="988" w:type="dxa"/>
            <w:tcBorders>
              <w:top w:val="single" w:sz="4" w:space="0" w:color="auto"/>
              <w:bottom w:val="single" w:sz="4" w:space="0" w:color="auto"/>
            </w:tcBorders>
            <w:vAlign w:val="center"/>
          </w:tcPr>
          <w:p w14:paraId="6792F3A5"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i/>
                <w:iCs/>
                <w:kern w:val="2"/>
                <w:sz w:val="18"/>
                <w:szCs w:val="18"/>
                <w:lang w:eastAsia="en-US"/>
              </w:rPr>
              <w:t>Age</w:t>
            </w:r>
          </w:p>
        </w:tc>
        <w:tc>
          <w:tcPr>
            <w:tcW w:w="855" w:type="dxa"/>
            <w:tcBorders>
              <w:top w:val="single" w:sz="4" w:space="0" w:color="auto"/>
              <w:bottom w:val="single" w:sz="4" w:space="0" w:color="auto"/>
            </w:tcBorders>
            <w:vAlign w:val="center"/>
          </w:tcPr>
          <w:p w14:paraId="0B99E9B2"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i/>
                <w:iCs/>
                <w:kern w:val="2"/>
                <w:sz w:val="18"/>
                <w:szCs w:val="18"/>
                <w:lang w:eastAsia="en-US"/>
              </w:rPr>
              <w:t>Sample size*</w:t>
            </w:r>
          </w:p>
          <w:p w14:paraId="2AA70298"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p>
        </w:tc>
        <w:tc>
          <w:tcPr>
            <w:tcW w:w="846" w:type="dxa"/>
            <w:tcBorders>
              <w:top w:val="single" w:sz="4" w:space="0" w:color="auto"/>
              <w:bottom w:val="single" w:sz="4" w:space="0" w:color="auto"/>
            </w:tcBorders>
            <w:vAlign w:val="center"/>
          </w:tcPr>
          <w:p w14:paraId="641B4C25"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i/>
                <w:iCs/>
                <w:kern w:val="2"/>
                <w:sz w:val="18"/>
                <w:szCs w:val="18"/>
                <w:lang w:eastAsia="en-US"/>
              </w:rPr>
              <w:t>Sex (female, %)</w:t>
            </w:r>
          </w:p>
          <w:p w14:paraId="064519DC"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p>
        </w:tc>
        <w:tc>
          <w:tcPr>
            <w:tcW w:w="1134" w:type="dxa"/>
            <w:tcBorders>
              <w:top w:val="single" w:sz="4" w:space="0" w:color="auto"/>
              <w:bottom w:val="single" w:sz="4" w:space="0" w:color="auto"/>
            </w:tcBorders>
            <w:vAlign w:val="center"/>
          </w:tcPr>
          <w:p w14:paraId="23FDCE69" w14:textId="77777777" w:rsidR="00C72D10" w:rsidRPr="00311360" w:rsidRDefault="00C72D10" w:rsidP="003F4F9E">
            <w:pPr>
              <w:ind w:firstLine="0"/>
              <w:jc w:val="center"/>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i/>
                <w:iCs/>
                <w:kern w:val="2"/>
                <w:sz w:val="18"/>
                <w:szCs w:val="18"/>
                <w:lang w:eastAsia="en-US"/>
              </w:rPr>
              <w:t>SCD genotypes</w:t>
            </w:r>
          </w:p>
        </w:tc>
        <w:tc>
          <w:tcPr>
            <w:tcW w:w="1559" w:type="dxa"/>
            <w:vMerge/>
            <w:tcBorders>
              <w:bottom w:val="single" w:sz="4" w:space="0" w:color="auto"/>
            </w:tcBorders>
            <w:vAlign w:val="center"/>
          </w:tcPr>
          <w:p w14:paraId="5AE4628B"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1134" w:type="dxa"/>
            <w:vMerge/>
            <w:tcBorders>
              <w:bottom w:val="single" w:sz="4" w:space="0" w:color="auto"/>
            </w:tcBorders>
            <w:vAlign w:val="center"/>
          </w:tcPr>
          <w:p w14:paraId="06A54485"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1559" w:type="dxa"/>
            <w:vMerge/>
            <w:tcBorders>
              <w:bottom w:val="single" w:sz="4" w:space="0" w:color="auto"/>
            </w:tcBorders>
            <w:vAlign w:val="center"/>
          </w:tcPr>
          <w:p w14:paraId="0D424383"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c>
          <w:tcPr>
            <w:tcW w:w="1276" w:type="dxa"/>
            <w:vMerge/>
            <w:tcBorders>
              <w:bottom w:val="single" w:sz="4" w:space="0" w:color="auto"/>
            </w:tcBorders>
            <w:vAlign w:val="center"/>
          </w:tcPr>
          <w:p w14:paraId="4224BDF9" w14:textId="77777777" w:rsidR="00C72D10" w:rsidRPr="00311360" w:rsidRDefault="00C72D10" w:rsidP="003F4F9E">
            <w:pPr>
              <w:ind w:firstLine="0"/>
              <w:jc w:val="center"/>
              <w:textAlignment w:val="auto"/>
              <w:rPr>
                <w:rFonts w:ascii="Aptos Display" w:eastAsiaTheme="minorHAnsi" w:hAnsi="Aptos Display" w:cstheme="minorBidi"/>
                <w:b/>
                <w:bCs/>
                <w:kern w:val="2"/>
                <w:sz w:val="18"/>
                <w:szCs w:val="18"/>
                <w:lang w:eastAsia="en-US"/>
              </w:rPr>
            </w:pPr>
          </w:p>
        </w:tc>
      </w:tr>
      <w:tr w:rsidR="00C72D10" w:rsidRPr="00311360" w14:paraId="3444F6C1" w14:textId="77777777" w:rsidTr="003F4F9E">
        <w:trPr>
          <w:jc w:val="center"/>
        </w:trPr>
        <w:tc>
          <w:tcPr>
            <w:tcW w:w="1129" w:type="dxa"/>
            <w:tcBorders>
              <w:top w:val="single" w:sz="4" w:space="0" w:color="auto"/>
            </w:tcBorders>
          </w:tcPr>
          <w:p w14:paraId="01140F18" w14:textId="58843B6B"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{"citationID":"VUveTvg7","properties":{"formattedCitation":"(52)","plainCitation":"(52)","noteIndex":0},"citationItems":[{"id":1017,"uris":["http://zotero.org/users/7449321/items/CKZIVBYT"],"itemData":{"id":1017,"type":"article-journal","abstract":"Pediatric health-related quality of life (HRQOL) questionnaires have been validated in children with sickle cell disease (SCD), but small sample sizes in these studies have limited clinical comparisons. We used the baseline clinical data from the Collaborative ...","container-title":"Pediatric blood &amp; cancer","DOI":"10.1002/pbc.22497","issue":"3","language":"en","note":"publisher: NIH Public Access\nPMID: 20658620","page":"485","source":"www-ncbi-nlm-nih-gov.sid2nomade-2.grenet.fr","title":"Health-Related Quality of Life in Children with Sickle Cell Disease: A Report from the Comprehensive Sickle Cell Centers Clinical Trial Consortium","title-short":"Health-Related Quality of Life in Children with Sickle Cell Disease","volume":"55","author":[{"family":"Dampier","given":"Carlton"},{"family":"Lieff","given":"Susan"},{"family":"LeBeau","given":"Petra"},{"family":"Rhee","given":"Seungshin"},{"family":"McMurray","given":"Marsha"},{"family":"Rogers","given":"Zora"},{"family":"Smith-Whitley","given":"Kim"},{"family":"Wang","given":"Winfred"}],"issued":{"date-parts":[["2010",9]]}}}],"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(52)</w:t>
            </w:r>
            <w:r w:rsidRPr="00311360">
              <w:rPr>
                <w:rFonts w:ascii="Aptos Display" w:eastAsiaTheme="minorHAnsi" w:hAnsi="Aptos Display" w:cstheme="minorBidi"/>
                <w:kern w:val="2"/>
                <w:sz w:val="18"/>
                <w:szCs w:val="18"/>
                <w:lang w:eastAsia="en-US"/>
              </w:rPr>
              <w:fldChar w:fldCharType="end"/>
            </w:r>
          </w:p>
          <w:p w14:paraId="7993C06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49" w:type="dxa"/>
            <w:tcBorders>
              <w:top w:val="single" w:sz="4" w:space="0" w:color="auto"/>
            </w:tcBorders>
          </w:tcPr>
          <w:p w14:paraId="3448B0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Borders>
              <w:top w:val="single" w:sz="4" w:space="0" w:color="auto"/>
            </w:tcBorders>
          </w:tcPr>
          <w:p w14:paraId="63B23EE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Borders>
              <w:top w:val="single" w:sz="4" w:space="0" w:color="auto"/>
            </w:tcBorders>
          </w:tcPr>
          <w:p w14:paraId="4824B6E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Borders>
              <w:top w:val="single" w:sz="4" w:space="0" w:color="auto"/>
            </w:tcBorders>
          </w:tcPr>
          <w:p w14:paraId="4389AD9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5–18/Mean age (SD): 11.3 (3.8)</w:t>
            </w:r>
          </w:p>
        </w:tc>
        <w:tc>
          <w:tcPr>
            <w:tcW w:w="855" w:type="dxa"/>
            <w:tcBorders>
              <w:top w:val="single" w:sz="4" w:space="0" w:color="auto"/>
            </w:tcBorders>
          </w:tcPr>
          <w:p w14:paraId="13D51C0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1393</w:t>
            </w:r>
          </w:p>
        </w:tc>
        <w:tc>
          <w:tcPr>
            <w:tcW w:w="846" w:type="dxa"/>
            <w:tcBorders>
              <w:top w:val="single" w:sz="4" w:space="0" w:color="auto"/>
            </w:tcBorders>
          </w:tcPr>
          <w:p w14:paraId="71A0E56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46</w:t>
            </w:r>
          </w:p>
        </w:tc>
        <w:tc>
          <w:tcPr>
            <w:tcW w:w="1134" w:type="dxa"/>
            <w:tcBorders>
              <w:top w:val="single" w:sz="4" w:space="0" w:color="auto"/>
            </w:tcBorders>
          </w:tcPr>
          <w:p w14:paraId="448E58D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SS or </w:t>
            </w:r>
            <w:bookmarkStart w:id="1" w:name="_Hlk170374732"/>
            <w:r w:rsidRPr="00311360">
              <w:rPr>
                <w:rFonts w:ascii="Aptos Display" w:eastAsiaTheme="minorHAnsi" w:hAnsi="Aptos Display" w:cstheme="minorBidi"/>
                <w:kern w:val="2"/>
                <w:sz w:val="18"/>
                <w:szCs w:val="18"/>
                <w:lang w:eastAsia="en-US"/>
              </w:rPr>
              <w:t>Sβ0 thalassaemia</w:t>
            </w:r>
            <w:bookmarkEnd w:id="1"/>
            <w:r w:rsidRPr="00311360">
              <w:rPr>
                <w:rFonts w:ascii="Aptos Display" w:eastAsiaTheme="minorHAnsi" w:hAnsi="Aptos Display" w:cstheme="minorBidi"/>
                <w:kern w:val="2"/>
                <w:sz w:val="18"/>
                <w:szCs w:val="18"/>
                <w:lang w:eastAsia="en-US"/>
              </w:rPr>
              <w:t xml:space="preserve">: 68.3%, SC or </w:t>
            </w:r>
            <w:bookmarkStart w:id="2" w:name="_Hlk170374758"/>
            <w:r w:rsidRPr="00311360">
              <w:rPr>
                <w:rFonts w:ascii="Aptos Display" w:eastAsiaTheme="minorHAnsi" w:hAnsi="Aptos Display" w:cstheme="minorBidi"/>
                <w:kern w:val="2"/>
                <w:sz w:val="18"/>
                <w:szCs w:val="18"/>
                <w:lang w:eastAsia="en-US"/>
              </w:rPr>
              <w:t>Sβ+ thalassaemia</w:t>
            </w:r>
            <w:bookmarkEnd w:id="2"/>
            <w:r w:rsidRPr="00311360">
              <w:rPr>
                <w:rFonts w:ascii="Aptos Display" w:eastAsiaTheme="minorHAnsi" w:hAnsi="Aptos Display" w:cstheme="minorBidi"/>
                <w:kern w:val="2"/>
                <w:sz w:val="18"/>
                <w:szCs w:val="18"/>
                <w:lang w:eastAsia="en-US"/>
              </w:rPr>
              <w:t>: 31.7%.</w:t>
            </w:r>
          </w:p>
        </w:tc>
        <w:tc>
          <w:tcPr>
            <w:tcW w:w="1559" w:type="dxa"/>
            <w:tcBorders>
              <w:top w:val="single" w:sz="4" w:space="0" w:color="auto"/>
            </w:tcBorders>
          </w:tcPr>
          <w:p w14:paraId="23F4279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who have to return to their clinics for routine care.</w:t>
            </w:r>
          </w:p>
        </w:tc>
        <w:tc>
          <w:tcPr>
            <w:tcW w:w="1134" w:type="dxa"/>
            <w:tcBorders>
              <w:top w:val="single" w:sz="4" w:space="0" w:color="auto"/>
            </w:tcBorders>
          </w:tcPr>
          <w:p w14:paraId="689EED9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p w14:paraId="340DCD1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(version 4.0)</w:t>
            </w:r>
          </w:p>
        </w:tc>
        <w:tc>
          <w:tcPr>
            <w:tcW w:w="1559" w:type="dxa"/>
            <w:tcBorders>
              <w:top w:val="single" w:sz="4" w:space="0" w:color="auto"/>
            </w:tcBorders>
          </w:tcPr>
          <w:p w14:paraId="1081C24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w:t>
            </w:r>
          </w:p>
          <w:p w14:paraId="5D06C5E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Age/Gender,</w:t>
            </w:r>
          </w:p>
          <w:p w14:paraId="67E2296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Phenotypes groups,</w:t>
            </w:r>
          </w:p>
          <w:p w14:paraId="6A5AEDA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outcomes,</w:t>
            </w:r>
          </w:p>
          <w:p w14:paraId="3D5C9B2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No. of days children missed school/caregivers missed work.</w:t>
            </w:r>
          </w:p>
          <w:p w14:paraId="24B80AF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p>
        </w:tc>
        <w:tc>
          <w:tcPr>
            <w:tcW w:w="1276" w:type="dxa"/>
            <w:tcBorders>
              <w:top w:val="single" w:sz="4" w:space="0" w:color="auto"/>
            </w:tcBorders>
          </w:tcPr>
          <w:p w14:paraId="4388A41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bookmarkStart w:id="3" w:name="_Hlk170123274"/>
            <w:r w:rsidRPr="00311360">
              <w:rPr>
                <w:rFonts w:ascii="Aptos Display" w:eastAsiaTheme="minorHAnsi" w:hAnsi="Aptos Display" w:cstheme="minorBidi"/>
                <w:kern w:val="2"/>
                <w:sz w:val="18"/>
                <w:szCs w:val="18"/>
                <w:lang w:eastAsia="en-US"/>
              </w:rPr>
              <w:t>Fatigue as</w:t>
            </w:r>
          </w:p>
          <w:p w14:paraId="6C0C708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bookmarkEnd w:id="3"/>
          </w:p>
        </w:tc>
      </w:tr>
      <w:tr w:rsidR="00C72D10" w:rsidRPr="00311360" w14:paraId="75BDAD58" w14:textId="77777777" w:rsidTr="003F4F9E">
        <w:trPr>
          <w:jc w:val="center"/>
        </w:trPr>
        <w:tc>
          <w:tcPr>
            <w:tcW w:w="1129" w:type="dxa"/>
          </w:tcPr>
          <w:p w14:paraId="54BB278C" w14:textId="4D636114"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{"citationID":"HjFHnq7z","properties":{"formattedCitation":"(33)","plainCitation":"(33)","noteIndex":0},"citationItems":[{"id":971,"uris":["http://zotero.org/users/7449321/items/A7R4YMQC"],"itemData":{"id":971,"type":"article-journal","abstract":"Background Sickle cell disease (SCD) is an inherited blood disorder characterized by a chronic hemolytic anemia that can contribute to fatigue and global cognitive impairment in patients. The study objective was to report on the feasibility, reliability, and validity of the PedsQL™ Multidimensional Fatigue Scale in SCD for pediatric patient self-report ages 5–18 years and parent proxy-report for ages 2–18 years. Procedure This was a cross-sectional multi-site study whereby 240 pediatric patients with SCD and 303 parents completed the 18-item PedsQL™ Multidimensional Fatigue Scale. Participants also completed the PedsQL™ 4.0 Generic Core Scales. Results The PedsQL™ Multidimensional Fatigue Scale evidenced excellent feasibility, excellent reliability for the Total Scale Scores (patient self-report α = 0.90; parent proxy-report α = 0.95), and acceptable reliability for the three individual scales (patient self-report α = 0.77–0.84; parent proxy-report α = 0.90–0.97). Intercorrelations of the PedsQL™ Multidimensional Fatigue Scale with the PedsQL™ Generic Core Scales were predominantly in the large (≥0.50) range, supporting construct validity. PedsQL™ Multidimensional Fatigue Scale Scores were significantly worse with large effects sizes (≥0.80) for patients with SCD than for a comparison sample of healthy children, supporting known-groups discriminant validity. Confirmatory factor analysis demonstrated an acceptable to excellent model fit in SCD. Conclusions The PedsQL™ Multidimensional Fatigue Scale demonstrated acceptable to excellent measurement properties in SCD. The results demonstrate the relative severity of fatigue symptoms in pediatric patients with SCD, indicating the potential clinical utility of multidimensional assessment of fatigue in patients with SCD in clinical research and practice. Pediatr Blood Cancer 2014;61:171–177. © 2013 Wiley Periodicals, Inc.","container-title":"Pediatric Blood &amp; Cancer","DOI":"10.1002/pbc.24776","ISSN":"1545-5017","issue":"1","language":"en","license":"© 2013 Wiley Periodicals, Inc.","note":"_eprint: https://onlinelibrary.wiley.com/doi/pdf/10.1002/pbc.24776","page":"171-177","source":"Wiley Online Library","title":"PedsQL™ multidimensional fatigue scale in sickle cell disease: Feasibility, reliability, and validity","title-short":"PedsQL™ multidimensional fatigue scale in sickle cell disease","volume":"61","author":[{"family":"Panepinto","given":"Julie A."},{"family":"Torres","given":"Sylvia"},{"family":"Bendo","given":"Cristiane B."},{"family":"McCavit","given":"Timothy L."},{"family":"Dinu","given":"Bogdan"},{"family":"Sherman-Bien","given":"Sandra"},{"family":"Bemrich-Stolz","given":"Christy"},{"family":"Varni","given":"James W."}],"issued":{"date-parts":[["2014"]]}}}],"schema":"https://github.com/citation-style-language/schema/raw/master/csl-citation.json"}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(33)</w:t>
            </w:r>
            <w:r w:rsidRPr="00311360">
              <w:rPr>
                <w:rFonts w:ascii="Aptos Display" w:eastAsiaTheme="minorHAnsi" w:hAnsi="Aptos Display" w:cstheme="minorBidi"/>
                <w:kern w:val="2"/>
                <w:sz w:val="18"/>
                <w:szCs w:val="18"/>
                <w:lang w:eastAsia="en-US"/>
              </w:rPr>
              <w:fldChar w:fldCharType="end"/>
            </w:r>
          </w:p>
        </w:tc>
        <w:tc>
          <w:tcPr>
            <w:tcW w:w="849" w:type="dxa"/>
          </w:tcPr>
          <w:p w14:paraId="2AE9131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4A8EC63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6256991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2F3C369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5–18</w:t>
            </w:r>
            <w:r w:rsidRPr="00311360">
              <w:rPr>
                <w:rFonts w:asciiTheme="minorHAnsi" w:eastAsiaTheme="minorHAnsi" w:hAnsiTheme="minorHAnsi" w:cstheme="minorBidi"/>
                <w:kern w:val="2"/>
                <w:sz w:val="18"/>
                <w:szCs w:val="18"/>
                <w:lang w:eastAsia="en-US"/>
              </w:rPr>
              <w:t>/</w:t>
            </w:r>
            <w:r w:rsidRPr="00311360">
              <w:rPr>
                <w:rFonts w:ascii="Aptos Display" w:eastAsiaTheme="minorHAnsi" w:hAnsi="Aptos Display" w:cstheme="minorBidi"/>
                <w:kern w:val="2"/>
                <w:sz w:val="18"/>
                <w:szCs w:val="18"/>
                <w:lang w:eastAsia="en-US"/>
              </w:rPr>
              <w:t>Mean age (SD) (n = 319 families): 9.70 (4.83)</w:t>
            </w:r>
          </w:p>
          <w:p w14:paraId="3407F96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30F7D27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240 paediatric patients/319 families </w:t>
            </w:r>
          </w:p>
        </w:tc>
        <w:tc>
          <w:tcPr>
            <w:tcW w:w="846" w:type="dxa"/>
          </w:tcPr>
          <w:p w14:paraId="2E52D8B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52 (for n= 319 families)</w:t>
            </w:r>
          </w:p>
        </w:tc>
        <w:tc>
          <w:tcPr>
            <w:tcW w:w="1134" w:type="dxa"/>
          </w:tcPr>
          <w:p w14:paraId="3B51572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Any genotype.</w:t>
            </w:r>
          </w:p>
        </w:tc>
        <w:tc>
          <w:tcPr>
            <w:tcW w:w="1559" w:type="dxa"/>
          </w:tcPr>
          <w:p w14:paraId="3A8A19A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and/or parents who presented for a clinic visit.</w:t>
            </w:r>
          </w:p>
        </w:tc>
        <w:tc>
          <w:tcPr>
            <w:tcW w:w="1134" w:type="dxa"/>
          </w:tcPr>
          <w:p w14:paraId="5F06563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tc>
        <w:tc>
          <w:tcPr>
            <w:tcW w:w="1559" w:type="dxa"/>
          </w:tcPr>
          <w:p w14:paraId="112620D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Disease severity,</w:t>
            </w:r>
          </w:p>
          <w:p w14:paraId="7EC6E66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HRQOL,</w:t>
            </w:r>
          </w:p>
          <w:p w14:paraId="2F81880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w:t>
            </w:r>
          </w:p>
        </w:tc>
        <w:tc>
          <w:tcPr>
            <w:tcW w:w="1276" w:type="dxa"/>
          </w:tcPr>
          <w:p w14:paraId="174D798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bookmarkStart w:id="4" w:name="_Hlk170293083"/>
            <w:r w:rsidRPr="00311360">
              <w:rPr>
                <w:rFonts w:ascii="Aptos Display" w:eastAsiaTheme="minorHAnsi" w:hAnsi="Aptos Display" w:cstheme="minorBidi"/>
                <w:kern w:val="2"/>
                <w:sz w:val="18"/>
                <w:szCs w:val="18"/>
                <w:lang w:eastAsia="en-US"/>
              </w:rPr>
              <w:t>Instrument development, test, validation or comparison</w:t>
            </w:r>
          </w:p>
          <w:bookmarkEnd w:id="4"/>
          <w:p w14:paraId="123AD30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(specific tool for fatigue)</w:t>
            </w:r>
          </w:p>
        </w:tc>
      </w:tr>
      <w:tr w:rsidR="00C72D10" w:rsidRPr="00311360" w14:paraId="50056F6B" w14:textId="77777777" w:rsidTr="003F4F9E">
        <w:trPr>
          <w:jc w:val="center"/>
        </w:trPr>
        <w:tc>
          <w:tcPr>
            <w:tcW w:w="1129" w:type="dxa"/>
          </w:tcPr>
          <w:p w14:paraId="08AFFCF6" w14:textId="410467DC"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color w:val="FF0000"/>
                <w:kern w:val="2"/>
                <w:sz w:val="18"/>
                <w:szCs w:val="18"/>
                <w:lang w:eastAsia="en-US"/>
              </w:rPr>
              <w:fldChar w:fldCharType="begin"/>
            </w:r>
            <w:r w:rsidR="00484A55">
              <w:rPr>
                <w:rFonts w:ascii="Aptos Display" w:eastAsiaTheme="minorHAnsi" w:hAnsi="Aptos Display" w:cstheme="minorBidi"/>
                <w:color w:val="FF0000"/>
                <w:kern w:val="2"/>
                <w:sz w:val="18"/>
                <w:szCs w:val="18"/>
                <w:lang w:eastAsia="en-US"/>
              </w:rPr>
              <w:instrText xml:space="preserve"> ADDIN ZOTERO_ITEM CSL_CITATION {"citationID":"SML3trvm","properties":{"formattedCitation":"(11)","plainCitation":"(11)","noteIndex":0},"citationItems":[{"id":978,"uris":["http://zotero.org/users/7449321/items/UGXS2UW2"],"itemData":{"id":978,"type":"article-journal","container-title":"Journal of pediatric oncology nursing : official journal of the Association of Pediatric Oncology Nurses","DOI":"10.1177/1043454213514632","issue":"1","language":"en","note":"publisher: NIH Public Access\nPMID: 24378816","page":"6","source":"www-ncbi-nlm-nih-gov.sid2nomade-1.grenet.fr","title":"Fatigue in Adolescents and Young Adults with Sickle Cell Disease: Biological and Behavioral Correlates and Health-Related Quality of Life","title-short":"Fatigue in Adolescents and Young Adults with Sickle Cell Disease","volume":"31","author":[{"family":"Ameringer","given":"Suzanne"},{"family":"R. K. Elswick","given":"J. R."},{"family":"Smith","given":"Wally"}],"issued":{"date-parts":[["2014",2]]}}}],"schema":"https://github.com/citation-style-language/schema/raw/master/csl-citation.json"} </w:instrText>
            </w:r>
            <w:r w:rsidRPr="00311360">
              <w:rPr>
                <w:rFonts w:ascii="Aptos Display" w:eastAsiaTheme="minorHAnsi" w:hAnsi="Aptos Display" w:cstheme="minorBidi"/>
                <w:color w:val="FF0000"/>
                <w:kern w:val="2"/>
                <w:sz w:val="18"/>
                <w:szCs w:val="18"/>
                <w:lang w:eastAsia="en-US"/>
              </w:rPr>
              <w:fldChar w:fldCharType="separate"/>
            </w:r>
            <w:r w:rsidR="00484A55" w:rsidRPr="00484A55">
              <w:rPr>
                <w:rFonts w:ascii="Aptos Display" w:hAnsi="Aptos Display"/>
                <w:sz w:val="18"/>
              </w:rPr>
              <w:t>(11)</w:t>
            </w:r>
            <w:r w:rsidRPr="00311360">
              <w:rPr>
                <w:rFonts w:ascii="Aptos Display" w:eastAsiaTheme="minorHAnsi" w:hAnsi="Aptos Display" w:cstheme="minorBidi"/>
                <w:color w:val="FF0000"/>
                <w:kern w:val="2"/>
                <w:sz w:val="18"/>
                <w:szCs w:val="18"/>
                <w:lang w:eastAsia="en-US"/>
              </w:rPr>
              <w:fldChar w:fldCharType="end"/>
            </w:r>
          </w:p>
        </w:tc>
        <w:tc>
          <w:tcPr>
            <w:tcW w:w="849" w:type="dxa"/>
          </w:tcPr>
          <w:p w14:paraId="628823B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1BCFD03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0E74B86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Adolescents/Young adults</w:t>
            </w:r>
          </w:p>
        </w:tc>
        <w:tc>
          <w:tcPr>
            <w:tcW w:w="988" w:type="dxa"/>
          </w:tcPr>
          <w:p w14:paraId="2ED35E7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15–30/Mean age: (SD) 22.5 (4.1)</w:t>
            </w:r>
          </w:p>
        </w:tc>
        <w:tc>
          <w:tcPr>
            <w:tcW w:w="855" w:type="dxa"/>
          </w:tcPr>
          <w:p w14:paraId="7DDC28F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846" w:type="dxa"/>
          </w:tcPr>
          <w:p w14:paraId="021D545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1134" w:type="dxa"/>
          </w:tcPr>
          <w:p w14:paraId="3A3A67B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65%, SC: 18.4%, Sβ0 thalassaemia: 3.3%, Sβ+ thalassaemia: 10%, Unknow: 3.3%.</w:t>
            </w:r>
          </w:p>
        </w:tc>
        <w:tc>
          <w:tcPr>
            <w:tcW w:w="1559" w:type="dxa"/>
          </w:tcPr>
          <w:p w14:paraId="6DA917C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with mild or severe SCD, asked to complete a survey packet during a hospitalisation or clinic visit.</w:t>
            </w:r>
          </w:p>
        </w:tc>
        <w:tc>
          <w:tcPr>
            <w:tcW w:w="1134" w:type="dxa"/>
          </w:tcPr>
          <w:p w14:paraId="0B02A875" w14:textId="77777777" w:rsidR="00C72D10" w:rsidRPr="00143F0E" w:rsidRDefault="00C72D10" w:rsidP="003F4F9E">
            <w:pPr>
              <w:ind w:firstLine="0"/>
              <w:jc w:val="left"/>
              <w:textAlignment w:val="auto"/>
              <w:rPr>
                <w:rFonts w:ascii="Aptos Display" w:eastAsiaTheme="minorHAnsi" w:hAnsi="Aptos Display" w:cstheme="minorBidi"/>
                <w:kern w:val="2"/>
                <w:sz w:val="18"/>
                <w:szCs w:val="18"/>
                <w:lang w:val="fr-FR" w:eastAsia="en-US"/>
              </w:rPr>
            </w:pPr>
            <w:r w:rsidRPr="00143F0E">
              <w:rPr>
                <w:rFonts w:ascii="Aptos Display" w:eastAsiaTheme="minorHAnsi" w:hAnsi="Aptos Display" w:cstheme="minorBidi"/>
                <w:kern w:val="2"/>
                <w:sz w:val="18"/>
                <w:szCs w:val="18"/>
                <w:lang w:val="fr-FR" w:eastAsia="en-US"/>
              </w:rPr>
              <w:t>PROMIS Fatigue SF 7-items / MFSI-SF/BFI</w:t>
            </w:r>
          </w:p>
        </w:tc>
        <w:tc>
          <w:tcPr>
            <w:tcW w:w="1559" w:type="dxa"/>
          </w:tcPr>
          <w:p w14:paraId="00053E9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w:t>
            </w:r>
          </w:p>
          <w:p w14:paraId="643ECF2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Sleep quality, Anxiety, Depression, Perceived stress</w:t>
            </w:r>
          </w:p>
          <w:p w14:paraId="589E73D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Medical outcome, </w:t>
            </w:r>
          </w:p>
          <w:p w14:paraId="51CE26C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Age/Gender</w:t>
            </w:r>
          </w:p>
          <w:p w14:paraId="6CB2011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Disease severity, </w:t>
            </w:r>
          </w:p>
          <w:p w14:paraId="03E1ECE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Quality of life.</w:t>
            </w:r>
          </w:p>
          <w:p w14:paraId="0D49863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58AF16A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 primary outcome measure</w:t>
            </w:r>
          </w:p>
        </w:tc>
      </w:tr>
      <w:tr w:rsidR="00C72D10" w:rsidRPr="00311360" w14:paraId="1CADFE24" w14:textId="77777777" w:rsidTr="003F4F9E">
        <w:trPr>
          <w:jc w:val="center"/>
        </w:trPr>
        <w:tc>
          <w:tcPr>
            <w:tcW w:w="1129" w:type="dxa"/>
          </w:tcPr>
          <w:p w14:paraId="7B9038C7" w14:textId="3378537B"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{"citationID":"JFMJVSPY","properties":{"formattedCitation":"(20)","plainCitation":"(20)","noteIndex":0},"citationItems":[{"id":1145,"uris":["http://zotero.org/users/7449321/items/Y4C853SP"],"itemData":{"id":1145,"type":"article-journal","container-title":"Nursing Outlook","DOI":"10.1016/j.outlook.2014.06.008","ISSN":"00296554","issue":"5","journalAbbreviation":"Nursing Outlook","language":"en","page":"322-331","source":"DOI.org (Crossref)","title":"Biobehavioral examination of fatigue across populations: Report from a P30 Center of Excellence","title-short":"Biobehavioral examination of fatigue across populations","volume":"62","author":[{"family":"Lyon","given":"Debra"},{"family":"McCain","given":"Nancy"},{"family":"Elswick","given":"R.K."},{"family":"Sturgill","given":"Jamie"},{"family":"Ameringer","given":"Suzanne"},{"family":"Jallo","given":"Nancy"},{"family":"Menzies","given":"Victoria"},{"family":"Robins","given":"JoLynne"},{"family":"Starkweather","given":"Angela"},{"family":"Walter","given":"Jeanne"},{"family":"Grap","given":"Mary Jo"}],"issued":{"date-parts":[["2014",9]]}}}],"schema":"https://github.com/citation-style-language/schema/raw/master/csl-citation.json"}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(20)</w:t>
            </w:r>
            <w:r w:rsidRPr="00311360">
              <w:rPr>
                <w:rFonts w:ascii="Aptos Display" w:eastAsiaTheme="minorHAnsi" w:hAnsi="Aptos Display" w:cstheme="minorBidi"/>
                <w:kern w:val="2"/>
                <w:sz w:val="18"/>
                <w:szCs w:val="18"/>
                <w:lang w:eastAsia="en-US"/>
              </w:rPr>
              <w:fldChar w:fldCharType="end"/>
            </w:r>
          </w:p>
        </w:tc>
        <w:tc>
          <w:tcPr>
            <w:tcW w:w="849" w:type="dxa"/>
          </w:tcPr>
          <w:p w14:paraId="66DF337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1BC70C5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3E32305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 /</w:t>
            </w:r>
          </w:p>
          <w:p w14:paraId="26754A4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Young adults</w:t>
            </w:r>
          </w:p>
        </w:tc>
        <w:tc>
          <w:tcPr>
            <w:tcW w:w="988" w:type="dxa"/>
          </w:tcPr>
          <w:p w14:paraId="7CB05DD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Range: 15–30/Mean age: 22.5 </w:t>
            </w:r>
          </w:p>
        </w:tc>
        <w:tc>
          <w:tcPr>
            <w:tcW w:w="855" w:type="dxa"/>
          </w:tcPr>
          <w:p w14:paraId="150DC4B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846" w:type="dxa"/>
          </w:tcPr>
          <w:p w14:paraId="4C40B42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1134" w:type="dxa"/>
          </w:tcPr>
          <w:p w14:paraId="694C899E" w14:textId="77777777" w:rsidR="00C72D10" w:rsidRPr="00311360" w:rsidRDefault="00C72D10" w:rsidP="003F4F9E">
            <w:pPr>
              <w:ind w:firstLine="0"/>
              <w:jc w:val="center"/>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w:t>
            </w:r>
          </w:p>
        </w:tc>
        <w:tc>
          <w:tcPr>
            <w:tcW w:w="1559" w:type="dxa"/>
          </w:tcPr>
          <w:p w14:paraId="384874D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initially included in the Ameringer et al. (2014) study.</w:t>
            </w:r>
          </w:p>
        </w:tc>
        <w:tc>
          <w:tcPr>
            <w:tcW w:w="1134" w:type="dxa"/>
          </w:tcPr>
          <w:p w14:paraId="4EB78BB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Fatigue SF 7-items</w:t>
            </w:r>
          </w:p>
        </w:tc>
        <w:tc>
          <w:tcPr>
            <w:tcW w:w="1559" w:type="dxa"/>
          </w:tcPr>
          <w:p w14:paraId="7278A28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Depressive symptoms,</w:t>
            </w:r>
          </w:p>
          <w:p w14:paraId="18FF2EB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Perceived stress,</w:t>
            </w:r>
          </w:p>
          <w:p w14:paraId="10AF11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w:t>
            </w:r>
          </w:p>
          <w:p w14:paraId="2744BC8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p>
        </w:tc>
        <w:tc>
          <w:tcPr>
            <w:tcW w:w="1276" w:type="dxa"/>
          </w:tcPr>
          <w:p w14:paraId="1300B1B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 primary outcome measure</w:t>
            </w:r>
          </w:p>
        </w:tc>
      </w:tr>
      <w:tr w:rsidR="00C72D10" w:rsidRPr="00311360" w14:paraId="5968A3ED" w14:textId="77777777" w:rsidTr="003F4F9E">
        <w:trPr>
          <w:jc w:val="center"/>
        </w:trPr>
        <w:tc>
          <w:tcPr>
            <w:tcW w:w="1129" w:type="dxa"/>
          </w:tcPr>
          <w:p w14:paraId="59FB63F3" w14:textId="2BC83512" w:rsidR="00C72D10" w:rsidRPr="00143F0E" w:rsidRDefault="00C72D10" w:rsidP="003F4F9E">
            <w:pPr>
              <w:ind w:firstLine="0"/>
              <w:jc w:val="left"/>
              <w:textAlignment w:val="auto"/>
              <w:rPr>
                <w:rFonts w:ascii="Aptos Display" w:eastAsiaTheme="minorHAnsi" w:hAnsi="Aptos Display" w:cstheme="minorBidi"/>
                <w:kern w:val="2"/>
                <w:sz w:val="18"/>
                <w:szCs w:val="18"/>
                <w:lang w:val="fr-FR"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val="fr-FR" w:eastAsia="en-US"/>
              </w:rPr>
              <w:instrText xml:space="preserve"> ADDIN ZOTERO_ITEM CSL_CITATION {"citationID":"UhOB1sl3","properties":{"formattedCitation":"(53)","plainCitation":"(53)","noteIndex":0},"citationItems":[{"id":1159,"uris":["http://zotero.org/users/7449321/items/5R7T56SF"],"itemData":{"id":1159,"type":"article-journal","abstract":"Summary\n            \n              Sickle cell disease can be complicated by cerebral white matter hyperintensities (\n              WMH\n              s), which are associated with diminished neurocognitive functioning. The influence of the total volume of\n              WMH\n              s on the degree of neurocognitive dysfunction has not yet been characterized. In our study of 38 patients (mean age 12·5 years) we demonstrated that a higher volume of\n              WMH\n              s was associated with lower full</w:instrText>
            </w:r>
            <w:r w:rsidR="00484A55">
              <w:rPr>
                <w:rFonts w:ascii="Cambria Math" w:eastAsiaTheme="minorHAnsi" w:hAnsi="Cambria Math" w:cs="Cambria Math"/>
                <w:kern w:val="2"/>
                <w:sz w:val="18"/>
                <w:szCs w:val="18"/>
                <w:lang w:val="fr-FR" w:eastAsia="en-US"/>
              </w:rPr>
              <w:instrText>‐</w:instrText>
            </w:r>
            <w:r w:rsidR="00484A55">
              <w:rPr>
                <w:rFonts w:ascii="Aptos Display" w:eastAsiaTheme="minorHAnsi" w:hAnsi="Aptos Display" w:cstheme="minorBidi"/>
                <w:kern w:val="2"/>
                <w:sz w:val="18"/>
                <w:szCs w:val="18"/>
                <w:lang w:val="fr-FR" w:eastAsia="en-US"/>
              </w:rPr>
              <w:instrText xml:space="preserve">scale intelligence quotient (\n              IQ\n              ), verbal\n              IQ\n              , Processing Speed Index and more fatigue. Our results suggest that volume of\n              WMH\n              s is an additional parameter to take into account when planning individual diagnostic and treatment options.","container-title":"British Journal of Haematology","DOI":"10.1111/bjh.13179","ISSN":"0007-1048, 1365-2141","issue":"4","journalAbbreviation":"Br J Haematol","language":"en","page":"553-556","source":"DOI.org (Crossref)","title":"Volume of white matter hyperintensities is an independent predictor of intelligence quotient and processing speed in children with sickle cell disease","volume":"168","author":[{"family":"Van Der Land","given":"Veronica"},{"family":"Hijmans","given":"Channa T."},{"family":"De Ruiter","given":"Marieke"},{"family":"Mutsaerts","given":"Henri J. M. M."},{"family":"Cnossen","given":"Marjon H."},{"family":"Engelen","given":"Marc"},{"family":"Majoie","given":"Charles B. L. M."},{"family":"Nederveen","given":"Aart J."},{"family":"Grootenhuis","given":"Martha A."},{"family":"Fijnvandraat","given":"Karin"}],"issued":{"date-parts":[["2015",2]]}}}],"schema":"https://github.com/citation-style-language/schema/raw/master/csl-citation.json"}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(53)</w:t>
            </w:r>
            <w:r w:rsidRPr="00311360">
              <w:rPr>
                <w:rFonts w:ascii="Aptos Display" w:eastAsiaTheme="minorHAnsi" w:hAnsi="Aptos Display" w:cstheme="minorBidi"/>
                <w:kern w:val="2"/>
                <w:sz w:val="18"/>
                <w:szCs w:val="18"/>
                <w:lang w:eastAsia="en-US"/>
              </w:rPr>
              <w:fldChar w:fldCharType="end"/>
            </w:r>
          </w:p>
        </w:tc>
        <w:tc>
          <w:tcPr>
            <w:tcW w:w="849" w:type="dxa"/>
          </w:tcPr>
          <w:p w14:paraId="1C3635F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Netherlands</w:t>
            </w:r>
          </w:p>
        </w:tc>
        <w:tc>
          <w:tcPr>
            <w:tcW w:w="991" w:type="dxa"/>
          </w:tcPr>
          <w:p w14:paraId="66C0687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E7592F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w:t>
            </w:r>
          </w:p>
          <w:p w14:paraId="7F94353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988" w:type="dxa"/>
          </w:tcPr>
          <w:p w14:paraId="73C997C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Range: 8–16/Mean age (SD): </w:t>
            </w:r>
            <w:r w:rsidRPr="00311360">
              <w:rPr>
                <w:rFonts w:ascii="Aptos Display" w:eastAsiaTheme="minorHAnsi" w:hAnsi="Aptos Display" w:cstheme="minorBidi"/>
                <w:kern w:val="2"/>
                <w:sz w:val="18"/>
                <w:szCs w:val="18"/>
                <w:lang w:eastAsia="en-US"/>
              </w:rPr>
              <w:lastRenderedPageBreak/>
              <w:t>12.5 (2.7)</w:t>
            </w:r>
          </w:p>
          <w:p w14:paraId="17D18F2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5D6EAD5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38</w:t>
            </w:r>
          </w:p>
        </w:tc>
        <w:tc>
          <w:tcPr>
            <w:tcW w:w="846" w:type="dxa"/>
          </w:tcPr>
          <w:p w14:paraId="79FD472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42</w:t>
            </w:r>
          </w:p>
        </w:tc>
        <w:tc>
          <w:tcPr>
            <w:tcW w:w="1134" w:type="dxa"/>
          </w:tcPr>
          <w:p w14:paraId="049EE3B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Homozygous SCD: 95%, Sβ0 </w:t>
            </w:r>
            <w:r w:rsidRPr="00311360">
              <w:rPr>
                <w:rFonts w:ascii="Aptos Display" w:eastAsiaTheme="minorHAnsi" w:hAnsi="Aptos Display" w:cstheme="minorBidi"/>
                <w:kern w:val="2"/>
                <w:sz w:val="18"/>
                <w:szCs w:val="18"/>
                <w:lang w:eastAsia="en-US"/>
              </w:rPr>
              <w:lastRenderedPageBreak/>
              <w:t>thalassaemia: 5%.</w:t>
            </w:r>
          </w:p>
        </w:tc>
        <w:tc>
          <w:tcPr>
            <w:tcW w:w="1559" w:type="dxa"/>
          </w:tcPr>
          <w:p w14:paraId="5E92501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Patients recruited through regular hospital visits or by </w:t>
            </w:r>
            <w:r w:rsidRPr="00311360">
              <w:rPr>
                <w:rFonts w:ascii="Aptos Display" w:eastAsiaTheme="minorHAnsi" w:hAnsi="Aptos Display" w:cstheme="minorBidi"/>
                <w:kern w:val="2"/>
                <w:sz w:val="18"/>
                <w:szCs w:val="18"/>
                <w:lang w:eastAsia="en-US"/>
              </w:rPr>
              <w:lastRenderedPageBreak/>
              <w:t>letter, with severe SCD, clinically stable during study visit (i.e. no infection or crisis for&gt;4 weeks prior to the visit).</w:t>
            </w:r>
          </w:p>
          <w:p w14:paraId="2E16C10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39F7A7A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PedsQL™ MFS</w:t>
            </w:r>
          </w:p>
        </w:tc>
        <w:tc>
          <w:tcPr>
            <w:tcW w:w="1559" w:type="dxa"/>
          </w:tcPr>
          <w:p w14:paraId="6CE8369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r w:rsidRPr="00311360">
              <w:rPr>
                <w:rFonts w:ascii="Aptos Display" w:eastAsiaTheme="minorHAnsi" w:hAnsi="Aptos Display" w:cstheme="minorBidi"/>
                <w:kern w:val="2"/>
                <w:sz w:val="18"/>
                <w:szCs w:val="18"/>
                <w:lang w:eastAsia="en-US"/>
              </w:rPr>
              <w:t>Volume of cerebral white matter hyperintensities.</w:t>
            </w:r>
          </w:p>
        </w:tc>
        <w:tc>
          <w:tcPr>
            <w:tcW w:w="1276" w:type="dxa"/>
          </w:tcPr>
          <w:p w14:paraId="238244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5790646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secondary outcome </w:t>
            </w:r>
            <w:r w:rsidRPr="00311360">
              <w:rPr>
                <w:rFonts w:ascii="Aptos Display" w:eastAsiaTheme="minorHAnsi" w:hAnsi="Aptos Display" w:cstheme="minorBidi"/>
                <w:kern w:val="2"/>
                <w:sz w:val="18"/>
                <w:szCs w:val="18"/>
                <w:lang w:eastAsia="en-US"/>
              </w:rPr>
              <w:lastRenderedPageBreak/>
              <w:t>measure</w:t>
            </w:r>
          </w:p>
        </w:tc>
      </w:tr>
      <w:tr w:rsidR="00C72D10" w:rsidRPr="00311360" w14:paraId="1E41FF40" w14:textId="77777777" w:rsidTr="003F4F9E">
        <w:trPr>
          <w:jc w:val="center"/>
        </w:trPr>
        <w:tc>
          <w:tcPr>
            <w:tcW w:w="1129" w:type="dxa"/>
          </w:tcPr>
          <w:p w14:paraId="1E659324" w14:textId="1220E848"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{"citationID":"ONLBIsOM","properties":{"formattedCitation":"(28)","plainCitation":"(28)","noteIndex":0},"citationItems":[{"id":1144,"uris":["http://zotero.org/users/7449321/items/2V7FNMMA"],"itemData":{"id":1144,"type":"article-journal","container-title":"Quality of Life Research","DOI":"10.1007/s11136-015-0953-3","ISSN":"0962-9343, 1573-2649","issue":"9","journalAbbreviation":"Qual Life Res","language":"en","page":"2195-2208","source":"DOI.org (Crossref)","title":"PROMIS® pediatric self-report scales distinguish subgroups of children within and across six common pediatric chronic health conditions","volume":"24","author":[{"family":"DeWalt","given":"Darren A."},{"family":"Gross","given":"Heather E."},{"family":"Gipson","given":"Debbie S."},{"family":"Selewski","given":"David T."},{"family":"DeWitt","given":"Esi Morgan"},{"family":"Dampier","given":"Carlton D."},{"family":"Hinds","given":"Pamela S."},{"family":"Huang","given":"I-Chan"},{"family":"Thissen","given":"David"},{"family":"Varni","given":"James W."}],"issued":{"date-parts":[["2015",9]]}}}],"schema":"https://github.com/citation-style-language/schema/raw/master/csl-citation.json"}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(28)</w:t>
            </w:r>
            <w:r w:rsidRPr="00311360">
              <w:rPr>
                <w:rFonts w:ascii="Aptos Display" w:eastAsiaTheme="minorHAnsi" w:hAnsi="Aptos Display" w:cstheme="minorBidi"/>
                <w:kern w:val="2"/>
                <w:sz w:val="18"/>
                <w:szCs w:val="18"/>
                <w:lang w:eastAsia="en-US"/>
              </w:rPr>
              <w:fldChar w:fldCharType="end"/>
            </w:r>
          </w:p>
        </w:tc>
        <w:tc>
          <w:tcPr>
            <w:tcW w:w="849" w:type="dxa"/>
          </w:tcPr>
          <w:p w14:paraId="39CA8FF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2B01BFF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D2D1F6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471B45C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8–17/Mean age (SD): 12.49 (2.82)</w:t>
            </w:r>
          </w:p>
        </w:tc>
        <w:tc>
          <w:tcPr>
            <w:tcW w:w="855" w:type="dxa"/>
          </w:tcPr>
          <w:p w14:paraId="7C50D18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235 (234 for PROMIS)</w:t>
            </w:r>
          </w:p>
        </w:tc>
        <w:tc>
          <w:tcPr>
            <w:tcW w:w="846" w:type="dxa"/>
          </w:tcPr>
          <w:p w14:paraId="43826FD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49.8</w:t>
            </w:r>
          </w:p>
        </w:tc>
        <w:tc>
          <w:tcPr>
            <w:tcW w:w="1134" w:type="dxa"/>
          </w:tcPr>
          <w:p w14:paraId="7E09A8F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76.5%, SC: 16.7%, Sβ+ thalassaemia: 4.7%, Sβ0 thalassaemia: 1.3%.</w:t>
            </w:r>
          </w:p>
        </w:tc>
        <w:tc>
          <w:tcPr>
            <w:tcW w:w="1559" w:type="dxa"/>
          </w:tcPr>
          <w:p w14:paraId="53A4742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recruited at clinic visits for routine care, HU monitoring, or chronic transfusions.</w:t>
            </w:r>
          </w:p>
        </w:tc>
        <w:tc>
          <w:tcPr>
            <w:tcW w:w="1134" w:type="dxa"/>
          </w:tcPr>
          <w:p w14:paraId="67090DC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Combination of PROMIS Pediatric Fatigue Full Bank (36 items) and PROMIS Pediatric Fatigue SF (10 items) </w:t>
            </w:r>
          </w:p>
          <w:p w14:paraId="61617C2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559" w:type="dxa"/>
          </w:tcPr>
          <w:p w14:paraId="73E5CD1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Pain/need for treatment of pain.</w:t>
            </w:r>
          </w:p>
        </w:tc>
        <w:tc>
          <w:tcPr>
            <w:tcW w:w="1276" w:type="dxa"/>
          </w:tcPr>
          <w:p w14:paraId="51FA107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0157BED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tc>
      </w:tr>
      <w:tr w:rsidR="00C72D10" w:rsidRPr="00311360" w14:paraId="04C6BDC4" w14:textId="77777777" w:rsidTr="003F4F9E">
        <w:trPr>
          <w:jc w:val="center"/>
        </w:trPr>
        <w:tc>
          <w:tcPr>
            <w:tcW w:w="1129" w:type="dxa"/>
          </w:tcPr>
          <w:p w14:paraId="64EA015B" w14:textId="129B453F"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{"citationID":"N7QQVCpF","properties":{"formattedCitation":"(54)","plainCitation":"(54)","noteIndex":0},"citationItems":[{"id":1276,"uris":["http://zotero.org/users/7449321/items/W2YJD68L"],"itemData":{"id":1276,"type":"article-journal","container-title":"Jundishapur Journal of Chronic Disease Care","DOI":"10.17795/jjcdc-29521","ISSN":"2322-4207","issue":"4","journalAbbreviation":"Jundishapur J Chronic Dis Care","source":"DOI.org (Crossref)","title":"The Effectiveness of Self Management Program on Pain, Fatigue, Depression, Anxiety, and Stress in Sickle Cell Patients: A Quasi-Experimental Study","title-short":"The Effectiveness of Self Management Program on Pain, Fatigue, Depression, Anxiety, and Stress in Sickle Cell Patients","URL":"https://brieflands.com/articles/jjcdc-21764.html","volume":"4","author":[{"family":"Ahmadi","given":"Mehrnaz"},{"family":"Shariati","given":"Abdolali"},{"family":"Poormansouri","given":"Saeed"},{"family":"Hazeghi","given":"Najva"}],"accessed":{"date-parts":[["2024",4,9]]},"issued":{"date-parts":[["2015",10,17]]}}}],"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(54)</w:t>
            </w:r>
            <w:r w:rsidRPr="00311360">
              <w:rPr>
                <w:rFonts w:ascii="Aptos Display" w:eastAsiaTheme="minorHAnsi" w:hAnsi="Aptos Display" w:cstheme="minorBidi"/>
                <w:kern w:val="2"/>
                <w:sz w:val="18"/>
                <w:szCs w:val="18"/>
                <w:lang w:eastAsia="en-US"/>
              </w:rPr>
              <w:fldChar w:fldCharType="end"/>
            </w:r>
          </w:p>
        </w:tc>
        <w:tc>
          <w:tcPr>
            <w:tcW w:w="849" w:type="dxa"/>
          </w:tcPr>
          <w:p w14:paraId="0042F3D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Iran</w:t>
            </w:r>
          </w:p>
        </w:tc>
        <w:tc>
          <w:tcPr>
            <w:tcW w:w="991" w:type="dxa"/>
          </w:tcPr>
          <w:p w14:paraId="2392216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Longitudinal</w:t>
            </w:r>
          </w:p>
        </w:tc>
        <w:tc>
          <w:tcPr>
            <w:tcW w:w="1000" w:type="dxa"/>
          </w:tcPr>
          <w:p w14:paraId="381753A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71F094C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Over 18, Mean age (SD): 25.98 (7.18)</w:t>
            </w:r>
          </w:p>
          <w:p w14:paraId="3588FDE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6381256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53 (final sample)</w:t>
            </w:r>
          </w:p>
        </w:tc>
        <w:tc>
          <w:tcPr>
            <w:tcW w:w="846" w:type="dxa"/>
          </w:tcPr>
          <w:p w14:paraId="6C852A9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67.9</w:t>
            </w:r>
          </w:p>
        </w:tc>
        <w:tc>
          <w:tcPr>
            <w:tcW w:w="1134" w:type="dxa"/>
          </w:tcPr>
          <w:p w14:paraId="4BBF25C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64.2%, Sickle beta thalassaemia: 35.8%.</w:t>
            </w:r>
          </w:p>
        </w:tc>
        <w:tc>
          <w:tcPr>
            <w:tcW w:w="1559" w:type="dxa"/>
          </w:tcPr>
          <w:p w14:paraId="7F198ED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recruited in their clinic to follow a self-management program targeting pain, fatigue, depression, anxiety and stress.</w:t>
            </w:r>
          </w:p>
          <w:p w14:paraId="128AEEB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76F46C9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FSS</w:t>
            </w:r>
          </w:p>
        </w:tc>
        <w:tc>
          <w:tcPr>
            <w:tcW w:w="1559" w:type="dxa"/>
          </w:tcPr>
          <w:p w14:paraId="19F6F11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Depression,</w:t>
            </w:r>
          </w:p>
          <w:p w14:paraId="318AD7B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Anxiety, </w:t>
            </w:r>
          </w:p>
          <w:p w14:paraId="3683613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Stress,</w:t>
            </w:r>
          </w:p>
          <w:p w14:paraId="6934BED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 (frequency and duration).</w:t>
            </w:r>
          </w:p>
        </w:tc>
        <w:tc>
          <w:tcPr>
            <w:tcW w:w="1276" w:type="dxa"/>
          </w:tcPr>
          <w:p w14:paraId="278910E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505916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3BA30DE8" w14:textId="77777777" w:rsidTr="003F4F9E">
        <w:trPr>
          <w:jc w:val="center"/>
        </w:trPr>
        <w:tc>
          <w:tcPr>
            <w:tcW w:w="1129" w:type="dxa"/>
          </w:tcPr>
          <w:p w14:paraId="576ACB6A" w14:textId="414622D4"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color w:val="FF0000"/>
                <w:kern w:val="2"/>
                <w:sz w:val="18"/>
                <w:szCs w:val="18"/>
                <w:lang w:eastAsia="en-US"/>
              </w:rPr>
              <w:fldChar w:fldCharType="begin"/>
            </w:r>
            <w:r w:rsidR="00484A55">
              <w:rPr>
                <w:rFonts w:ascii="Aptos Display" w:eastAsiaTheme="minorHAnsi" w:hAnsi="Aptos Display" w:cstheme="minorBidi"/>
                <w:color w:val="FF0000"/>
                <w:kern w:val="2"/>
                <w:sz w:val="18"/>
                <w:szCs w:val="18"/>
                <w:lang w:eastAsia="en-US"/>
              </w:rPr>
              <w:instrText xml:space="preserve"> ADDIN ZOTERO_ITEM CSL_CITATION {"citationID":"gQ13r2FR","properties":{"formattedCitation":"(12)","plainCitation":"(12)","noteIndex":0},"citationItems":[{"id":1156,"uris":["http://zotero.org/users/7449321/items/6QB4UYMU"],"itemData":{"id":1156,"type":"article-journal","abstract":"Children with sickle cell disease (SCD) report fatigue in addition to acute and chronic pain, which can decrease overall health-related quality of life (HRQL). The primary objective of the current study was to investigate the relationship between fatigue and HRQL. Given limited prior research, secondary objectives included investigation of associations between fatigue and functional outcomes, including child neurocognitive and social-emotional functioning. Children aged 8 to 16 years (N=32) and a caregiver completed measures of fatigue, HRQL, pain, and neurocognitive and social-emotional functioning. Controlling for pain and number of SCD-related hospitalizations, hierarchical linear regression models were used to determine the impact of child-reported and parent-reported fatigue on child HRQL. Correlational analyses were used to explore the relationship between fatigue and additional child outcomes. Data indicated that children with SCD experience clinically relevant levels of fatigue, which independently predicts lower HRQL. Fatigue was also associated with lower working memory, executive functioning, and higher levels of internalizing symptoms. Given its observed impact on HRQL and relationship to functional outcomes, fatigue may be an important target of clinical, home, or school interventions. This practice may attenuate the burden of fatigue in these patients, and in turn, help improve the quality of life of children living with SCD.","container-title":"Journal of Pediatric Hematology/Oncology","DOI":"10.1097/MPH.0000000000000431","ISSN":"1077-4114","issue":"8","language":"en-US","page":"584","source":"journals-lww-com.sid2nomade-2.grenet.fr","title":"Fatigue in Children With Sickle Cell Disease: Association With Neurocognitive and Social-Emotional Functioning and Quality of Life","title-short":"Fatigue in Children With Sickle Cell Disease","volume":"37","author":[{"family":"Anderson","given":"Lindsay M."},{"family":"Allen","given":"Taryn M."},{"family":"Thornburg","given":"Courtney D."},{"family":"Bonner","given":"Melanie J."}],"issued":{"date-parts":[["2015",11]]}}}],"schema":"https://github.com/citation-style-language/schema/raw/master/csl-citation.json"} </w:instrText>
            </w:r>
            <w:r w:rsidRPr="00311360">
              <w:rPr>
                <w:rFonts w:ascii="Aptos Display" w:eastAsiaTheme="minorHAnsi" w:hAnsi="Aptos Display" w:cstheme="minorBidi"/>
                <w:color w:val="FF0000"/>
                <w:kern w:val="2"/>
                <w:sz w:val="18"/>
                <w:szCs w:val="18"/>
                <w:lang w:eastAsia="en-US"/>
              </w:rPr>
              <w:fldChar w:fldCharType="separate"/>
            </w:r>
            <w:r w:rsidR="00484A55" w:rsidRPr="00484A55">
              <w:rPr>
                <w:rFonts w:ascii="Aptos Display" w:hAnsi="Aptos Display"/>
                <w:sz w:val="18"/>
              </w:rPr>
              <w:t>(12)</w:t>
            </w:r>
            <w:r w:rsidRPr="00311360">
              <w:rPr>
                <w:rFonts w:ascii="Aptos Display" w:eastAsiaTheme="minorHAnsi" w:hAnsi="Aptos Display" w:cstheme="minorBidi"/>
                <w:color w:val="FF0000"/>
                <w:kern w:val="2"/>
                <w:sz w:val="18"/>
                <w:szCs w:val="18"/>
                <w:lang w:eastAsia="en-US"/>
              </w:rPr>
              <w:fldChar w:fldCharType="end"/>
            </w:r>
          </w:p>
        </w:tc>
        <w:tc>
          <w:tcPr>
            <w:tcW w:w="849" w:type="dxa"/>
          </w:tcPr>
          <w:p w14:paraId="370A78B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27C63B8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AE6A09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w:t>
            </w:r>
          </w:p>
        </w:tc>
        <w:tc>
          <w:tcPr>
            <w:tcW w:w="988" w:type="dxa"/>
          </w:tcPr>
          <w:p w14:paraId="7CAB353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8–16/Mean age: 12.34</w:t>
            </w:r>
          </w:p>
        </w:tc>
        <w:tc>
          <w:tcPr>
            <w:tcW w:w="855" w:type="dxa"/>
          </w:tcPr>
          <w:p w14:paraId="4F265F8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32</w:t>
            </w:r>
          </w:p>
        </w:tc>
        <w:tc>
          <w:tcPr>
            <w:tcW w:w="846" w:type="dxa"/>
          </w:tcPr>
          <w:p w14:paraId="0E2B3C9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46.9</w:t>
            </w:r>
          </w:p>
        </w:tc>
        <w:tc>
          <w:tcPr>
            <w:tcW w:w="1134" w:type="dxa"/>
          </w:tcPr>
          <w:p w14:paraId="2BC1684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81.8%, SC: 12.1%,</w:t>
            </w:r>
          </w:p>
          <w:p w14:paraId="35CAD87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Sβ0: 3.0%</w:t>
            </w:r>
            <w:r w:rsidRPr="00311360">
              <w:rPr>
                <w:rFonts w:ascii="Aptos Display" w:eastAsiaTheme="minorHAnsi" w:hAnsi="Aptos Display" w:cstheme="minorBidi"/>
                <w:kern w:val="2"/>
                <w:sz w:val="18"/>
                <w:szCs w:val="18"/>
                <w:vertAlign w:val="superscript"/>
                <w:lang w:eastAsia="en-US"/>
              </w:rPr>
              <w:t xml:space="preserve"> a</w:t>
            </w:r>
            <w:r w:rsidRPr="00311360">
              <w:rPr>
                <w:rFonts w:ascii="Aptos Display" w:eastAsiaTheme="minorHAnsi" w:hAnsi="Aptos Display" w:cstheme="minorBidi"/>
                <w:kern w:val="2"/>
                <w:sz w:val="18"/>
                <w:szCs w:val="18"/>
                <w:lang w:eastAsia="en-US"/>
              </w:rPr>
              <w:t>.</w:t>
            </w:r>
          </w:p>
        </w:tc>
        <w:tc>
          <w:tcPr>
            <w:tcW w:w="1559" w:type="dxa"/>
          </w:tcPr>
          <w:p w14:paraId="41E02C0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and a primary caregiver recruited from a Paediatric Sickle Cell Clinic and approached during their regularly scheduled haematology clinic visits.</w:t>
            </w:r>
          </w:p>
        </w:tc>
        <w:tc>
          <w:tcPr>
            <w:tcW w:w="1134" w:type="dxa"/>
          </w:tcPr>
          <w:p w14:paraId="50068C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tc>
        <w:tc>
          <w:tcPr>
            <w:tcW w:w="1559" w:type="dxa"/>
          </w:tcPr>
          <w:p w14:paraId="2653353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HRQOL, </w:t>
            </w:r>
          </w:p>
          <w:p w14:paraId="612C412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Working memory, Executive functioning, Metacognition,</w:t>
            </w:r>
          </w:p>
          <w:p w14:paraId="79CDA49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Internalising symptoms, </w:t>
            </w:r>
          </w:p>
          <w:p w14:paraId="6130A3C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w:t>
            </w:r>
          </w:p>
          <w:p w14:paraId="2208D30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Hospitalisation,</w:t>
            </w:r>
          </w:p>
          <w:p w14:paraId="479582E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SCD diagnosis, Sex,</w:t>
            </w:r>
          </w:p>
          <w:p w14:paraId="4DCC727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outcomes.</w:t>
            </w:r>
          </w:p>
          <w:p w14:paraId="3750648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p>
        </w:tc>
        <w:tc>
          <w:tcPr>
            <w:tcW w:w="1276" w:type="dxa"/>
          </w:tcPr>
          <w:p w14:paraId="222D36F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 primary outcome measure</w:t>
            </w:r>
          </w:p>
        </w:tc>
      </w:tr>
      <w:tr w:rsidR="00C72D10" w:rsidRPr="00311360" w14:paraId="1B137229" w14:textId="77777777" w:rsidTr="003F4F9E">
        <w:trPr>
          <w:jc w:val="center"/>
        </w:trPr>
        <w:tc>
          <w:tcPr>
            <w:tcW w:w="1129" w:type="dxa"/>
          </w:tcPr>
          <w:p w14:paraId="79594522" w14:textId="3211718A"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{"citationID":"K3hQRPkC","properties":{"formattedCitation":"(55)","plainCitation":"(55)","noteIndex":0},"citationItems":[{"id":1137,"uris":["http://zotero.org/users/7449321/items/9QI9X9U3"],"itemData":{"id":1137,"type":"article-journal","abstract":"Background\n              \n                The Patient</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Reported Outcomes Measurement Information System\n                </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\n                (PROMIS\n                </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\n                ) created pediatric self</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report scales measuring a variety of health attributes (domains), but their responsiveness to changes in health status has not yet been determined in children with sickle cell disease (SCD).\n              \n            \n            \n              Procedure\n              A convenience cohort of symptomatic SCD children, aged 8–17 years, was asked to complete PROMIS pediatric scales at an initial clinic visit, at the end of a subsequent hospitalization for sickle pain, at a subsequent clinic visit or at home 2–3 weeks after hospitalization, and at a clinic visit 1–2 years after their initial assessment.\n            \n            \n              Results\n              A total of 121 participants (mean age 12.5 ± 3.1 years, 56.2% female) participated in the study. Pain interference and fatigue domain scores were elevated at baseline, increased substantially during hospitalization, and largely returned to baseline by the recovery period, whereas the depressive symptoms, anger, and anxiety domain scores displayed a less pronounced elevation during hospitalizations and a slower return to baseline levels. The two physical functioning scales showed a substantial decline in response to hospitalization, but only modest improvements at the recovery assessment, likely representing incomplete recovery.\n            \n            \n              Conclusions\n              Several PROMIS pediatric measures were responsive to changes in health status associated with occurrence and resolution of acute vaso</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occlusive pain requiring hospitalization. The substantial differences in these domains during SCD</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related pain exacerbations support their potential usefulness in clinical research or in clinical practice. Further studies to characterize variations in symptom patterns over time may provide insights into strategies for more effective management of sickle pain.","container-title":"Pediatric Blood &amp; Cancer","DOI":"10.1002/pbc.25931","ISSN":"1545-5009, 1545-5017","issue":"6","journalAbbreviation":"Pediatric Blood &amp; Cancer","language":"en","page":"1038-1045","source":"DOI.org (Crossref)","title":"Responsiveness of PROMIS &lt;sup&gt;®&lt;/sup&gt; Pediatric Measures to Hospitalizations for Sickle Pain and Subsequent Recovery","volume":"63","author":[{"family":"Dampier","given":"Carlton"},{"family":"Jaeger","given":"Byron"},{"family":"Gross","given":"Heather E."},{"family":"Barry","given":"Vaughn"},{"family":"Edwards","given":"Lloyd"},{"family":"Lui","given":"Yang"},{"family":"DeWalt","given":"Darren A."},{"family":"Reeve","given":"Bryce B."}],"issued":{"date-parts":[["2016",6]]}}}],"schema":"https://github.com/citation-style-language/schema/raw/master/csl-citation.json"}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(55)</w:t>
            </w:r>
            <w:r w:rsidRPr="00311360">
              <w:rPr>
                <w:rFonts w:ascii="Aptos Display" w:eastAsiaTheme="minorHAnsi" w:hAnsi="Aptos Display" w:cstheme="minorBidi"/>
                <w:kern w:val="2"/>
                <w:sz w:val="18"/>
                <w:szCs w:val="18"/>
                <w:lang w:eastAsia="en-US"/>
              </w:rPr>
              <w:fldChar w:fldCharType="end"/>
            </w:r>
          </w:p>
        </w:tc>
        <w:tc>
          <w:tcPr>
            <w:tcW w:w="849" w:type="dxa"/>
            <w:shd w:val="clear" w:color="auto" w:fill="auto"/>
          </w:tcPr>
          <w:p w14:paraId="70BE30F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r w:rsidRPr="00311360">
              <w:rPr>
                <w:rFonts w:ascii="Aptos Display" w:eastAsiaTheme="minorHAnsi" w:hAnsi="Aptos Display" w:cstheme="minorBidi"/>
                <w:kern w:val="2"/>
                <w:sz w:val="18"/>
                <w:szCs w:val="18"/>
                <w:lang w:eastAsia="en-US"/>
              </w:rPr>
              <w:t>USA</w:t>
            </w:r>
          </w:p>
        </w:tc>
        <w:tc>
          <w:tcPr>
            <w:tcW w:w="991" w:type="dxa"/>
          </w:tcPr>
          <w:p w14:paraId="4B69919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Longitudinal</w:t>
            </w:r>
          </w:p>
        </w:tc>
        <w:tc>
          <w:tcPr>
            <w:tcW w:w="1000" w:type="dxa"/>
          </w:tcPr>
          <w:p w14:paraId="2C03B65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2577B31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Range: 8–17/Mean </w:t>
            </w:r>
            <w:r w:rsidRPr="00311360">
              <w:rPr>
                <w:rFonts w:ascii="Aptos Display" w:eastAsiaTheme="minorHAnsi" w:hAnsi="Aptos Display" w:cstheme="minorBidi"/>
                <w:kern w:val="2"/>
                <w:sz w:val="18"/>
                <w:szCs w:val="18"/>
                <w:lang w:eastAsia="en-US"/>
              </w:rPr>
              <w:lastRenderedPageBreak/>
              <w:t>age (SD): 12.5 (3.1)</w:t>
            </w:r>
          </w:p>
        </w:tc>
        <w:tc>
          <w:tcPr>
            <w:tcW w:w="855" w:type="dxa"/>
          </w:tcPr>
          <w:p w14:paraId="7C1EB17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121</w:t>
            </w:r>
          </w:p>
        </w:tc>
        <w:tc>
          <w:tcPr>
            <w:tcW w:w="846" w:type="dxa"/>
          </w:tcPr>
          <w:p w14:paraId="408A942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56.2</w:t>
            </w:r>
          </w:p>
        </w:tc>
        <w:tc>
          <w:tcPr>
            <w:tcW w:w="1134" w:type="dxa"/>
          </w:tcPr>
          <w:p w14:paraId="1F62239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 thalassaemia</w:t>
            </w:r>
            <w:r w:rsidRPr="00311360">
              <w:rPr>
                <w:rFonts w:ascii="Aptos Display" w:eastAsiaTheme="minorHAnsi" w:hAnsi="Aptos Display" w:cstheme="minorBidi"/>
                <w:kern w:val="2"/>
                <w:sz w:val="18"/>
                <w:szCs w:val="18"/>
                <w:lang w:eastAsia="en-US"/>
              </w:rPr>
              <w:lastRenderedPageBreak/>
              <w:t>: 73.6%, SC or Sβ+ thalassaemia: 24.8%, Other: 1.6%.</w:t>
            </w:r>
          </w:p>
        </w:tc>
        <w:tc>
          <w:tcPr>
            <w:tcW w:w="1559" w:type="dxa"/>
          </w:tcPr>
          <w:p w14:paraId="12FC0AA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Patients with acute care visits for pain </w:t>
            </w:r>
            <w:r w:rsidRPr="00311360">
              <w:rPr>
                <w:rFonts w:ascii="Aptos Display" w:eastAsiaTheme="minorHAnsi" w:hAnsi="Aptos Display" w:cstheme="minorBidi"/>
                <w:kern w:val="2"/>
                <w:sz w:val="18"/>
                <w:szCs w:val="18"/>
                <w:lang w:eastAsia="en-US"/>
              </w:rPr>
              <w:lastRenderedPageBreak/>
              <w:t>in the previous year, who completed questionnaires at an initial routine healthcare encounter in the sickle cell clinic and/or at the end of hospitalisation for pain.</w:t>
            </w:r>
          </w:p>
          <w:p w14:paraId="6A31AEB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0F087A9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PROMIS Pediatric </w:t>
            </w:r>
            <w:r w:rsidRPr="00311360">
              <w:rPr>
                <w:rFonts w:ascii="Aptos Display" w:eastAsiaTheme="minorHAnsi" w:hAnsi="Aptos Display" w:cstheme="minorBidi"/>
                <w:kern w:val="2"/>
                <w:sz w:val="18"/>
                <w:szCs w:val="18"/>
                <w:lang w:eastAsia="en-US"/>
              </w:rPr>
              <w:lastRenderedPageBreak/>
              <w:t>Fatigue measure</w:t>
            </w:r>
          </w:p>
        </w:tc>
        <w:tc>
          <w:tcPr>
            <w:tcW w:w="1559" w:type="dxa"/>
          </w:tcPr>
          <w:p w14:paraId="53540A6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Pain hospitalisation.</w:t>
            </w:r>
          </w:p>
        </w:tc>
        <w:tc>
          <w:tcPr>
            <w:tcW w:w="1276" w:type="dxa"/>
          </w:tcPr>
          <w:p w14:paraId="5A212F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Instrument development, </w:t>
            </w:r>
            <w:r w:rsidRPr="00311360">
              <w:rPr>
                <w:rFonts w:ascii="Aptos Display" w:eastAsiaTheme="minorHAnsi" w:hAnsi="Aptos Display" w:cstheme="minorBidi"/>
                <w:kern w:val="2"/>
                <w:sz w:val="18"/>
                <w:szCs w:val="18"/>
                <w:lang w:eastAsia="en-US"/>
              </w:rPr>
              <w:lastRenderedPageBreak/>
              <w:t>test, validation or comparison</w:t>
            </w:r>
          </w:p>
          <w:p w14:paraId="4632848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tc>
      </w:tr>
      <w:tr w:rsidR="00C72D10" w:rsidRPr="00311360" w14:paraId="78B86324" w14:textId="77777777" w:rsidTr="003F4F9E">
        <w:trPr>
          <w:jc w:val="center"/>
        </w:trPr>
        <w:tc>
          <w:tcPr>
            <w:tcW w:w="1129" w:type="dxa"/>
          </w:tcPr>
          <w:p w14:paraId="540F4212" w14:textId="12409BA3" w:rsidR="00C72D10" w:rsidRPr="00311360" w:rsidRDefault="00C72D10" w:rsidP="003F4F9E">
            <w:pPr>
              <w:ind w:firstLine="0"/>
              <w:jc w:val="left"/>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{"citationID":"vS0OghvK","properties":{"formattedCitation":"(27)","plainCitation":"(27)","noteIndex":0},"citationItems":[{"id":1142,"uris":["http://zotero.org/users/7449321/items/24HHPREJ"],"itemData":{"id":1142,"type":"article-journal","abstract":"Background\n              The Patient Reported Outcomes Measurement Information System (PROMIS®) has developed pediatric self</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report scales measuring several unidimensional health attributes (domains) suitable for use in clinical research, but these measures have not yet been validated in sickle cell disease (SCD).\n            \n            \n              Procedure\n              A convenience sample of SCD children, aged 8–17 years, from two sickle cell programs was recruited at routine clinic visits, including some for hydroxyurea monitoring or monthly transfusions. Children completed PROMIS pediatric items using an online data collection platform, the PROMIS Assessment Center Web site.\n            \n            \n              Results\n              A total of 235 participants (mean age 12.5 ± 2.8 years, 49.8% female) participated in the study. Adolescents (ages 12–17 years) reported significantly higher pain interference and depressive symptoms, and worse lower extremity physical functioning domain scores compared to younger children (ages 8–11 years). Female participants reported significantly higher pain interference, fatigue, and depressive symptoms, and worse lower extremity physical functioning domain scores compared with their male counterparts. Participants with hip or joint problems that limited usual activities reported significantly higher pain, fatigue, and depressive symptoms scores, and worse upper/lower extremity physical functioning scores as did participants who had experienced sickle pain in the previous 7 days.\n            \n            \n              Conclusions\n              PROMIS pediatric measures are feasible in a research setting and identify expected differences in known group comparisons in a sample of SCD children. The large domain score differences between those with or without SCD</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related complications suggest the potential usefulness of these measures in clinical research, but further validation studies are needed, particularly in clinical practice settings.","container-title":"Pediatric Blood &amp; Cancer","DOI":"10.1002/pbc.25944","ISSN":"1545-5009, 1545-5017","issue":"6","journalAbbreviation":"Pediatric Blood &amp; Cancer","language":"en","page":"1031-1037","source":"DOI.org (Crossref)","title":"Initial Evaluation of the Pediatric PROMIS® Health Domains in Children and Adolescents With Sickle Cell Disease","volume":"63","author":[{"family":"Dampier","given":"Carlton"},{"family":"Barry","given":"Vaughn"},{"family":"Gross","given":"Heather E."},{"family":"Lui","given":"Yang"},{"family":"Thornburg","given":"Courtney D."},{"family":"DeWalt","given":"Darren A."},{"family":"Reeve","given":"Bryce B."}],"issued":{"date-parts":[["2016",6]]}}}],"schema":"https://github.com/citation-style-language/schema/raw/master/csl-citation.json"}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(27)</w:t>
            </w:r>
            <w:r w:rsidRPr="00311360">
              <w:rPr>
                <w:rFonts w:ascii="Aptos Display" w:eastAsiaTheme="minorHAnsi" w:hAnsi="Aptos Display" w:cstheme="minorBidi"/>
                <w:kern w:val="2"/>
                <w:sz w:val="18"/>
                <w:szCs w:val="18"/>
                <w:lang w:eastAsia="en-US"/>
              </w:rPr>
              <w:fldChar w:fldCharType="end"/>
            </w:r>
          </w:p>
        </w:tc>
        <w:tc>
          <w:tcPr>
            <w:tcW w:w="849" w:type="dxa"/>
          </w:tcPr>
          <w:p w14:paraId="686688B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409724E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016F7E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2D5A59C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8–17/Mean age (SD): 12.5 (2.8)</w:t>
            </w:r>
          </w:p>
        </w:tc>
        <w:tc>
          <w:tcPr>
            <w:tcW w:w="855" w:type="dxa"/>
          </w:tcPr>
          <w:p w14:paraId="7E331F5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235 (234 for PROMIS)</w:t>
            </w:r>
          </w:p>
        </w:tc>
        <w:tc>
          <w:tcPr>
            <w:tcW w:w="846" w:type="dxa"/>
          </w:tcPr>
          <w:p w14:paraId="0A45BE6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49.8</w:t>
            </w:r>
          </w:p>
        </w:tc>
        <w:tc>
          <w:tcPr>
            <w:tcW w:w="1134" w:type="dxa"/>
          </w:tcPr>
          <w:p w14:paraId="30A678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 thalassaemia: 77.5%, SC or Sβ+ thalassaemia: 21.3%, Other: 0.9%, Unknown: 0.4%.</w:t>
            </w:r>
          </w:p>
        </w:tc>
        <w:tc>
          <w:tcPr>
            <w:tcW w:w="1559" w:type="dxa"/>
          </w:tcPr>
          <w:p w14:paraId="7D73E10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recruited at the time of routine clinic visits, likely to be relatively asymptomatic or presenting to the clinic for monthly HU (patients followed by two large Sickle Cell programs and initially included in the DeWalt et al. 2015) study).</w:t>
            </w:r>
          </w:p>
          <w:p w14:paraId="618BA91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45E3E84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Combination of PROMIS Pediatric Fatigue Full Bank and PROMIS Pediatric Fatigue SF  </w:t>
            </w:r>
          </w:p>
          <w:p w14:paraId="535383E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p w14:paraId="45F7012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559" w:type="dxa"/>
          </w:tcPr>
          <w:p w14:paraId="2FF48B7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Gender/Age,</w:t>
            </w:r>
          </w:p>
          <w:p w14:paraId="53971A9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Pain, </w:t>
            </w:r>
          </w:p>
          <w:p w14:paraId="66E3DBD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Hospitalisation,</w:t>
            </w:r>
          </w:p>
          <w:p w14:paraId="4E75776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Emergency department visits for pain,</w:t>
            </w:r>
          </w:p>
          <w:p w14:paraId="0B73BD3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Home-managed pain episodes,</w:t>
            </w:r>
          </w:p>
          <w:p w14:paraId="722F6D7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outcomes,</w:t>
            </w:r>
          </w:p>
          <w:p w14:paraId="2086DFF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SCD genotypes.</w:t>
            </w:r>
          </w:p>
          <w:p w14:paraId="714BFFF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0BA8A29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5F735E3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p w14:paraId="67F3380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199586EE" w14:textId="77777777" w:rsidTr="003F4F9E">
        <w:trPr>
          <w:jc w:val="center"/>
        </w:trPr>
        <w:tc>
          <w:tcPr>
            <w:tcW w:w="1129" w:type="dxa"/>
          </w:tcPr>
          <w:p w14:paraId="54C041AE" w14:textId="481BADC6"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{"citationID":"bKuhKOGS","properties":{"formattedCitation":"(26)","plainCitation":"(26)","noteIndex":0},"citationItems":[{"id":1139,"uris":["http://zotero.org/users/7449321/items/HK5EFAKA"],"itemData":{"id":1139,"type":"article-journal","container-title":"Nursing Research","DOI":"10.1097/NNR.0000000000000162","ISSN":"0029-6562","issue":"4","language":"en","page":"279-289","source":"DOI.org (Crossref)","title":"Psychometric Evaluation of the Patient-Reported Outcomes Measurement Information System Fatigue-Short Form Across Diverse Populations","volume":"65","author":[{"family":"Ameringer","given":"Suzanne"},{"family":"Elswick","given":"R. K."},{"family":"Menzies","given":"Victoria"},{"family":"Robins","given":"Jo Lynne"},{"family":"Starkweather","given":"Angela"},{"family":"Walter","given":"Jeanne"},{"family":"Gentry","given":"Amanda Elswick"},{"family":"Jallo","given":"Nancy"}],"issued":{"date-parts":[["2016",7]]}}}],"schema":"https://github.com/citation-style-language/schema/raw/master/csl-citation.json"}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(26)</w:t>
            </w:r>
            <w:r w:rsidRPr="00311360">
              <w:rPr>
                <w:rFonts w:ascii="Aptos Display" w:eastAsiaTheme="minorHAnsi" w:hAnsi="Aptos Display" w:cstheme="minorBidi"/>
                <w:kern w:val="2"/>
                <w:sz w:val="18"/>
                <w:szCs w:val="18"/>
                <w:lang w:eastAsia="en-US"/>
              </w:rPr>
              <w:fldChar w:fldCharType="end"/>
            </w:r>
          </w:p>
        </w:tc>
        <w:tc>
          <w:tcPr>
            <w:tcW w:w="849" w:type="dxa"/>
          </w:tcPr>
          <w:p w14:paraId="6EA495B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3B11523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228C112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Adolescents/Young adults</w:t>
            </w:r>
          </w:p>
        </w:tc>
        <w:tc>
          <w:tcPr>
            <w:tcW w:w="988" w:type="dxa"/>
          </w:tcPr>
          <w:p w14:paraId="727BB53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15–30/Mean age (SD): 22.5 (4.1)</w:t>
            </w:r>
          </w:p>
        </w:tc>
        <w:tc>
          <w:tcPr>
            <w:tcW w:w="855" w:type="dxa"/>
          </w:tcPr>
          <w:p w14:paraId="0EE44FA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846" w:type="dxa"/>
          </w:tcPr>
          <w:p w14:paraId="67D0B4E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1134" w:type="dxa"/>
          </w:tcPr>
          <w:p w14:paraId="4CB9BA3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559" w:type="dxa"/>
          </w:tcPr>
          <w:p w14:paraId="0C29D32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with SCD included in the study by Ameringer et al. (2014).</w:t>
            </w:r>
          </w:p>
        </w:tc>
        <w:tc>
          <w:tcPr>
            <w:tcW w:w="1134" w:type="dxa"/>
          </w:tcPr>
          <w:p w14:paraId="3B976793" w14:textId="77777777" w:rsidR="00C72D10" w:rsidRPr="00143F0E" w:rsidRDefault="00C72D10" w:rsidP="003F4F9E">
            <w:pPr>
              <w:ind w:firstLine="0"/>
              <w:jc w:val="left"/>
              <w:textAlignment w:val="auto"/>
              <w:rPr>
                <w:rFonts w:ascii="Aptos Display" w:eastAsiaTheme="minorHAnsi" w:hAnsi="Aptos Display" w:cstheme="minorBidi"/>
                <w:kern w:val="2"/>
                <w:sz w:val="18"/>
                <w:szCs w:val="18"/>
                <w:lang w:val="fr-FR" w:eastAsia="en-US"/>
              </w:rPr>
            </w:pPr>
            <w:r w:rsidRPr="00143F0E">
              <w:rPr>
                <w:rFonts w:ascii="Aptos Display" w:eastAsiaTheme="minorHAnsi" w:hAnsi="Aptos Display" w:cstheme="minorBidi"/>
                <w:kern w:val="2"/>
                <w:sz w:val="18"/>
                <w:szCs w:val="18"/>
                <w:lang w:val="fr-FR" w:eastAsia="en-US"/>
              </w:rPr>
              <w:t>PROMIS Fatigue SF 7-items</w:t>
            </w:r>
            <w:r w:rsidRPr="00143F0E" w:rsidDel="00821C88">
              <w:rPr>
                <w:rFonts w:ascii="Aptos Display" w:eastAsiaTheme="minorHAnsi" w:hAnsi="Aptos Display" w:cstheme="minorBidi"/>
                <w:kern w:val="2"/>
                <w:sz w:val="18"/>
                <w:szCs w:val="18"/>
                <w:lang w:val="fr-FR" w:eastAsia="en-US"/>
              </w:rPr>
              <w:t xml:space="preserve"> </w:t>
            </w:r>
            <w:r w:rsidRPr="00143F0E">
              <w:rPr>
                <w:rFonts w:ascii="Aptos Display" w:eastAsiaTheme="minorHAnsi" w:hAnsi="Aptos Display" w:cstheme="minorBidi"/>
                <w:kern w:val="2"/>
                <w:sz w:val="18"/>
                <w:szCs w:val="18"/>
                <w:lang w:val="fr-FR" w:eastAsia="en-US"/>
              </w:rPr>
              <w:t>/ MFSI-SF/BFI</w:t>
            </w:r>
          </w:p>
        </w:tc>
        <w:tc>
          <w:tcPr>
            <w:tcW w:w="1559" w:type="dxa"/>
          </w:tcPr>
          <w:p w14:paraId="3A6D406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Stress,</w:t>
            </w:r>
          </w:p>
          <w:p w14:paraId="0C4C8CA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Depressive symptoms.</w:t>
            </w:r>
          </w:p>
        </w:tc>
        <w:tc>
          <w:tcPr>
            <w:tcW w:w="1276" w:type="dxa"/>
          </w:tcPr>
          <w:p w14:paraId="6FBBD4D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13E0A8C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(specific tool for fatigue)</w:t>
            </w:r>
          </w:p>
          <w:p w14:paraId="2CB7932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34CB8FC9" w14:textId="77777777" w:rsidTr="003F4F9E">
        <w:trPr>
          <w:jc w:val="center"/>
        </w:trPr>
        <w:tc>
          <w:tcPr>
            <w:tcW w:w="1129" w:type="dxa"/>
          </w:tcPr>
          <w:p w14:paraId="186615AE" w14:textId="430356CA" w:rsidR="00C72D10" w:rsidRPr="00311360" w:rsidRDefault="00C72D10" w:rsidP="003F4F9E">
            <w:pPr>
              <w:ind w:firstLine="0"/>
              <w:jc w:val="left"/>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{"citationID":"LItdKXFj","properties":{"formattedCitation":"(31)","plainCitation":"(31)","noteIndex":0},"citationItems":[{"id":1135,"uris":["http://zotero.org/users/7449321/items/H49EXM5N"],"itemData":{"id":1135,"type":"article-journal","abstract":"Abstract\n            \n              Background\n              Complications related to sickle cell disease (SCD) result in significant declines in health</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related quality of life (HRQOL). While hydroxyurea reduces SCD complications, adherence remains suboptimal. The study's objectives were to assess the feasibility of Internet</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based electronic assessment of HRQOL in SCD clinic and to examine the relationship between HRQOL and hydroxyurea adherence in adolescents and young adults (AYAs) with SCD.\n            \n            \n              Procedure\n              \n                A cross</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sectional survey was administered on tablets to 34 AYAs (12</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22 years old) in a SCD clinic from January through December 2015. Study measures included Patient Reported Outcomes Measurement Information System (PROMIS\n                ®\n                ) computerized adaptive testing and\n                ©\n                Modified Morisky Adherence Scale 8</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items (\n                </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\n                MMAS</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8).\n              \n            \n            \n              Results\n              \n                Participants (59% male, 91% Black) had median age of 13.5 (range 12</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18) years. Ninety</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one percent completed PROMIS</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 measures electronically in the clinic, meeting our feasibility criterion of ≥85% completion rate. ©MMAS</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8 scores positively correlated with fetal hemoglobin (HbF) (r\n                s\n                = 0.34,\n                P\n                = 0.04) and mean corpuscular volume (MCV) (r\n                s\n                = 0.42,\n                P\n                = 0.01) and inversely correlated with fatigue (r\n                s\n                = </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0.45,\n                P\n                = 0.01), depression (r\n                s\n                = –0.3,\n                P\n                = 0.08), and social isolation (r\n                s\n                = –0.78,\n                P\n                = 0.02). Low ©MMAS</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8 scores, indicating poor adherence, were associated with worse fatigue (\n                P\n                = 0.001) and trended toward significance for pain (\n                P\n                = 0.07) and depression (\n                P\n                = 0.06). Homozygous hemoglobin S disease patients with low HbF (&lt;16%) had worse social isolation (\n                P\n                = 0.04) and those with low MCV (&lt;102 fl) reported worse fatigue (\n                P\n                = 0.001), pain (\n                P\n                = 0.01), mobility (\n                P\n                = 0.01), and social isolation (\n                P\n                = 0.04).\n              \n            \n            \n              Conclusions\n              HRQOL assessment in the SCD clinic is feasible. SCD patients with low hydroxyurea adherence and/or low HbF or MCV levels had worse HRQOL scores, particularly fatigue. Future prospective studies examining the relationship between HRQOL and hydroxyurea adherence are warranted.","container-title":"Pediatric Blood &amp; Cancer","DOI":"10.1002/pbc.26369","ISSN":"1545-5009, 1545-5017","issue":"6","journalAbbreviation":"Pediatric Blood &amp; Cancer","language":"en","page":"e26369","source":"DOI.org (Crossref)","title":"Health</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related quality of life and adherence to hydroxyurea in adolescents and young adults with sickle cell disease","volume":"64","author":[{"family":"Badawy","given":"Sherif M."},{"family":"Thompson","given":"Alexis A."},{"family":"Lai","given":"Jin</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Shei"},{"family":"Penedo","given":"Frank J."},{"family":"Rychlik","given":"Karen"},{"family":"Liem","given":"Robert I."}],"issued":{"date-parts":[["2017",6]]}}}],"schema":"https://github.com/citation-style-language/schema/raw/master/csl-citation.json"}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(31)</w:t>
            </w:r>
            <w:r w:rsidRPr="00311360">
              <w:rPr>
                <w:rFonts w:ascii="Aptos Display" w:eastAsiaTheme="minorHAnsi" w:hAnsi="Aptos Display" w:cstheme="minorBidi"/>
                <w:kern w:val="2"/>
                <w:sz w:val="18"/>
                <w:szCs w:val="18"/>
                <w:lang w:eastAsia="en-US"/>
              </w:rPr>
              <w:fldChar w:fldCharType="end"/>
            </w:r>
          </w:p>
        </w:tc>
        <w:tc>
          <w:tcPr>
            <w:tcW w:w="849" w:type="dxa"/>
          </w:tcPr>
          <w:p w14:paraId="1F5A770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USA/Egypt</w:t>
            </w:r>
          </w:p>
        </w:tc>
        <w:tc>
          <w:tcPr>
            <w:tcW w:w="991" w:type="dxa"/>
          </w:tcPr>
          <w:p w14:paraId="6C95E21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4D0FB1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 / Young adults</w:t>
            </w:r>
          </w:p>
        </w:tc>
        <w:tc>
          <w:tcPr>
            <w:tcW w:w="988" w:type="dxa"/>
          </w:tcPr>
          <w:p w14:paraId="6E1EFBC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12–22/Median age (IQR): 13.5 (12–18)</w:t>
            </w:r>
          </w:p>
          <w:p w14:paraId="35ACFBC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48439AB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34 </w:t>
            </w:r>
          </w:p>
        </w:tc>
        <w:tc>
          <w:tcPr>
            <w:tcW w:w="846" w:type="dxa"/>
          </w:tcPr>
          <w:p w14:paraId="6492683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41</w:t>
            </w:r>
          </w:p>
        </w:tc>
        <w:tc>
          <w:tcPr>
            <w:tcW w:w="1134" w:type="dxa"/>
          </w:tcPr>
          <w:p w14:paraId="5FB5FA9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85.3%, SC: 8.8%, Sβ0:5.9%.</w:t>
            </w:r>
          </w:p>
        </w:tc>
        <w:tc>
          <w:tcPr>
            <w:tcW w:w="1559" w:type="dxa"/>
          </w:tcPr>
          <w:p w14:paraId="635BA4E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Patients treated with HU and who were recruited at their scheduled appointment at the comprehensive outpatient sickle </w:t>
            </w:r>
            <w:r w:rsidRPr="00311360">
              <w:rPr>
                <w:rFonts w:ascii="Aptos Display" w:eastAsiaTheme="minorHAnsi" w:hAnsi="Aptos Display" w:cstheme="minorBidi"/>
                <w:kern w:val="2"/>
                <w:sz w:val="18"/>
                <w:szCs w:val="18"/>
                <w:lang w:eastAsia="en-US"/>
              </w:rPr>
              <w:lastRenderedPageBreak/>
              <w:t>cell clinic or HU clinic.</w:t>
            </w:r>
          </w:p>
          <w:p w14:paraId="4DD1621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74AE07F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PROMIS CAT Fatigue Domain - Pediatric version and Adult version</w:t>
            </w:r>
          </w:p>
        </w:tc>
        <w:tc>
          <w:tcPr>
            <w:tcW w:w="1559" w:type="dxa"/>
          </w:tcPr>
          <w:p w14:paraId="537389B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Adherence to HU (MMAS-8),</w:t>
            </w:r>
          </w:p>
          <w:p w14:paraId="1277BB6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outcomes.</w:t>
            </w:r>
          </w:p>
          <w:p w14:paraId="165D2A8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0F36055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2676C0B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4AA80F23" w14:textId="77777777" w:rsidTr="003F4F9E">
        <w:trPr>
          <w:jc w:val="center"/>
        </w:trPr>
        <w:tc>
          <w:tcPr>
            <w:tcW w:w="1129" w:type="dxa"/>
          </w:tcPr>
          <w:p w14:paraId="0057D60F" w14:textId="50E4A397" w:rsidR="00C72D10" w:rsidRPr="00311360" w:rsidRDefault="00C72D10" w:rsidP="003F4F9E">
            <w:pPr>
              <w:ind w:firstLine="0"/>
              <w:jc w:val="left"/>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{"citationID":"Yk3OkL7A","properties":{"formattedCitation":"(32)","plainCitation":"(32)","noteIndex":0},"citationItems":[{"id":1149,"uris":["http://zotero.org/users/7449321/items/ESR5I2FW"],"itemData":{"id":1149,"type":"article-journal","abstract":"Abstract\n            \n              Objectives\n              \n                To identify barriers to hydroxyurea adherence (negative beliefs, access, and/or recall barriers), and their relationship to adherence rates and health</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related quality of life (\n                HRQOL\n                ) among adolescents and young adults (\n                AYA\n                ) with sickle cell disease (\n                SCD\n                ).\n              \n            \n            \n              Methods\n              \n                A cross</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sectional survey was administered to 34\n                AYA\n                s (12</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22</w:instrText>
            </w:r>
            <w:r w:rsidR="00484A55">
              <w:rPr>
                <w:rFonts w:ascii="Aptos Display" w:eastAsiaTheme="minorHAnsi" w:hAnsi="Aptos Display" w:cs="Aptos Display"/>
                <w:kern w:val="2"/>
                <w:sz w:val="18"/>
                <w:szCs w:val="18"/>
                <w:lang w:eastAsia="en-US"/>
              </w:rPr>
              <w:instrText> </w:instrText>
            </w:r>
            <w:r w:rsidR="00484A55">
              <w:rPr>
                <w:rFonts w:ascii="Aptos Display" w:eastAsiaTheme="minorHAnsi" w:hAnsi="Aptos Display" w:cstheme="minorBidi"/>
                <w:kern w:val="2"/>
                <w:sz w:val="18"/>
                <w:szCs w:val="18"/>
                <w:lang w:eastAsia="en-US"/>
              </w:rPr>
              <w:instrText>years old) in\n                SCD\n                clinics from January to December 2015. Study measures included Brief Medication Questionnaire, Modified Morisky Adherence Scale 8</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items, visual analog scale, and Patient Reported Outcomes Measurement Information System.\n              \n            \n            \n              Results\n              \n                Participants (59% male; 91% Black) had a median age of 13.5</w:instrText>
            </w:r>
            <w:r w:rsidR="00484A55">
              <w:rPr>
                <w:rFonts w:ascii="Aptos Display" w:eastAsiaTheme="minorHAnsi" w:hAnsi="Aptos Display" w:cs="Aptos Display"/>
                <w:kern w:val="2"/>
                <w:sz w:val="18"/>
                <w:szCs w:val="18"/>
                <w:lang w:eastAsia="en-US"/>
              </w:rPr>
              <w:instrText> </w:instrText>
            </w:r>
            <w:r w:rsidR="00484A55">
              <w:rPr>
                <w:rFonts w:ascii="Aptos Display" w:eastAsiaTheme="minorHAnsi" w:hAnsi="Aptos Display" w:cstheme="minorBidi"/>
                <w:kern w:val="2"/>
                <w:sz w:val="18"/>
                <w:szCs w:val="18"/>
                <w:lang w:eastAsia="en-US"/>
              </w:rPr>
              <w:instrText>years (\n                IQR\n                12</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18). Participants reported negative beliefs (32%), recall barriers (44%), and access barriers (32%). Participants with recall barriers reported worse pain (\n                P\n                =.02), fatigue (\n                P\n                =.05), and depression (\n                P\n                =.05). The number of adherence barriers inversely correlated with adherence level using ©\n                MMAS\n                </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8 (\n                r\n                s\n                =</w:instrText>
            </w:r>
            <w:r w:rsidR="00484A55">
              <w:rPr>
                <w:rFonts w:ascii="Aptos Display" w:eastAsiaTheme="minorHAnsi" w:hAnsi="Aptos Display" w:cs="Aptos Display"/>
                <w:kern w:val="2"/>
                <w:sz w:val="18"/>
                <w:szCs w:val="18"/>
                <w:lang w:eastAsia="en-US"/>
              </w:rPr>
              <w:instrText>−</w:instrText>
            </w:r>
            <w:r w:rsidR="00484A55">
              <w:rPr>
                <w:rFonts w:ascii="Aptos Display" w:eastAsiaTheme="minorHAnsi" w:hAnsi="Aptos Display" w:cstheme="minorBidi"/>
                <w:kern w:val="2"/>
                <w:sz w:val="18"/>
                <w:szCs w:val="18"/>
                <w:lang w:eastAsia="en-US"/>
              </w:rPr>
              <w:instrText>.38,\n                P\n                =.02) and\n                VAS\n                dose\n                (\n                r\n                s\n                =−.25,\n                P\n                =.14) as well as\n                MCV\n                (\n                r\n                s\n                =−.45,\n                P\n                =.01) and HbF% (\n                r\n                s\n                =−.36,\n                P\n                =.05), suggesting higher hydroxyurea adherence in patients with fewer barriers.\n              \n            \n            \n              Conclusions\n              \n                Patients with fewer barriers to hydroxyurea adherence were more likely to have higher adherence rates and better\n                HRQOL\n                scores. Routine assessment of hydroxyurea adherence and its related barriers could provide actionable information to improve adherence rates,\n                HRQOL\n                , and other clinical outcomes.","container-title":"European Journal of Haematology","DOI":"10.1111/ejh.12878","ISSN":"0902-4441, 1600-0609","issue":"6","journalAbbreviation":"European J of Haematology","language":"en","page":"608-614","source":"DOI.org (Crossref)","title":"Barriers to hydroxyurea adherence and health</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related quality of life in adolescents and young adults with sickle cell disease","volume":"98","author":[{"family":"Badawy","given":"Sherif M."},{"family":"Thompson","given":"Alexis A."},{"family":"Penedo","given":"Frank J."},{"family":"Lai","given":"Jin</w:instrText>
            </w:r>
            <w:r w:rsidR="00484A55">
              <w:rPr>
                <w:rFonts w:ascii="Cambria Math" w:eastAsiaTheme="minorHAnsi" w:hAnsi="Cambria Math" w:cs="Cambria Math"/>
                <w:kern w:val="2"/>
                <w:sz w:val="18"/>
                <w:szCs w:val="18"/>
                <w:lang w:eastAsia="en-US"/>
              </w:rPr>
              <w:instrText>‐</w:instrText>
            </w:r>
            <w:r w:rsidR="00484A55">
              <w:rPr>
                <w:rFonts w:ascii="Aptos Display" w:eastAsiaTheme="minorHAnsi" w:hAnsi="Aptos Display" w:cstheme="minorBidi"/>
                <w:kern w:val="2"/>
                <w:sz w:val="18"/>
                <w:szCs w:val="18"/>
                <w:lang w:eastAsia="en-US"/>
              </w:rPr>
              <w:instrText xml:space="preserve">Shei"},{"family":"Rychlik","given":"Karen"},{"family":"Liem","given":"Robert I."}],"issued":{"date-parts":[["2017",6]]}}}],"schema":"https://github.com/citation-style-language/schema/raw/master/csl-citation.json"}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(32)</w:t>
            </w:r>
            <w:r w:rsidRPr="00311360">
              <w:rPr>
                <w:rFonts w:ascii="Aptos Display" w:eastAsiaTheme="minorHAnsi" w:hAnsi="Aptos Display" w:cstheme="minorBidi"/>
                <w:kern w:val="2"/>
                <w:sz w:val="18"/>
                <w:szCs w:val="18"/>
                <w:lang w:eastAsia="en-US"/>
              </w:rPr>
              <w:fldChar w:fldCharType="end"/>
            </w:r>
          </w:p>
        </w:tc>
        <w:tc>
          <w:tcPr>
            <w:tcW w:w="849" w:type="dxa"/>
          </w:tcPr>
          <w:p w14:paraId="44BBAE3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USA/Egypt</w:t>
            </w:r>
          </w:p>
        </w:tc>
        <w:tc>
          <w:tcPr>
            <w:tcW w:w="991" w:type="dxa"/>
          </w:tcPr>
          <w:p w14:paraId="6F17CA6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EBD9A4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Adolescents/Young adults</w:t>
            </w:r>
          </w:p>
        </w:tc>
        <w:tc>
          <w:tcPr>
            <w:tcW w:w="988" w:type="dxa"/>
          </w:tcPr>
          <w:p w14:paraId="4AD4782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12–22/Median age (IQR): 13.5 (12–18)</w:t>
            </w:r>
          </w:p>
          <w:p w14:paraId="54131CD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7C46D47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34 </w:t>
            </w:r>
          </w:p>
          <w:p w14:paraId="44521A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46" w:type="dxa"/>
          </w:tcPr>
          <w:p w14:paraId="1CD9D84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41</w:t>
            </w:r>
          </w:p>
        </w:tc>
        <w:tc>
          <w:tcPr>
            <w:tcW w:w="1134" w:type="dxa"/>
          </w:tcPr>
          <w:p w14:paraId="6C4BC88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85.3%, SC: 8.8%, Sβ0:5.9%.</w:t>
            </w:r>
          </w:p>
        </w:tc>
        <w:tc>
          <w:tcPr>
            <w:tcW w:w="1559" w:type="dxa"/>
          </w:tcPr>
          <w:p w14:paraId="3259CD7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treated with HU and who were recruited at their scheduled appointment at the comprehensive outpatient sickle cell clinic or HU clinic.</w:t>
            </w:r>
          </w:p>
          <w:p w14:paraId="3A2C655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5439626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CAT Fatigue Domain - Pediatric version and Adult version</w:t>
            </w:r>
          </w:p>
        </w:tc>
        <w:tc>
          <w:tcPr>
            <w:tcW w:w="1559" w:type="dxa"/>
          </w:tcPr>
          <w:p w14:paraId="3881A79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Barriers to HU adherence (recall barriers, negative beliefs, access).</w:t>
            </w:r>
          </w:p>
        </w:tc>
        <w:tc>
          <w:tcPr>
            <w:tcW w:w="1276" w:type="dxa"/>
          </w:tcPr>
          <w:p w14:paraId="610659D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4BB06F3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63EA43EA" w14:textId="77777777" w:rsidTr="003F4F9E">
        <w:trPr>
          <w:jc w:val="center"/>
        </w:trPr>
        <w:tc>
          <w:tcPr>
            <w:tcW w:w="1129" w:type="dxa"/>
          </w:tcPr>
          <w:p w14:paraId="2C59905A" w14:textId="2872FCA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{"citationID":"9U5K3EcC","properties":{"formattedCitation":"(56)","plainCitation":"(56)","noteIndex":0},"citationItems":[{"id":1129,"uris":["http://zotero.org/users/7449321/items/A3X8GSZ2"],"itemData":{"id":1129,"type":"article-journal","abstract":"Detecting change in health status over time and ascertaining meaningful changes are critical elements when using health-related quality of life (HRQL) instruments to measure patient-centered outcomes. The PedsQL™ Sickle Cell Disease module, a disease specific HRQL instrument, has previously been shown to be valid and reliable. Our objectives were to determine the longitudinal validity of the PedsQL™ Sickle Cell Disease module and the change in HRQL that is meaningful to patients.","container-title":"Health and Quality of Life Outcomes","DOI":"10.1186/s12955-017-0700-2","ISSN":"1477-7525","issue":"1","journalAbbreviation":"Health and Quality of Life Outcomes","page":"124","source":"BioMed Central","title":"Determining the longitudinal validity and meaningful differences in HRQL of the PedsQL™ Sickle Cell Disease Module","volume":"15","author":[{"family":"Panepinto","given":"Julie A."},{"family":"Paul Scott","given":"J."},{"family":"Badaki-Makun","given":"Oluwakemi"},{"family":"Darbari","given":"Deepika S."},{"family":"Chumpitazi","given":"Corrie E."},{"family":"Airewele","given":"Gladstone E."},{"family":"Ellison","given":"Angela M."},{"family":"Smith-Whitley","given":"Kim"},{"family":"Mahajan","given":"Prashant"},{"family":"Sarnaik","given":"Sharada A."},{"family":"Charles Casper","given":"T."},{"family":"Cook","given":"Larry J."},{"family":"Leonard","given":"Julie"},{"family":"Hulbert","given":"Monica L."},{"family":"Powell","given":"Elizabeth C."},{"family":"Liem","given":"Robert I."},{"family":"Hickey","given":"Robert"},{"family":"Krishnamurti","given":"Lakshmanan"},{"family":"Hillery","given":"Cheryl A."},{"family":"Brousseau","given":"David C."},{"literal":"for the Pediatric Emergency Care Applied Research Network (PECARN)"}],"issued":{"date-parts":[["2017",6,12]]}}}],"schema":"https://github.com/citation-style-language/schema/raw/master/csl-citation.json"}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(56)</w:t>
            </w:r>
            <w:r w:rsidRPr="00311360">
              <w:rPr>
                <w:rFonts w:ascii="Aptos Display" w:eastAsiaTheme="minorHAnsi" w:hAnsi="Aptos Display" w:cstheme="minorBidi"/>
                <w:kern w:val="2"/>
                <w:sz w:val="18"/>
                <w:szCs w:val="18"/>
                <w:lang w:eastAsia="en-US"/>
              </w:rPr>
              <w:fldChar w:fldCharType="end"/>
            </w:r>
          </w:p>
        </w:tc>
        <w:tc>
          <w:tcPr>
            <w:tcW w:w="849" w:type="dxa"/>
          </w:tcPr>
          <w:p w14:paraId="03038FF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3AB76E5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Longitudinal </w:t>
            </w:r>
          </w:p>
        </w:tc>
        <w:tc>
          <w:tcPr>
            <w:tcW w:w="1000" w:type="dxa"/>
          </w:tcPr>
          <w:p w14:paraId="2A11F25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0D8B4E4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4–21/Mean age (SD): 13.5 (4.5)</w:t>
            </w:r>
          </w:p>
          <w:p w14:paraId="3445A1C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6E5C0F6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187</w:t>
            </w:r>
          </w:p>
        </w:tc>
        <w:tc>
          <w:tcPr>
            <w:tcW w:w="846" w:type="dxa"/>
          </w:tcPr>
          <w:p w14:paraId="5CC8DB6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50</w:t>
            </w:r>
          </w:p>
        </w:tc>
        <w:tc>
          <w:tcPr>
            <w:tcW w:w="1134" w:type="dxa"/>
          </w:tcPr>
          <w:p w14:paraId="2095122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SS: 93%, </w:t>
            </w:r>
          </w:p>
          <w:p w14:paraId="11E6039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Sβ0 thalassaemia: 7%.</w:t>
            </w:r>
          </w:p>
        </w:tc>
        <w:tc>
          <w:tcPr>
            <w:tcW w:w="1559" w:type="dxa"/>
          </w:tcPr>
          <w:p w14:paraId="40246BC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who presented to the emergency department (ED) with a painful vaso-occlusive crisis.</w:t>
            </w:r>
          </w:p>
          <w:p w14:paraId="5047ACC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68BC0EF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tc>
        <w:tc>
          <w:tcPr>
            <w:tcW w:w="1559" w:type="dxa"/>
          </w:tcPr>
          <w:p w14:paraId="11969D7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w:t>
            </w:r>
          </w:p>
        </w:tc>
        <w:tc>
          <w:tcPr>
            <w:tcW w:w="1276" w:type="dxa"/>
          </w:tcPr>
          <w:p w14:paraId="5A242E4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3911502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p w14:paraId="683C147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46A72DCE" w14:textId="77777777" w:rsidTr="003F4F9E">
        <w:trPr>
          <w:jc w:val="center"/>
        </w:trPr>
        <w:tc>
          <w:tcPr>
            <w:tcW w:w="1129" w:type="dxa"/>
          </w:tcPr>
          <w:p w14:paraId="2D3C5FAB" w14:textId="1543CC77"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color w:val="FF0000"/>
                <w:kern w:val="2"/>
                <w:sz w:val="18"/>
                <w:szCs w:val="18"/>
                <w:lang w:eastAsia="en-US"/>
              </w:rPr>
              <w:fldChar w:fldCharType="begin"/>
            </w:r>
            <w:r w:rsidR="00484A55">
              <w:rPr>
                <w:rFonts w:ascii="Aptos Display" w:eastAsiaTheme="minorHAnsi" w:hAnsi="Aptos Display" w:cstheme="minorBidi"/>
                <w:color w:val="FF0000"/>
                <w:kern w:val="2"/>
                <w:sz w:val="18"/>
                <w:szCs w:val="18"/>
                <w:lang w:eastAsia="en-US"/>
              </w:rPr>
              <w:instrText xml:space="preserve"> ADDIN ZOTERO_ITEM CSL_CITATION {"citationID":"yzub19EX","properties":{"formattedCitation":"(57)","plainCitation":"(57)","noteIndex":0},"citationItems":[{"id":1270,"uris":["http://zotero.org/users/7449321/items/EESV2XPA"],"itemData":{"id":1270,"type":"article-journal","abstract":"Background: Children with sickle cell disease (SCD) experience neurodevelopmental decline over time. They also tend to have short duration, poor quality sleep and elevated fatigue levels. This study aimed to describe sleep and fatigue in children and adolescents with SCD and their association with neurodevelopmental measures. \nMethods: Participants included 19 children and adolescents with SCD, aged 7-18 years, recruited from a tertiary care SCD clinic. The majority were referred for neurodevelopmental testing due to academic or behavioral difficulties. Parents completed the Behavior Rating Inventory of Executive Function (BRIEF). Participants completed the Wide Range Achievement Test (WRAT) and wore an actigraph for one week. Both completed the PedsQL Multidimensional Fatigue scale.\nResults: Short duration or poor quality sleep were identified in every participant. Fatigue was common. Eighteen participants had at least one abnormal results of the six neurodevelopmental subscales administered. No sleep measure was associated with any neurodevelopmental measure. Greater parent-proxy reported cognitive fatigue was associated with lower WRAT reading (p=0.041), spelling (p=0.002) and math (p=0.010) scores, and with poorer scores on two BRIEF subscales. Greater reported parent-proxy general fatigue was associated with elevated scores on all three BRIEF subscales.\nConclusion: Fatigue more importantly than sleep appears to be related to deficits in academic skills and executive function in a clinical sample at risk for neurodevelopmental problems. Larger studies are needed to better define the effects of sleep and fatigue on specific aspects of cognition and behavior in children and adolescents with SCD across early development.","container-title":"Austin Journal of Pediatrics","journalAbbreviation":"Austin Journal of Pediatrics","page":"1056-1062","source":"ResearchGate","title":"Sleep, fatigue and neurodevelopmental outcomes in pediatric sickle cell disease","volume":"4","author":[{"family":"Rogers","given":"Valerie"},{"family":"Lance","given":"Eboni"}],"issued":{"date-parts":[["2017",6,20]]}}}],"schema":"https://github.com/citation-style-language/schema/raw/master/csl-citation.json"} </w:instrText>
            </w:r>
            <w:r w:rsidRPr="00311360">
              <w:rPr>
                <w:rFonts w:ascii="Aptos Display" w:eastAsiaTheme="minorHAnsi" w:hAnsi="Aptos Display" w:cstheme="minorBidi"/>
                <w:color w:val="FF0000"/>
                <w:kern w:val="2"/>
                <w:sz w:val="18"/>
                <w:szCs w:val="18"/>
                <w:lang w:eastAsia="en-US"/>
              </w:rPr>
              <w:fldChar w:fldCharType="separate"/>
            </w:r>
            <w:r w:rsidR="00484A55" w:rsidRPr="00484A55">
              <w:rPr>
                <w:rFonts w:ascii="Aptos Display" w:hAnsi="Aptos Display"/>
                <w:sz w:val="18"/>
              </w:rPr>
              <w:t>(57)</w:t>
            </w:r>
            <w:r w:rsidRPr="00311360">
              <w:rPr>
                <w:rFonts w:ascii="Aptos Display" w:eastAsiaTheme="minorHAnsi" w:hAnsi="Aptos Display" w:cstheme="minorBidi"/>
                <w:color w:val="FF0000"/>
                <w:kern w:val="2"/>
                <w:sz w:val="18"/>
                <w:szCs w:val="18"/>
                <w:lang w:eastAsia="en-US"/>
              </w:rPr>
              <w:fldChar w:fldCharType="end"/>
            </w:r>
          </w:p>
          <w:p w14:paraId="002F000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49" w:type="dxa"/>
          </w:tcPr>
          <w:p w14:paraId="262115B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5E4BBD8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1AB3431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6A2232D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7–18, Mean age (SD): 12.1 (3.4)</w:t>
            </w:r>
          </w:p>
        </w:tc>
        <w:tc>
          <w:tcPr>
            <w:tcW w:w="855" w:type="dxa"/>
          </w:tcPr>
          <w:p w14:paraId="3D04EEE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19 (18 for PedsQL™ MFS)</w:t>
            </w:r>
          </w:p>
        </w:tc>
        <w:tc>
          <w:tcPr>
            <w:tcW w:w="846" w:type="dxa"/>
          </w:tcPr>
          <w:p w14:paraId="014E898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63.2</w:t>
            </w:r>
          </w:p>
        </w:tc>
        <w:tc>
          <w:tcPr>
            <w:tcW w:w="1134" w:type="dxa"/>
          </w:tcPr>
          <w:p w14:paraId="3CFF104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52.6%, SC: 21.1%, Sβ thalassaemia: 26.4%.</w:t>
            </w:r>
          </w:p>
        </w:tc>
        <w:tc>
          <w:tcPr>
            <w:tcW w:w="1559" w:type="dxa"/>
          </w:tcPr>
          <w:p w14:paraId="202066E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Participants were recruited from a tertiary care SCD clinic; referred to neurodevelopmental testing because of academic or behavioural difficulties, and all had undergone a neurodevelopmental evaluation.</w:t>
            </w:r>
          </w:p>
          <w:p w14:paraId="1617D16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2AC94C7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tc>
        <w:tc>
          <w:tcPr>
            <w:tcW w:w="1559" w:type="dxa"/>
          </w:tcPr>
          <w:p w14:paraId="07862D5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Sleep measures and neurodevelopmental outcomes.</w:t>
            </w:r>
          </w:p>
        </w:tc>
        <w:tc>
          <w:tcPr>
            <w:tcW w:w="1276" w:type="dxa"/>
          </w:tcPr>
          <w:p w14:paraId="4187505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7F2196E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primary outcome measure</w:t>
            </w:r>
          </w:p>
        </w:tc>
      </w:tr>
      <w:tr w:rsidR="00C72D10" w:rsidRPr="00311360" w14:paraId="5461418A" w14:textId="77777777" w:rsidTr="003F4F9E">
        <w:trPr>
          <w:jc w:val="center"/>
        </w:trPr>
        <w:tc>
          <w:tcPr>
            <w:tcW w:w="1129" w:type="dxa"/>
          </w:tcPr>
          <w:p w14:paraId="1695047E" w14:textId="2B0725CC"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{"citationID":"61cSrOjj","properties":{"formattedCitation":"(58)","plainCitation":"(58)","noteIndex":0},"citationItems":[{"id":1134,"uris":["http://zotero.org/users/7449321/items/HZGWB4PM"],"itemData":{"id":1134,"type":"article-journal","abstract":"Background: Sickle Cell Disease (SCD) causes profound suffering and decrements in daily functioning. Demand is growing for valid and reliable measures to systematically document these effects, particularly in adults. The Adult Sickle Cell Quality of Life Measurement System, ASCQ-Me℠, was developed for this purpose. ASCQ-Me℠ is one of four measurement systems housed within the Person–Centered Assessment Resource (PCAR), funded by the National Institutes of Health, to support clinical research. To help users select the best of these measures for adults with SCD, we evaluated and compared two PCAR systems: one designed to be “universally applicable” (the Patient-Reported Outcome Measurement Information System, PROMIS®) and one designed specifically for SCD (ASCQ-Me℠).\nMethods: Respondents to PROMIS and ASCQ-Me questions were 490 adults with SCD from seven geographicallydisbursed clinics within the US. Data were collected for six ASCQ-Me measures (Emotional Impact, Sleep Impact, Social Impact, Stiffness Impact, Pain Impact, SCD Pain Episode Frequency and Severity) and ten PROMIS measures (Pain Impact, Pain Behavior, Physical Functioning, Anxiety, Depression, Fatigue, Satisfaction with Discretionary Social Activities, Satisfaction with Social Roles, Sleep Disturbance, and Sleep-Related Impairment). Statistical analyses, including analysis of variance and multiple linear regression, were conducted to determine the sensitivity of measures to SCD severity. SCD severity was assessed via a checklist of associated treatments and conditions.\nResults: For those with the most severe SCD, PROMIS scores showed worse health compared to the general population for nine of ten health domains: the magnitude of the difference ranged 0.5 to 1.1 standard deviation units. The PROMIS domains most severely affected were Physical Functioning and Pain (Impact and Behavior). Significant differences by tertile of the SCD-MHC were shown for most PROMIS short forms and all ASCQ-Me short and fixed forms. In most models, ASCQ-Me measures explained statistically significant unique variance in SCD-MHC scores complementary to that explained by corresponding PROMIS measures.\nConclusions: Study results supported the validity of both PROMIS and ASCQ-Me measures for use in adults with SCD. Compared to comparable PROMIS scores, most ASCQ-Me scores were better predictors of SCD disease severity, as measured by a medical history checklist. The clinical implications of these results require further investigation.","container-title":"Health and Quality of Life Outcomes","DOI":"10.1186/s12955-017-0661-5","ISSN":"1477-7525","issue":"1","journalAbbreviation":"Health Qual Life Outcomes","language":"en","page":"117","source":"DOI.org (Crossref)","title":"Sensitivity of alternative measures of functioning and wellbeing for adults with sickle cell disease: comparison of PROMIS® to ASCQ-Me℠","title-short":"Sensitivity of alternative measures of functioning and wellbeing for adults with sickle cell disease","volume":"15","author":[{"family":"Keller","given":"San"},{"family":"Yang","given":"Manshu"},{"family":"Treadwell","given":"Marsha J."},{"family":"Hassell","given":"Kathryn L."}],"issued":{"date-parts":[["2017",12]]}}}],"schema":"https://github.com/citation-style-language/schema/raw/master/csl-citation.json"}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(58)</w:t>
            </w:r>
            <w:r w:rsidRPr="00311360">
              <w:rPr>
                <w:rFonts w:ascii="Aptos Display" w:eastAsiaTheme="minorHAnsi" w:hAnsi="Aptos Display" w:cstheme="minorBidi"/>
                <w:kern w:val="2"/>
                <w:sz w:val="18"/>
                <w:szCs w:val="18"/>
                <w:lang w:eastAsia="en-US"/>
              </w:rPr>
              <w:fldChar w:fldCharType="end"/>
            </w:r>
          </w:p>
        </w:tc>
        <w:tc>
          <w:tcPr>
            <w:tcW w:w="849" w:type="dxa"/>
          </w:tcPr>
          <w:p w14:paraId="6DDA024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5F9659F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2605985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3FB326D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18–55 and over</w:t>
            </w:r>
          </w:p>
        </w:tc>
        <w:tc>
          <w:tcPr>
            <w:tcW w:w="855" w:type="dxa"/>
          </w:tcPr>
          <w:p w14:paraId="56E6C88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490</w:t>
            </w:r>
          </w:p>
        </w:tc>
        <w:tc>
          <w:tcPr>
            <w:tcW w:w="846" w:type="dxa"/>
          </w:tcPr>
          <w:p w14:paraId="6EA7872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64</w:t>
            </w:r>
          </w:p>
        </w:tc>
        <w:tc>
          <w:tcPr>
            <w:tcW w:w="1134" w:type="dxa"/>
          </w:tcPr>
          <w:p w14:paraId="2BF8F88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SS: 65%, SC: 20%, Sβ+ or Sβ0 thalassaemia: 10%, Type unspecified: </w:t>
            </w:r>
            <w:r w:rsidRPr="00311360">
              <w:rPr>
                <w:rFonts w:ascii="Aptos Display" w:eastAsiaTheme="minorHAnsi" w:hAnsi="Aptos Display" w:cstheme="minorBidi"/>
                <w:kern w:val="2"/>
                <w:sz w:val="18"/>
                <w:szCs w:val="18"/>
                <w:lang w:eastAsia="en-US"/>
              </w:rPr>
              <w:lastRenderedPageBreak/>
              <w:t>5%.</w:t>
            </w:r>
          </w:p>
        </w:tc>
        <w:tc>
          <w:tcPr>
            <w:tcW w:w="1559" w:type="dxa"/>
          </w:tcPr>
          <w:p w14:paraId="096220C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Patients seen in US outpatient clinics, in stable condition and/or under treatment who differed in their </w:t>
            </w:r>
            <w:r w:rsidRPr="00311360">
              <w:rPr>
                <w:rFonts w:ascii="Aptos Display" w:eastAsiaTheme="minorHAnsi" w:hAnsi="Aptos Display" w:cstheme="minorBidi"/>
                <w:kern w:val="2"/>
                <w:sz w:val="18"/>
                <w:szCs w:val="18"/>
                <w:lang w:eastAsia="en-US"/>
              </w:rPr>
              <w:lastRenderedPageBreak/>
              <w:t>SCD severity.</w:t>
            </w:r>
          </w:p>
        </w:tc>
        <w:tc>
          <w:tcPr>
            <w:tcW w:w="1134" w:type="dxa"/>
          </w:tcPr>
          <w:p w14:paraId="1490BA8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PROMIS Fatigue SF 7-items</w:t>
            </w:r>
          </w:p>
        </w:tc>
        <w:tc>
          <w:tcPr>
            <w:tcW w:w="1559" w:type="dxa"/>
            <w:shd w:val="clear" w:color="auto" w:fill="auto"/>
          </w:tcPr>
          <w:p w14:paraId="0F4FA78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r w:rsidRPr="00311360">
              <w:rPr>
                <w:rFonts w:ascii="Aptos Display" w:eastAsiaTheme="minorHAnsi" w:hAnsi="Aptos Display" w:cstheme="minorBidi"/>
                <w:kern w:val="2"/>
                <w:sz w:val="18"/>
                <w:szCs w:val="18"/>
                <w:lang w:eastAsia="en-US"/>
              </w:rPr>
              <w:t>SCD severity</w:t>
            </w:r>
          </w:p>
        </w:tc>
        <w:tc>
          <w:tcPr>
            <w:tcW w:w="1276" w:type="dxa"/>
          </w:tcPr>
          <w:p w14:paraId="7DDAB68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4A98C2F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(generic tool for assessing </w:t>
            </w:r>
            <w:r w:rsidRPr="00311360">
              <w:rPr>
                <w:rFonts w:ascii="Aptos Display" w:eastAsiaTheme="minorHAnsi" w:hAnsi="Aptos Display" w:cstheme="minorBidi"/>
                <w:kern w:val="2"/>
                <w:sz w:val="18"/>
                <w:szCs w:val="18"/>
                <w:lang w:eastAsia="en-US"/>
              </w:rPr>
              <w:lastRenderedPageBreak/>
              <w:t>fatigue among other domains)</w:t>
            </w:r>
          </w:p>
          <w:p w14:paraId="617B5B0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422E214D" w14:textId="77777777" w:rsidTr="003F4F9E">
        <w:trPr>
          <w:jc w:val="center"/>
        </w:trPr>
        <w:tc>
          <w:tcPr>
            <w:tcW w:w="1129" w:type="dxa"/>
          </w:tcPr>
          <w:p w14:paraId="321C24F9" w14:textId="2B24C164"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color w:val="FF0000"/>
                <w:kern w:val="2"/>
                <w:sz w:val="18"/>
                <w:szCs w:val="18"/>
                <w:lang w:eastAsia="en-US"/>
              </w:rPr>
              <w:fldChar w:fldCharType="begin"/>
            </w:r>
            <w:r w:rsidR="00484A55">
              <w:rPr>
                <w:rFonts w:ascii="Aptos Display" w:eastAsiaTheme="minorHAnsi" w:hAnsi="Aptos Display" w:cstheme="minorBidi"/>
                <w:color w:val="FF0000"/>
                <w:kern w:val="2"/>
                <w:sz w:val="18"/>
                <w:szCs w:val="18"/>
                <w:lang w:eastAsia="en-US"/>
              </w:rPr>
              <w:instrText xml:space="preserve"> ADDIN ZOTERO_ITEM CSL_CITATION {"citationID":"kVOh8Aa0","properties":{"formattedCitation":"(9)","plainCitation":"(9)","noteIndex":0},"citationItems":[{"id":1004,"uris":["http://zotero.org/users/7449321/items/2PE5L55N"],"itemData":{"id":1004,"type":"article-journal","abstract":"Background: Although fatigue is the most important symptom of Sickle Cell Disease, the extent of it is unknown, and causal mechanisms are not well understood. This article explores biopsychosocial characteristics that can potentially contribute to fatigue in SCD., \nMaterials and Methods: This cross-sectional, correlational study included 97 SCD patients who aged over 16 years and had records in Thalassemia Ward and Clinic of Shafa Hospital affiliated to Ahvaz University of Medical Sciences, Ahvaz, Iran. Data were collected from a self- reported demographic questionnaire, measuring depression, anxiety stress scale (DASS-21) and fatigue severity scale (FSS). Data analysis was done by descriptive statistics, independent sample t-tests, Pearson's correlation coefficient, one-way ANOVA and multiple stepwise regression., \nResults: More than 50% of study participants were mostly single women. A majority of patients had a diagnosis of HgbSS disease. Levels of depression, anxiety and stress were severe in more than half of the participants. About 65% of SCD patients reported signs of fatigue. Moreover, fatigue, depression, anxiety and stress had a high intercorrelation. Depression, blood transfusion, renal diseases and work status were predictors of fatigue according to the models used in this survey. , \nConclusion: The results of the study indicated that SCD patients who had depression, blood transfusions, SCD-related renal complications, students and working people experienced more fatigue. So, if fatigue is present, it is important to recognize the existence of these conditions or vice versa. Routine assessment and improved management of fatigue, effective interventions to reduce fatigue, are highly recommended for patients with SCD.","container-title":"International Journal of Hematology-Oncology and Stem Cell Research","ISSN":"2008-3009","issue":"1","journalAbbreviation":"Int J Hematol Oncol Stem Cell Res","note":"PMID: 29951181\nPMCID: PMC6018252","page":"69-76","source":"PubMed Central","title":"Predictors and Correlates of Fatigue in Sickle Cell Disease Patients","volume":"12","author":[{"family":"Ahmadi","given":"Mehrnaz"},{"family":"Poormansouri","given":"Saeed"},{"family":"Beiranvand","given":"Samira"},{"family":"Sedighie","given":"Ladan"}],"issued":{"date-parts":[["2018",1,1]]}}}],"schema":"https://github.com/citation-style-language/schema/raw/master/csl-citation.json"} </w:instrText>
            </w:r>
            <w:r w:rsidRPr="00311360">
              <w:rPr>
                <w:rFonts w:ascii="Aptos Display" w:eastAsiaTheme="minorHAnsi" w:hAnsi="Aptos Display" w:cstheme="minorBidi"/>
                <w:color w:val="FF0000"/>
                <w:kern w:val="2"/>
                <w:sz w:val="18"/>
                <w:szCs w:val="18"/>
                <w:lang w:eastAsia="en-US"/>
              </w:rPr>
              <w:fldChar w:fldCharType="separate"/>
            </w:r>
            <w:r w:rsidR="00484A55" w:rsidRPr="00484A55">
              <w:rPr>
                <w:rFonts w:ascii="Aptos Display" w:hAnsi="Aptos Display"/>
                <w:sz w:val="18"/>
              </w:rPr>
              <w:t>(9)</w:t>
            </w:r>
            <w:r w:rsidRPr="00311360">
              <w:rPr>
                <w:rFonts w:ascii="Aptos Display" w:eastAsiaTheme="minorHAnsi" w:hAnsi="Aptos Display" w:cstheme="minorBidi"/>
                <w:color w:val="FF0000"/>
                <w:kern w:val="2"/>
                <w:sz w:val="18"/>
                <w:szCs w:val="18"/>
                <w:lang w:eastAsia="en-US"/>
              </w:rPr>
              <w:fldChar w:fldCharType="end"/>
            </w:r>
          </w:p>
        </w:tc>
        <w:tc>
          <w:tcPr>
            <w:tcW w:w="849" w:type="dxa"/>
          </w:tcPr>
          <w:p w14:paraId="7CC3362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Iran</w:t>
            </w:r>
          </w:p>
        </w:tc>
        <w:tc>
          <w:tcPr>
            <w:tcW w:w="991" w:type="dxa"/>
          </w:tcPr>
          <w:p w14:paraId="6800696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2D77C8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 / Adults</w:t>
            </w:r>
          </w:p>
        </w:tc>
        <w:tc>
          <w:tcPr>
            <w:tcW w:w="988" w:type="dxa"/>
          </w:tcPr>
          <w:p w14:paraId="4FD18CD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16 and older</w:t>
            </w:r>
          </w:p>
        </w:tc>
        <w:tc>
          <w:tcPr>
            <w:tcW w:w="855" w:type="dxa"/>
          </w:tcPr>
          <w:p w14:paraId="3515756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97</w:t>
            </w:r>
          </w:p>
        </w:tc>
        <w:tc>
          <w:tcPr>
            <w:tcW w:w="846" w:type="dxa"/>
          </w:tcPr>
          <w:p w14:paraId="134644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64.9</w:t>
            </w:r>
          </w:p>
        </w:tc>
        <w:tc>
          <w:tcPr>
            <w:tcW w:w="1134" w:type="dxa"/>
          </w:tcPr>
          <w:p w14:paraId="09C8E43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64.9%, Sickle Beta Thalassaemia: 35.1%.</w:t>
            </w:r>
          </w:p>
        </w:tc>
        <w:tc>
          <w:tcPr>
            <w:tcW w:w="1559" w:type="dxa"/>
          </w:tcPr>
          <w:p w14:paraId="7AE75FE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who come for a routine clinic visit or hospitalisation.</w:t>
            </w:r>
          </w:p>
          <w:p w14:paraId="1957FA6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5F2E7CF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FSS</w:t>
            </w:r>
          </w:p>
        </w:tc>
        <w:tc>
          <w:tcPr>
            <w:tcW w:w="1559" w:type="dxa"/>
          </w:tcPr>
          <w:p w14:paraId="157CDC0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Depression, Anxiety,</w:t>
            </w:r>
          </w:p>
          <w:p w14:paraId="72110F1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Stress, </w:t>
            </w:r>
          </w:p>
          <w:p w14:paraId="137DDC4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outcomes</w:t>
            </w:r>
          </w:p>
          <w:p w14:paraId="5E7926C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Age, sex, </w:t>
            </w:r>
          </w:p>
          <w:p w14:paraId="68D0771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Marital status, Educational level, SCD genotype.</w:t>
            </w:r>
          </w:p>
          <w:p w14:paraId="20761B1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6DFA9B8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 primary outcome measure</w:t>
            </w:r>
          </w:p>
        </w:tc>
      </w:tr>
      <w:tr w:rsidR="00C72D10" w:rsidRPr="00311360" w14:paraId="58D8F388" w14:textId="77777777" w:rsidTr="003F4F9E">
        <w:trPr>
          <w:jc w:val="center"/>
        </w:trPr>
        <w:tc>
          <w:tcPr>
            <w:tcW w:w="1129" w:type="dxa"/>
          </w:tcPr>
          <w:p w14:paraId="7EC05FE9" w14:textId="61EB4C36"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{"citationID":"JwxX9bsm","properties":{"formattedCitation":"(47)","plainCitation":"(47)","noteIndex":0},"citationItems":[{"id":1119,"uris":["http://zotero.org/users/7449321/items/SHX5FJPV"],"itemData":{"id":1119,"type":"article-journal","abstract":"Presence of pain on three or more days of the week is associated with worse patient reported outcomes in adults with sickle cell disease Nitya Bakshi,1,2 Diana Ross,1 Lakshmanan Krishnamurti1,2 1Division of Pediatric Hematology-Oncology-BMT, Department of Pediatrics, Emory University, Atlanta, GA, USA; 2Aflac Cancer and Blood Disorders Center, Children&amp;rsquo;s Healthcare of Atlanta, Atlanta, GA, USA Abstract: While acute episodic pain is the hallmark of sickle cell disease (SCD), transition to chronic pain is a major cause of morbidity and impaired quality of life. One of the core diagnostic criteria used by Analgesic, Anesthetic, and Addiction Clinical Trial Translations Innovations Opportunities and Networks-American Pain Society Pain Taxonomy (AAPT) to define chronic SCD pain is the presence of pain on a &amp;ldquo;majority of days&amp;rdquo; in the past 6 months in one or more locations.&amp;nbsp;The frequency characteristic of &amp;ldquo;majority of days&amp;rdquo; is adapted from the criteria of 15 days or more per month, used to define chronic migraine, but there are inadequate data to support this cutoff in SCD. Using an existing dataset of adults with SCD who completed patient-reported outcomes of pain interference, physical functioning, anxiety, depression, and fatigue using the National Institutes of Health (NIH) patient-reported outcomes measures information system (PROMIS) short-form instruments, we examined the association of the presence of pain on 3&amp;nbsp;or more days per week with patient-reported outcomes of functioning. In unadjusted analyses, presence of pain on 3 or more days a week was associated with higher median PROMIS scores of pain interference, anxiety, and depression. Median PROMIS scores of fatigue and physical function were worse in women compared with men in unadjusted analyses. We did not find any difference in median PROMIS pain scores between adults aged &amp;le;35 years compared with those aged &amp;ge;35 years. In linear regression models, after adjustment for age and sex, the presence of pain on 3 or more days a week was found to be associated with worse pain interference and anxiety. These data support the clinical relevance of the frequency characteristic of pain on a &amp;ldquo;majority of days&amp;rdquo; in the definition of chronic SCD pain, and provide the rationale for prospective studies to validate the clinical definition of chronic pain in SCD. Keywords: sickle cell disease, chronic pain, patient reported outcomes","container-title":"Journal of Pain Research","DOI":"10.2147/JPR.S150065","journalAbbreviation":"JPR","language":"English","note":"publisher: Dove Press","page":"313-318","source":"www.dovepress.com","title":"Presence of pain on three or more days of the week is associated with worse patient reported outcomes in adults with sickle cell disease","volume":"11","author":[{"family":"Bakshi","given":"Nitya"},{"family":"Ross","given":"Diana"},{"family":"Krishnamurti","given":"Lakshmanan"}],"issued":{"date-parts":[["2018",2,9]]}}}],"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(47)</w:t>
            </w:r>
            <w:r w:rsidRPr="00311360">
              <w:rPr>
                <w:rFonts w:ascii="Aptos Display" w:eastAsiaTheme="minorHAnsi" w:hAnsi="Aptos Display" w:cstheme="minorBidi"/>
                <w:kern w:val="2"/>
                <w:sz w:val="18"/>
                <w:szCs w:val="18"/>
                <w:lang w:eastAsia="en-US"/>
              </w:rPr>
              <w:fldChar w:fldCharType="end"/>
            </w:r>
          </w:p>
        </w:tc>
        <w:tc>
          <w:tcPr>
            <w:tcW w:w="849" w:type="dxa"/>
          </w:tcPr>
          <w:p w14:paraId="352C5EC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023D29A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F739CF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1159C3D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Median age (IQR): 35 (23–41)</w:t>
            </w:r>
          </w:p>
        </w:tc>
        <w:tc>
          <w:tcPr>
            <w:tcW w:w="855" w:type="dxa"/>
          </w:tcPr>
          <w:p w14:paraId="3BBBEA1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47</w:t>
            </w:r>
          </w:p>
        </w:tc>
        <w:tc>
          <w:tcPr>
            <w:tcW w:w="846" w:type="dxa"/>
          </w:tcPr>
          <w:p w14:paraId="3310A1B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79</w:t>
            </w:r>
          </w:p>
        </w:tc>
        <w:tc>
          <w:tcPr>
            <w:tcW w:w="1134" w:type="dxa"/>
          </w:tcPr>
          <w:p w14:paraId="2019B5A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57.5%, SC: 19.2%, Sβ0 thalassaemia: 6.4%, Sβ+ thalassaemia: 8,5%, Other/not sure: 8,5%.</w:t>
            </w:r>
          </w:p>
        </w:tc>
        <w:tc>
          <w:tcPr>
            <w:tcW w:w="1559" w:type="dxa"/>
          </w:tcPr>
          <w:p w14:paraId="155A103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recruited through advertisements, booths at SCD conferences and from SCD clinics; who were considering a disease-modifying treatment (HU, bone marrow transplantation, or chronic blood transfusion), and had not obtained the treatment option of interest in the past 12 months.</w:t>
            </w:r>
          </w:p>
          <w:p w14:paraId="3B2D24A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4DE44BF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Fatigue SF</w:t>
            </w:r>
          </w:p>
          <w:p w14:paraId="4A4279F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6-items</w:t>
            </w:r>
          </w:p>
        </w:tc>
        <w:tc>
          <w:tcPr>
            <w:tcW w:w="1559" w:type="dxa"/>
          </w:tcPr>
          <w:p w14:paraId="734E375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Gender,</w:t>
            </w:r>
          </w:p>
          <w:p w14:paraId="1AAE2EC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Pain, </w:t>
            </w:r>
          </w:p>
          <w:p w14:paraId="2745028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Age.</w:t>
            </w:r>
          </w:p>
        </w:tc>
        <w:tc>
          <w:tcPr>
            <w:tcW w:w="1276" w:type="dxa"/>
          </w:tcPr>
          <w:p w14:paraId="1D7EA90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1F27E71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secondary outcome measure </w:t>
            </w:r>
          </w:p>
        </w:tc>
      </w:tr>
      <w:tr w:rsidR="00C72D10" w:rsidRPr="00311360" w14:paraId="686EFD5F" w14:textId="77777777" w:rsidTr="003F4F9E">
        <w:trPr>
          <w:jc w:val="center"/>
        </w:trPr>
        <w:tc>
          <w:tcPr>
            <w:tcW w:w="1129" w:type="dxa"/>
            <w:shd w:val="clear" w:color="auto" w:fill="auto"/>
          </w:tcPr>
          <w:p w14:paraId="16039F9F" w14:textId="0BFC0AC5"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{"citationID":"XXImBqkY","properties":{"formattedCitation":"(29)","plainCitation":"(29)","noteIndex":0},"citationItems":[{"id":1114,"uris":["http://zotero.org/users/7449321/items/V5ILM3G3"],"itemData":{"id":1114,"type":"article-journal","abstract":"Background. Sickle cell disease (SCD) is a chronic debilitating illness. SCD-related complications result in substantial impairment in quality of life (QOL). Our study objective was to assess the relationship of participants’ characteristics, QOL, hydroxyurea adherence, and SCD-related clinical outcomes in youth with SCD. Procedure. A single-center cross-sectional study. Thirty-four youth with SCD enrolled from clinic between January and December 2015. Participants completed PROMIS® measures and ©Modified Morisky Adherence Scale. Results. Participants had a mean age of 14.8 (SD 2.9) years and 41% were female. Participants’ age correlated with fatigue (=0.48; P=0.006), pain (=0.32; P=0.07), and anxiety (=0.33; P=0.06) scores. Participants with chronic pain had worse upper extremity physical function (P=0.05), pain (P=0.04), anxiety (P=0.05), and depression (P=0.05). Males reported significantly higher hydroxyurea adherence (5.4 versus 3.6, P=0.02) compared to females. Participants with chronic pain had more frequent hospitalizations (P=0.02), emergency room visits (P=0.04), and longer total length of hospital stays over 12-month period (P=0.01). Conclusions. Older and female participants had worse QOL scores, and males reported higher hydroxyurea adherence. Participants with chronic pain reported significant impairment in different QOL domains and had increased healthcare utilization. Future longitudinal studies examining the relationship between participants’ characteristics, QOL, hydroxyurea adherence, and SCD-related clinical outcomes are needed.","container-title":"BioMed Research International","DOI":"10.1155/2018/8296139","ISSN":"2314-6133","language":"en","note":"publisher: Hindawi","page":"e8296139","source":"www.hindawi.com","title":"Association between Participants’ Characteristics, Patient-Reported Outcomes, and Clinical Outcomes in Youth with Sickle Cell Disease","volume":"2018","author":[{"family":"Badawy","given":"Sherif M."},{"family":"Barrera","given":"Leonardo"},{"family":"Cai","given":"Stephanie"},{"family":"Thompson","given":"Alexis A."}],"issued":{"date-parts":[["2018",7,18]]}}}],"schema":"https://github.com/citation-style-language/schema/raw/master/csl-citation.json"}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(29)</w:t>
            </w:r>
            <w:r w:rsidRPr="00311360">
              <w:rPr>
                <w:rFonts w:ascii="Aptos Display" w:eastAsiaTheme="minorHAnsi" w:hAnsi="Aptos Display" w:cstheme="minorBidi"/>
                <w:kern w:val="2"/>
                <w:sz w:val="18"/>
                <w:szCs w:val="18"/>
                <w:lang w:eastAsia="en-US"/>
              </w:rPr>
              <w:fldChar w:fldCharType="end"/>
            </w:r>
          </w:p>
          <w:p w14:paraId="240F49D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49" w:type="dxa"/>
          </w:tcPr>
          <w:p w14:paraId="7991787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5CC7CE5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7842C5C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Adolescents/Young adults</w:t>
            </w:r>
          </w:p>
        </w:tc>
        <w:tc>
          <w:tcPr>
            <w:tcW w:w="988" w:type="dxa"/>
          </w:tcPr>
          <w:p w14:paraId="34AA40A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12–22/Mean age (SD): 14.8 (2.9)</w:t>
            </w:r>
          </w:p>
        </w:tc>
        <w:tc>
          <w:tcPr>
            <w:tcW w:w="855" w:type="dxa"/>
          </w:tcPr>
          <w:p w14:paraId="027F2D1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34</w:t>
            </w:r>
          </w:p>
        </w:tc>
        <w:tc>
          <w:tcPr>
            <w:tcW w:w="846" w:type="dxa"/>
          </w:tcPr>
          <w:p w14:paraId="63F1D72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41</w:t>
            </w:r>
          </w:p>
        </w:tc>
        <w:tc>
          <w:tcPr>
            <w:tcW w:w="1134" w:type="dxa"/>
          </w:tcPr>
          <w:p w14:paraId="4FD88A9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85.3%, SC: 8.8%, Sβ0:5.9%.</w:t>
            </w:r>
          </w:p>
        </w:tc>
        <w:tc>
          <w:tcPr>
            <w:tcW w:w="1559" w:type="dxa"/>
          </w:tcPr>
          <w:p w14:paraId="4149273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treated with HU and who were recruited at their scheduled appointment at the comprehensive outpatient sickle cell clinic or HU clinic.</w:t>
            </w:r>
          </w:p>
          <w:p w14:paraId="2E71F51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64D56A1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CAT Fatigue Domain - Pediatric version and Adult version</w:t>
            </w:r>
            <w:r w:rsidRPr="00311360" w:rsidDel="00656896">
              <w:rPr>
                <w:rFonts w:ascii="Aptos Display" w:eastAsiaTheme="minorHAnsi" w:hAnsi="Aptos Display" w:cstheme="minorBidi"/>
                <w:kern w:val="2"/>
                <w:sz w:val="18"/>
                <w:szCs w:val="18"/>
                <w:lang w:eastAsia="en-US"/>
              </w:rPr>
              <w:t xml:space="preserve"> </w:t>
            </w:r>
          </w:p>
        </w:tc>
        <w:tc>
          <w:tcPr>
            <w:tcW w:w="1559" w:type="dxa"/>
          </w:tcPr>
          <w:p w14:paraId="6A531D2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Age, Gender,</w:t>
            </w:r>
          </w:p>
          <w:p w14:paraId="1191B77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Chronic pain,</w:t>
            </w:r>
          </w:p>
          <w:p w14:paraId="1E36F07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QOL (PROMIS domains).</w:t>
            </w:r>
          </w:p>
        </w:tc>
        <w:tc>
          <w:tcPr>
            <w:tcW w:w="1276" w:type="dxa"/>
          </w:tcPr>
          <w:p w14:paraId="3CB5037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0751CE9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74974E55" w14:textId="77777777" w:rsidTr="003F4F9E">
        <w:trPr>
          <w:jc w:val="center"/>
        </w:trPr>
        <w:tc>
          <w:tcPr>
            <w:tcW w:w="1129" w:type="dxa"/>
          </w:tcPr>
          <w:p w14:paraId="04FB1E26" w14:textId="1FCB824F"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fldChar w:fldCharType="begin"/>
            </w:r>
            <w:r w:rsidR="00484A55">
              <w:rPr>
                <w:rFonts w:ascii="Aptos Display" w:eastAsiaTheme="minorHAnsi" w:hAnsi="Aptos Display" w:cstheme="minorBidi"/>
                <w:kern w:val="2"/>
                <w:sz w:val="18"/>
                <w:szCs w:val="18"/>
                <w:lang w:eastAsia="en-US"/>
              </w:rPr>
              <w:instrText xml:space="preserve"> ADDIN ZOTERO_ITEM CSL_CITATION {"citationID":"qFS3UTsy","properties":{"formattedCitation":"(30)","plainCitation":"(30)","noteIndex":0},"citationItems":[{"id":1112,"uris":["http://zotero.org/users/7449321/items/ZSGW2U7N"],"itemData":{"id":1112,"type":"article-journal","abstract":"Background: Sickle cell disease (SCD) complications lead to poor health-related quality of life (HRQOL) and increased healthcare utilization in this population, which could be mitigated with hydroxyurea therapy; however, adherence is suboptimal. We assessed the relationship of healthcare utilization to hydroxyurea adherence and HRQOL amongst youth with SCD. Methods: Thirty-four patients with SCD (median age 14 years, IQR 12–18) on hydroxyurea participated in this cross-sectional study and completed Morisky Adherence Scale 8-items and Patient Reported Outcomes Measurement Information System (PROMIS®) HRQOL measures. A medical chart review was conducted to assess healthcare utilization. Results: Participants with more frequent hospitalizations and emergency room (ER) visits and longer length of stay (LOS) had significantly lower fetal hemoglobin (rs=–0.44; rs=–0.45; rs=–0.46, p &lt; 0.05) and mean corpuscular volume (rs=–0.47; rs=–0.42; rs=–0.48, p &lt; 0.05), respectively. More frequent hospitalizations and ER visits and longer LOS correlated significantly with worse fatigue (rs=0.51; rs=0.41; rs=0.53, p &lt; 0.05), pain (rs=0.41; rs=0.38; rs=0.47, p &lt; 0.05), physical function mobility (rs=–0.67; rs=–0.59; rs=–0.67, p &lt; 0.05), depression (rs=0.38; rs=0.31; rs=0.42, p &lt; 0.05), and social isolation (rs=0.76; rs=0.76; rs=–0.84, p &lt; 0.05), respectively. Conclusions: We conclude that increased healthcare utilization in youth with SCD is associated with low adherence to hydroxyurea and worse HRQOL domain scores. It is important emphasize the clinical benefits of high adherence to hydroxyurea, particularly among youth with SCD. Future longitudinal studies are warranted to assess the directionality of these relationships, and may reveal modifiable behavioral factors associated with early changes in hydroxyurea adherence levels.","container-title":"Pediatric Hematology and Oncology","DOI":"10.1080/08880018.2018.1505988","ISSN":"0888-0018","issue":"5-6","note":"publisher: Taylor &amp; Francis\n_eprint: https://doi.org/10.1080/08880018.2018.1505988\nPMID: 30636474","page":"297-308","source":"Taylor and Francis+NEJM","title":"Healthcare utilization and hydroxyurea adherence in youth with sickle cell disease","volume":"35","author":[{"family":"Badawy","given":"Sherif M."},{"family":"Thompson","given":"Alexis A."},{"family":"Holl","given":"Jane L."},{"family":"Penedo","given":"Frank J."},{"family":"Liem","given":"Robert I."}],"issued":{"date-parts":[["2018",8,18]]}}}],"schema":"https://github.com/citation-style-language/schema/raw/master/csl-citation.json"}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(30)</w:t>
            </w:r>
            <w:r w:rsidRPr="00311360">
              <w:rPr>
                <w:rFonts w:ascii="Aptos Display" w:eastAsiaTheme="minorHAnsi" w:hAnsi="Aptos Display" w:cstheme="minorBidi"/>
                <w:kern w:val="2"/>
                <w:sz w:val="18"/>
                <w:szCs w:val="18"/>
                <w:lang w:eastAsia="en-US"/>
              </w:rPr>
              <w:fldChar w:fldCharType="end"/>
            </w:r>
          </w:p>
          <w:p w14:paraId="30C05C3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49" w:type="dxa"/>
          </w:tcPr>
          <w:p w14:paraId="5E9E7D9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01454BB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5A75C1D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Adolescents/Young adults</w:t>
            </w:r>
          </w:p>
        </w:tc>
        <w:tc>
          <w:tcPr>
            <w:tcW w:w="988" w:type="dxa"/>
          </w:tcPr>
          <w:p w14:paraId="7299DDD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12 and older/Median age (IQR): 14 (12–18)</w:t>
            </w:r>
          </w:p>
        </w:tc>
        <w:tc>
          <w:tcPr>
            <w:tcW w:w="855" w:type="dxa"/>
          </w:tcPr>
          <w:p w14:paraId="13E1A2F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34</w:t>
            </w:r>
          </w:p>
        </w:tc>
        <w:tc>
          <w:tcPr>
            <w:tcW w:w="846" w:type="dxa"/>
          </w:tcPr>
          <w:p w14:paraId="5236517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41</w:t>
            </w:r>
          </w:p>
        </w:tc>
        <w:tc>
          <w:tcPr>
            <w:tcW w:w="1134" w:type="dxa"/>
          </w:tcPr>
          <w:p w14:paraId="08E0641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85%.</w:t>
            </w:r>
          </w:p>
        </w:tc>
        <w:tc>
          <w:tcPr>
            <w:tcW w:w="1559" w:type="dxa"/>
          </w:tcPr>
          <w:p w14:paraId="236C13E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treated with HU and who were recruited at their scheduled appointment at the comprehensive outpatient sickle cell clinic or HU clinic.</w:t>
            </w:r>
          </w:p>
          <w:p w14:paraId="044561F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74CAEAC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CAT Fatigue Domain - Pediatric version and Adult version</w:t>
            </w:r>
          </w:p>
        </w:tc>
        <w:tc>
          <w:tcPr>
            <w:tcW w:w="1559" w:type="dxa"/>
          </w:tcPr>
          <w:p w14:paraId="279EF10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Hospitalisations,</w:t>
            </w:r>
          </w:p>
          <w:p w14:paraId="179052C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Emergency room visits, </w:t>
            </w:r>
          </w:p>
          <w:p w14:paraId="16C3BA7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Inpatient hospital length of stay.</w:t>
            </w:r>
          </w:p>
        </w:tc>
        <w:tc>
          <w:tcPr>
            <w:tcW w:w="1276" w:type="dxa"/>
          </w:tcPr>
          <w:p w14:paraId="6DD42BF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7FA83F7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04F55BA7" w14:textId="77777777" w:rsidTr="003F4F9E">
        <w:trPr>
          <w:jc w:val="center"/>
        </w:trPr>
        <w:tc>
          <w:tcPr>
            <w:tcW w:w="1129" w:type="dxa"/>
          </w:tcPr>
          <w:p w14:paraId="6BA50332" w14:textId="045D7F3D"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{"citationID":"Fx0a6L8g","properties":{"formattedCitation":"(59)","plainCitation":"(59)","noteIndex":0},"citationItems":[{"id":985,"uris":["http://zotero.org/users/7449321/items/CYWQ8ELJ"],"itemData":{"id":985,"type":"article-journal","abstract":"Objective: To report preliminary psychometric properties of PROMIS® assessments among emerging adults with sickle cell disease (SCD). Method: Forty-five emerging adults with SCD ages 18–24 (M = 20.81, SD = 1.73) completed PROMIS® Pain Interference and Fatigue short forms and the Pediatric Quality of Life Inventory (PedsQL). Chart review was used to obtain information regarding SCD complications and health care utilization in the 3 years prior to study enrollment. Multivariate path analysis was used to compare PROMIS® scores by disease severity and use of disease-modifying therapies. Cronbach’s alpha was used to evaluate internal consistency, and Pearson correlations assessed convergent validity between PROMIS® measures and the PedsQL. Results: Internal consistency was excellent for PROMIS® Pain Interference (α = .95) and good for PROMIS® Fatigue (α = .85). Associations between PROMIS® measures and PedsQL subscales were in the expected direction and large in magnitude (all ps &lt; .001). There were no differences in PROMIS® scores based on disease severity or use of disease-modifying therapy (ps = .14−.86). Conclusions: Findings provide preliminary evidence of validity and reliability of the PROMIS® Pain Interference and Fatigue short forms among emerging adults with SCD. Additional research is needed to replicate these findings in larger samples and assess sensitivity to change over time. (PsycInfo Database Record (c) 2022 APA, all rights reserved)","archive_location":"2019-23038-007","collection-title":"PROMIS® Methods and Applications in Health Psychology and Behavioral Medicine Research","container-title":"Health Psychology","DOI":"10.1037/hea0000696","ISSN":"0278-6133","issue":"5","journalAbbreviation":"Health Psychology","note":"publisher: American Psychological Association","page":"386-390","source":"EBSCOhost","title":"A preliminary investigation of the psychometric properties of PROMIS® scales in emerging adults with sickle cell disease","volume":"38","author":[{"family":"Hildenbrand","given":"Aimee K."},{"family":"Quinn","given":"Charles T."},{"family":"Mara","given":"Constance A."},{"family":"Peugh","given":"James L."},{"family":"McTate","given":"Emily A."},{"family":"Britto","given":"Maria T."},{"family":"Crosby","given":"Lori E."}],"issued":{"date-parts":[["2019",5]]}}}],"schema":"https://github.com/citation-style-language/schema/raw/master/csl-citation.json"}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(59)</w:t>
            </w:r>
            <w:r w:rsidRPr="00311360">
              <w:rPr>
                <w:rFonts w:ascii="Aptos Display" w:eastAsiaTheme="minorHAnsi" w:hAnsi="Aptos Display" w:cstheme="minorBidi"/>
                <w:kern w:val="2"/>
                <w:sz w:val="18"/>
                <w:szCs w:val="18"/>
                <w:lang w:eastAsia="en-US"/>
              </w:rPr>
              <w:fldChar w:fldCharType="end"/>
            </w:r>
          </w:p>
        </w:tc>
        <w:tc>
          <w:tcPr>
            <w:tcW w:w="849" w:type="dxa"/>
          </w:tcPr>
          <w:p w14:paraId="347879C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0CE5387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50B4E1C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Young adults</w:t>
            </w:r>
          </w:p>
        </w:tc>
        <w:tc>
          <w:tcPr>
            <w:tcW w:w="988" w:type="dxa"/>
          </w:tcPr>
          <w:p w14:paraId="4646B5B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18–24/Mean age (SD): 20.81 (1.73)</w:t>
            </w:r>
          </w:p>
        </w:tc>
        <w:tc>
          <w:tcPr>
            <w:tcW w:w="855" w:type="dxa"/>
          </w:tcPr>
          <w:p w14:paraId="21B5CAD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45</w:t>
            </w:r>
          </w:p>
        </w:tc>
        <w:tc>
          <w:tcPr>
            <w:tcW w:w="846" w:type="dxa"/>
          </w:tcPr>
          <w:p w14:paraId="5633EED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53</w:t>
            </w:r>
          </w:p>
        </w:tc>
        <w:tc>
          <w:tcPr>
            <w:tcW w:w="1134" w:type="dxa"/>
          </w:tcPr>
          <w:p w14:paraId="215E087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69%, SC: 27%, Sβ+ thalassaemia: 4%.</w:t>
            </w:r>
          </w:p>
        </w:tc>
        <w:tc>
          <w:tcPr>
            <w:tcW w:w="1559" w:type="dxa"/>
          </w:tcPr>
          <w:p w14:paraId="2F789C9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receiving care in a tertiary children’s hospital or affiliated adult hospital in the Midwestern United States.</w:t>
            </w:r>
          </w:p>
          <w:p w14:paraId="411B5BD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51A00A6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PROMIS Fatigue SF 7-items </w:t>
            </w:r>
          </w:p>
        </w:tc>
        <w:tc>
          <w:tcPr>
            <w:tcW w:w="1559" w:type="dxa"/>
          </w:tcPr>
          <w:p w14:paraId="03BCA29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Quality of life (PedsQL),</w:t>
            </w:r>
          </w:p>
          <w:p w14:paraId="76B6F82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Disease severity, Medical outcomes.</w:t>
            </w:r>
          </w:p>
          <w:p w14:paraId="645C282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3E7D040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5D118D8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p w14:paraId="056EC12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383A85B6" w14:textId="77777777" w:rsidTr="003F4F9E">
        <w:trPr>
          <w:jc w:val="center"/>
        </w:trPr>
        <w:tc>
          <w:tcPr>
            <w:tcW w:w="1129" w:type="dxa"/>
          </w:tcPr>
          <w:p w14:paraId="53C9BEA7" w14:textId="59050988"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{"citationID":"HidL7V9T","properties":{"formattedCitation":"(60)","plainCitation":"(60)","noteIndex":0},"citationItems":[{"id":1274,"uris":["http://zotero.org/users/7449321/items/I7TVTNGE"],"itemData":{"id":1274,"type":"article-journal","abstract":"Understanding patient experiences, quality of life, and treatment needs in individuals with sickle cell disease (SCD) is essential in promoting health and well-being. We used measures from the Adult Sickle Cell Quality of Life Measurement Information System (ASCQ-Me), Patient Reported Outcomes Measurement Information System (PROMIS), and Quality of Life in Neurological Disorders (NeuroQol) to evaluate pain impact, sleep impact, social functioning, depressive symptoms, tiredness, and cognitive function (collectively, patient reported outcomes [PROs]) and to identify associated demographic and clinical characteristics. Participants (n = 2201) between 18 and 45 years were recruited through the eight Sickle Cell Disease Implementation Consortium (SCDIC) sites. In multivariate models, PROs were significantly associated with one another. Pain impact was associated with age, education, employment, time since last pain attack, hydroxyurea use, opioid use, sleep impact, social functioning, and cognitive function (F = 88.74, P &lt; .0001). Sleep impact was associated with household income, opioid use, pain impact, social functioning, depressive symptoms, and tiredness (F = 101.40, P &lt; .0001). Social functioning was associated with employment, pain attacks in the past year, autoimmune/inflammatory comorbidities, pain impact, sleep impact, depressive symptoms, tiredness, and cognitive function (F = 121.73, P &lt; .0001). Depressive symptoms were associated with sex, sleep impact, social functioning, tiredness, and cognitive function (F = 239.51, P &lt; .0001). Tiredness was associated with sex, education, sleep impact, social functioning, depressive symptoms, and cognitive function (F = 129.13, P &lt; .0001). These findings reflect the baseline PRO assessments among SCDIC registry participants. Further research is needed to better understand these outcomes and new targets for interventions to improve quality of life and function in people with SCD.","container-title":"American Journal of Hematology","DOI":"10.1002/ajh.25880","ISSN":"1096-8652","issue":"9","language":"en","license":"© 2020 Wiley Periodicals LLC.","note":"_eprint: https://onlinelibrary.wiley.com/doi/pdf/10.1002/ajh.25880","page":"1066-1074","source":"Wiley Online Library","title":"Patient-reported outcomes in sickle cell disease and association with clinical and psychosocial factors: Report from the sickle cell disease implementation consortium","title-short":"Patient-reported outcomes in sickle cell disease and association with clinical and psychosocial factors","volume":"95","author":[{"family":"Knisely","given":"Mitchell R."},{"family":"Pugh","given":"Norma"},{"family":"Kroner","given":"Barbara"},{"family":"Masese","given":"Rita"},{"family":"Gordeuk","given":"Victor"},{"family":"King","given":"Allison A."},{"family":"Smith","given":"Sharon M."},{"family":"Gurney","given":"James G."},{"family":"Adams","given":"Robert"},{"family":"Wun","given":"Ted"},{"family":"Snyder","given":"Angela"},{"family":"Glassberg","given":"Jeffrey"},{"family":"Shah","given":"Nirmish"},{"family":"Treadwell","given":"Marsha"},{"family":"Consortium","given":"Sickle Cell Disease Implementation"}],"issued":{"date-parts":[["2020"]]}}}],"schema":"https://github.com/citation-style-language/schema/raw/master/csl-citation.json"}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(60)</w:t>
            </w:r>
            <w:r w:rsidRPr="00311360">
              <w:rPr>
                <w:rFonts w:ascii="Aptos Display" w:eastAsiaTheme="minorHAnsi" w:hAnsi="Aptos Display" w:cstheme="minorBidi"/>
                <w:kern w:val="2"/>
                <w:sz w:val="18"/>
                <w:szCs w:val="18"/>
                <w:lang w:eastAsia="en-US"/>
              </w:rPr>
              <w:fldChar w:fldCharType="end"/>
            </w:r>
          </w:p>
        </w:tc>
        <w:tc>
          <w:tcPr>
            <w:tcW w:w="849" w:type="dxa"/>
          </w:tcPr>
          <w:p w14:paraId="7DA3F43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15DCE33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5606350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472C811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18–45/Mean age (SD): 29.2 (7.2)</w:t>
            </w:r>
          </w:p>
          <w:p w14:paraId="11622B4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7E21F76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2201</w:t>
            </w:r>
          </w:p>
        </w:tc>
        <w:tc>
          <w:tcPr>
            <w:tcW w:w="846" w:type="dxa"/>
          </w:tcPr>
          <w:p w14:paraId="781E5E9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57.6</w:t>
            </w:r>
          </w:p>
        </w:tc>
        <w:tc>
          <w:tcPr>
            <w:tcW w:w="1134" w:type="dxa"/>
          </w:tcPr>
          <w:p w14:paraId="401F13F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Genotypes reported for n = 2196</w:t>
            </w:r>
            <w:r w:rsidRPr="00311360">
              <w:rPr>
                <w:rFonts w:ascii="Aptos Display" w:eastAsiaTheme="minorHAnsi" w:hAnsi="Aptos Display" w:cstheme="minorBidi"/>
                <w:kern w:val="2"/>
                <w:sz w:val="18"/>
                <w:szCs w:val="18"/>
                <w:vertAlign w:val="superscript"/>
                <w:lang w:eastAsia="en-US"/>
              </w:rPr>
              <w:t xml:space="preserve"> a</w:t>
            </w:r>
            <w:r w:rsidRPr="00311360">
              <w:rPr>
                <w:rFonts w:ascii="Aptos Display" w:eastAsiaTheme="minorHAnsi" w:hAnsi="Aptos Display" w:cstheme="minorBidi"/>
                <w:kern w:val="2"/>
                <w:sz w:val="18"/>
                <w:szCs w:val="18"/>
                <w:lang w:eastAsia="en-US"/>
              </w:rPr>
              <w:t>:</w:t>
            </w:r>
          </w:p>
          <w:p w14:paraId="034E514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Sβ0:73.1%, SC: 20.5%, Sβ+: 5.1%, Other (Hb S/HPFH, SE, SO, SD): 1%.</w:t>
            </w:r>
            <w:r w:rsidRPr="00311360">
              <w:rPr>
                <w:rFonts w:ascii="Aptos Display" w:eastAsiaTheme="minorHAnsi" w:hAnsi="Aptos Display" w:cstheme="minorBidi"/>
                <w:kern w:val="2"/>
                <w:sz w:val="18"/>
                <w:szCs w:val="18"/>
                <w:vertAlign w:val="superscript"/>
                <w:lang w:eastAsia="en-US"/>
              </w:rPr>
              <w:t xml:space="preserve"> </w:t>
            </w:r>
          </w:p>
          <w:p w14:paraId="6E9133D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p w14:paraId="537E7C2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559" w:type="dxa"/>
          </w:tcPr>
          <w:p w14:paraId="366E964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Participants enrolled in the SCD Implementation Consortium registry; recruited from SCD clinics, inpatient units, emergency departments, pain centres, community events and via targeted phone calls.</w:t>
            </w:r>
          </w:p>
          <w:p w14:paraId="4B86EF2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1291F6E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 single item from the PROMIS Adult Fatigue item bank (‘I felt tired’).</w:t>
            </w:r>
          </w:p>
        </w:tc>
        <w:tc>
          <w:tcPr>
            <w:tcW w:w="1559" w:type="dxa"/>
          </w:tcPr>
          <w:p w14:paraId="04B9AAD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Sex, </w:t>
            </w:r>
          </w:p>
          <w:p w14:paraId="61DB2F4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Educational attainment,</w:t>
            </w:r>
          </w:p>
          <w:p w14:paraId="30B098D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Sleep impact, </w:t>
            </w:r>
          </w:p>
          <w:p w14:paraId="01E4743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Social functioning, </w:t>
            </w:r>
          </w:p>
          <w:p w14:paraId="344AD1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Depressive symptoms,</w:t>
            </w:r>
          </w:p>
          <w:p w14:paraId="3559903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Cognitive function.</w:t>
            </w:r>
          </w:p>
        </w:tc>
        <w:tc>
          <w:tcPr>
            <w:tcW w:w="1276" w:type="dxa"/>
          </w:tcPr>
          <w:p w14:paraId="47FE86B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0A81FFA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secondary outcome measure </w:t>
            </w:r>
          </w:p>
        </w:tc>
      </w:tr>
      <w:tr w:rsidR="00C72D10" w:rsidRPr="00311360" w14:paraId="2A8D48DD" w14:textId="77777777" w:rsidTr="003F4F9E">
        <w:trPr>
          <w:jc w:val="center"/>
        </w:trPr>
        <w:tc>
          <w:tcPr>
            <w:tcW w:w="1129" w:type="dxa"/>
          </w:tcPr>
          <w:p w14:paraId="3828663E" w14:textId="2C56FD4A"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{"citationID":"lQpHvYag","properties":{"formattedCitation":"(61)","plainCitation":"(61)","noteIndex":0},"citationItems":[{"id":1100,"uris":["http://zotero.org/users/7449321/items/687NIFWE"],"itemData":{"id":1100,"type":"article-journal","abstract":"Introduction\nNo study determined if vitamin D supplementation improves health-related quality of life (HRQL) using pediatric Patient-Reported Outcomes Measurement Information System or physical functioning in type SS sickle cell disease (HbSS).\nMethod\nSubjects with HbSS (n</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21) and healthy subjects (n</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 xml:space="preserve">23) were randomized to daily oral doses (4,000 vs. 7,000 IU) of cholecalciferol (vitamin D3) and evaluated at 6 and 12 weeks for changes in serum 25 hydroxyvitamin D (25(OH)D), HRQL, and physical functioning.\nResults\nIn subjects with HbSS, significant reductions in pain, fatigue, and depressive symptoms and improved upper-extremity function were observed. In healthy subjects, significant reductions in fatigue and improved upper-extremity function were observed. Significant improvements in peak power and dorsiflexion isometric maximal voluntary contraction torques were observed in both groups. In subjects with HbSS, improved plantar flexion isometric maximal voluntary contraction torques were observed. Both groups saw significant improvement in their total Bruininks-Oseretsky Test of Motor Proficiency score.\nDiscussion\nDaily high-dose vitamin D supplementation for African American children with and without HbSS improved HRQL and physical performance.","container-title":"Journal of Pediatric Health Care","DOI":"10.1016/j.pedhc.2020.04.007","ISSN":"0891-5245","issue":"5","journalAbbreviation":"Journal of Pediatric Health Care","page":"424-434","source":"ScienceDirect","title":"Vitamin D Supplementation Improves Health-Related Quality of Life and Physical Performance in Children with Sickle Cell Disease and in Healthy Children","volume":"34","author":[{"family":"Dougherty","given":"Kelly A."},{"family":"Schall","given":"Joan I."},{"family":"Bertolaso","given":"Chiara"},{"family":"Smith-Whitley","given":"Kim"},{"family":"Stallings","given":"Virginia A"}],"issued":{"date-parts":[["2020",9,1]]}}}],"schema":"https://github.com/citation-style-language/schema/raw/master/csl-citation.json"}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(61)</w:t>
            </w:r>
            <w:r w:rsidRPr="00311360">
              <w:rPr>
                <w:rFonts w:ascii="Aptos Display" w:eastAsiaTheme="minorHAnsi" w:hAnsi="Aptos Display" w:cstheme="minorBidi"/>
                <w:kern w:val="2"/>
                <w:sz w:val="18"/>
                <w:szCs w:val="18"/>
                <w:lang w:eastAsia="en-US"/>
              </w:rPr>
              <w:fldChar w:fldCharType="end"/>
            </w:r>
          </w:p>
        </w:tc>
        <w:tc>
          <w:tcPr>
            <w:tcW w:w="849" w:type="dxa"/>
          </w:tcPr>
          <w:p w14:paraId="00E72B2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3F6FF7D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Longitudinal</w:t>
            </w:r>
          </w:p>
        </w:tc>
        <w:tc>
          <w:tcPr>
            <w:tcW w:w="1000" w:type="dxa"/>
          </w:tcPr>
          <w:p w14:paraId="45850B6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Children/Adolescents</w:t>
            </w:r>
          </w:p>
        </w:tc>
        <w:tc>
          <w:tcPr>
            <w:tcW w:w="988" w:type="dxa"/>
          </w:tcPr>
          <w:p w14:paraId="1C12D76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5–20/Mean age (SD): 11 (4)</w:t>
            </w:r>
          </w:p>
        </w:tc>
        <w:tc>
          <w:tcPr>
            <w:tcW w:w="855" w:type="dxa"/>
          </w:tcPr>
          <w:p w14:paraId="19DEE06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21</w:t>
            </w:r>
          </w:p>
        </w:tc>
        <w:tc>
          <w:tcPr>
            <w:tcW w:w="846" w:type="dxa"/>
          </w:tcPr>
          <w:p w14:paraId="1654135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57</w:t>
            </w:r>
          </w:p>
        </w:tc>
        <w:tc>
          <w:tcPr>
            <w:tcW w:w="1134" w:type="dxa"/>
          </w:tcPr>
          <w:p w14:paraId="3277638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100%.</w:t>
            </w:r>
          </w:p>
        </w:tc>
        <w:tc>
          <w:tcPr>
            <w:tcW w:w="1559" w:type="dxa"/>
          </w:tcPr>
          <w:p w14:paraId="2931E0E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Children recruited from the Comprehensive Sickle Cell Center at the Children’s Hospital of Philadelphia and for a vitamin D </w:t>
            </w:r>
            <w:r w:rsidRPr="00311360">
              <w:rPr>
                <w:rFonts w:ascii="Aptos Display" w:eastAsiaTheme="minorHAnsi" w:hAnsi="Aptos Display" w:cstheme="minorBidi"/>
                <w:kern w:val="2"/>
                <w:sz w:val="18"/>
                <w:szCs w:val="18"/>
                <w:lang w:eastAsia="en-US"/>
              </w:rPr>
              <w:lastRenderedPageBreak/>
              <w:t>supplementation study.</w:t>
            </w:r>
          </w:p>
          <w:p w14:paraId="798CB90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26A24E1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PROMIS Pediatric Fatigue SF</w:t>
            </w:r>
          </w:p>
        </w:tc>
        <w:tc>
          <w:tcPr>
            <w:tcW w:w="1559" w:type="dxa"/>
          </w:tcPr>
          <w:p w14:paraId="3B9A32B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Medical outcome (vitamin D supplementation).</w:t>
            </w:r>
          </w:p>
        </w:tc>
        <w:tc>
          <w:tcPr>
            <w:tcW w:w="1276" w:type="dxa"/>
          </w:tcPr>
          <w:p w14:paraId="2597EA4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500352D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secondary outcome measure </w:t>
            </w:r>
          </w:p>
        </w:tc>
      </w:tr>
      <w:tr w:rsidR="00C72D10" w:rsidRPr="00311360" w14:paraId="1875692B" w14:textId="77777777" w:rsidTr="003F4F9E">
        <w:trPr>
          <w:jc w:val="center"/>
        </w:trPr>
        <w:tc>
          <w:tcPr>
            <w:tcW w:w="1129" w:type="dxa"/>
          </w:tcPr>
          <w:p w14:paraId="09310275" w14:textId="7B6A2E4F"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{"citationID":"PO29WaVw","properties":{"formattedCitation":"(62)","plainCitation":"(62)","noteIndex":0},"citationItems":[{"id":1049,"uris":["http://zotero.org/users/7449321/items/WL4EHRXE"],"itemData":{"id":1049,"type":"article-journal","abstract":"Background\nPain and physical health domains included in Patient-Reported Outcomes Measurement Information System® (PROMIS®) can be administered as short forms (SF) or as computer adaptive tests (CAT). CAT is ideal in many settings but cannot be administered without specialized technology. We compared SF and CAT to identify items for customized SFs to improve the SF performance for children with sickle cell disease (SCD).\n\nMethods\nEligible children 8–17 years old were administered CATs for 5 domains of physical health and 2 domains of pain, followed by any items on the corresponding SF that were not included in the CAT assessments. We describe the range of scores on the CAT and SFs, including the percentage of participants with floor or ceiling effects using the SF. The agreement and correlation between CAT and SF scores were assessed using Bland–Altman plots. Items frequently offered on CAT that had variable responses and were not already present on SF are recommended as additional items for customized SFs.\n\nResults\nAmong 90 children with SCD, there were strong correlations between CAT and SF scores (Concordance Correlation Coefficient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&gt;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 xml:space="preserve">0.8) however, the SFs for fatigue, mobility, strength impact, pain behavior, and pain interference had substantial floor/ceiling effects. Fatigue, mobility, physical stress experience, and pain behavior domains had items that were frequently offered on CAT, variable responses, and were not present on the SF.\n\nConclusions\nAdding items to the SFs for the fatigue, mobility, physical stress experience, and pain behavior domains may improve these domains’ SFs performance for children with SCD.","container-title":"Journal of Patient-Reported Outcomes","DOI":"10.1186/s41687-023-00553-3","ISSN":"2509-8020","journalAbbreviation":"J Patient Rep Outcomes","note":"PMID: 36786928\nPMCID: PMC9929009","page":"12","source":"PubMed Central","title":"Comparison of CAT and short forms for PROMIS pain and physical health domains in children with sickle cell disease","volume":"7","author":[{"family":"Mason","given":"Sadie F."},{"family":"Dasgupta","given":"Mahua"},{"family":"Flynn","given":"Kathryn E."},{"family":"Simpson","given":"Pippa M."},{"family":"Singh","given":"Ashima"}],"issued":{"date-parts":[["2023",2,14]]}}}],"schema":"https://github.com/citation-style-language/schema/raw/master/csl-citation.json"}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(62)</w:t>
            </w:r>
            <w:r w:rsidRPr="00311360">
              <w:rPr>
                <w:rFonts w:ascii="Aptos Display" w:eastAsiaTheme="minorHAnsi" w:hAnsi="Aptos Display" w:cstheme="minorBidi"/>
                <w:kern w:val="2"/>
                <w:sz w:val="18"/>
                <w:szCs w:val="18"/>
                <w:lang w:eastAsia="en-US"/>
              </w:rPr>
              <w:fldChar w:fldCharType="end"/>
            </w:r>
          </w:p>
        </w:tc>
        <w:tc>
          <w:tcPr>
            <w:tcW w:w="849" w:type="dxa"/>
          </w:tcPr>
          <w:p w14:paraId="3837F08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5512994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458FCBE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w:t>
            </w:r>
          </w:p>
        </w:tc>
        <w:tc>
          <w:tcPr>
            <w:tcW w:w="988" w:type="dxa"/>
          </w:tcPr>
          <w:p w14:paraId="388F42B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8–17/Mean age (SD): 13.2 (3.1)</w:t>
            </w:r>
          </w:p>
        </w:tc>
        <w:tc>
          <w:tcPr>
            <w:tcW w:w="855" w:type="dxa"/>
          </w:tcPr>
          <w:p w14:paraId="6AFEB3A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90</w:t>
            </w:r>
          </w:p>
        </w:tc>
        <w:tc>
          <w:tcPr>
            <w:tcW w:w="846" w:type="dxa"/>
          </w:tcPr>
          <w:p w14:paraId="483FEE3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48.9</w:t>
            </w:r>
          </w:p>
        </w:tc>
        <w:tc>
          <w:tcPr>
            <w:tcW w:w="1134" w:type="dxa"/>
          </w:tcPr>
          <w:p w14:paraId="57A2328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55.6%, SC: 16.7%, Sβ0 thalassaemia: 1.1%, Sβ+ thalassaemia: 1.1%, Other: 2.2%.</w:t>
            </w:r>
          </w:p>
        </w:tc>
        <w:tc>
          <w:tcPr>
            <w:tcW w:w="1559" w:type="dxa"/>
          </w:tcPr>
          <w:p w14:paraId="047A607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Children with SCD without disease exacerbation, recruited from a haematology clinic.</w:t>
            </w:r>
          </w:p>
        </w:tc>
        <w:tc>
          <w:tcPr>
            <w:tcW w:w="1134" w:type="dxa"/>
          </w:tcPr>
          <w:p w14:paraId="65D421E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The 4-item SF Fatigue from PROMIS v1.1 Pediatric Profile 25 items /  PROMIS CAT Fatigue Domain -Pediatric version</w:t>
            </w:r>
          </w:p>
          <w:p w14:paraId="162679B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559" w:type="dxa"/>
          </w:tcPr>
          <w:p w14:paraId="5D18E5B4" w14:textId="77777777" w:rsidR="00C72D10" w:rsidRPr="00311360" w:rsidRDefault="00C72D10" w:rsidP="003F4F9E">
            <w:pPr>
              <w:numPr>
                <w:ilvl w:val="0"/>
                <w:numId w:val="13"/>
              </w:numPr>
              <w:contextualSpacing/>
              <w:jc w:val="left"/>
              <w:textAlignment w:val="auto"/>
              <w:rPr>
                <w:rFonts w:ascii="Aptos Display" w:eastAsiaTheme="minorHAnsi" w:hAnsi="Aptos Display" w:cstheme="minorBidi"/>
                <w:kern w:val="2"/>
                <w:sz w:val="18"/>
                <w:szCs w:val="18"/>
                <w:lang w:eastAsia="en-US"/>
              </w:rPr>
            </w:pPr>
          </w:p>
        </w:tc>
        <w:tc>
          <w:tcPr>
            <w:tcW w:w="1276" w:type="dxa"/>
          </w:tcPr>
          <w:p w14:paraId="1F31246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Instrument development, test, validation or comparison</w:t>
            </w:r>
          </w:p>
          <w:p w14:paraId="3B4D45A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(generic tool for assessing fatigue among other domains)</w:t>
            </w:r>
          </w:p>
          <w:p w14:paraId="1E74E14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p w14:paraId="04F3CFB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42866D8D" w14:textId="77777777" w:rsidTr="003F4F9E">
        <w:trPr>
          <w:jc w:val="center"/>
        </w:trPr>
        <w:tc>
          <w:tcPr>
            <w:tcW w:w="1129" w:type="dxa"/>
          </w:tcPr>
          <w:p w14:paraId="6B50527D" w14:textId="47DFCB85"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color w:val="FF0000"/>
                <w:kern w:val="2"/>
                <w:sz w:val="18"/>
                <w:szCs w:val="18"/>
                <w:lang w:eastAsia="en-US"/>
              </w:rPr>
              <w:fldChar w:fldCharType="begin"/>
            </w:r>
            <w:r w:rsidR="00484A55">
              <w:rPr>
                <w:rFonts w:ascii="Aptos Display" w:eastAsiaTheme="minorHAnsi" w:hAnsi="Aptos Display" w:cstheme="minorBidi"/>
                <w:color w:val="FF0000"/>
                <w:kern w:val="2"/>
                <w:sz w:val="18"/>
                <w:szCs w:val="18"/>
                <w:lang w:eastAsia="en-US"/>
              </w:rPr>
              <w:instrText xml:space="preserve"> ADDIN ZOTERO_ITEM CSL_CITATION {"citationID":"7f0xnodF","properties":{"formattedCitation":"(63)","plainCitation":"(63)","noteIndex":0},"citationItems":[{"id":1033,"uris":["http://zotero.org/users/7449321/items/M9MQPI92"],"itemData":{"id":1033,"type":"article-journal","abstract":"Chronic pain affects 30% to 40% of individuals with sickle cell disease (SCD) and impairs patient functioning. Clinically meaningful, practical, and valid assessment tools for investigation, evaluation, and management of chronic pain are limited, representing a barrier for advancing SCD care. We sought to determine whether patient-reported outcomes (PROs) show preliminary construct validity in identifying individuals with SCD who were a priori defined as suggestive of having chronic pain based on previously published criteria. All individuals completed the Patient-Reported Outcomes Measurement Information System (PROMIS) domains: pain interference, pain behavior, pain quality (nociceptive, neuropathic), fatigue, sleep disturbance, depression, and anxiety; the Adult Sickle Cell Quality of Life Measurement Information System (ASCQ-Me) domains: pain impact and emotional impact; and the painDETECT questionnaire. Thirty-three adults living with SCD were enrolled, and 42.4% had chronic pain. Pain-related PROs scores distinctly differentiated individuals with chronic pain from those without. Individuals with chronic pain had significantly worse pain-related PROs scores: PROMIS pain interference (64.2 vs 54.3), PROMIS pain behavior (63.2 vs 50), and ASCQ-Me pain impact (42.9 vs 53.2). According to published PROMIS clinical cut scores for the pain-related domains, individuals with chronic pain were categorized as having moderate impairment, whereas those without chronic pain had mild or no impairment. Individuals with chronic pain had PRO pain features consistent with neuropathic pain and worse scores in fatigue, depression, sleep disturbance, and emotional impact. Pain-related PROs show preliminary construct validity in differentiating individuals with and without chronic SCD pain and could be used as valuable tools for research and clinical monitoring of chronic pain.","container-title":"Blood Advances","DOI":"10.1182/bloodadvances.2023009707","ISSN":"2473-9537","issue":"14","journalAbbreviation":"Blood Adv","language":"eng","note":"PMID: 37058480\nPMCID: PMC10365933","page":"3658-3665","source":"PubMed","title":"Preliminary construct validity of patient-reported outcomes to assess chronic pain in adults with sickle cell disease","volume":"7","author":[{"family":"Mucalo","given":"Lana"},{"family":"Field","given":"Joshua J."},{"family":"Highland","given":"Janelle"},{"family":"Khan","given":"Hamda"},{"family":"Hankins","given":"Jane S."},{"family":"Singh","given":"Ashima"},{"family":"Brandow","given":"Amanda M."}],"issued":{"date-parts":[["2023",7,25]]}}}],"schema":"https://github.com/citation-style-language/schema/raw/master/csl-citation.json"} </w:instrText>
            </w:r>
            <w:r w:rsidRPr="00311360">
              <w:rPr>
                <w:rFonts w:ascii="Aptos Display" w:eastAsiaTheme="minorHAnsi" w:hAnsi="Aptos Display" w:cstheme="minorBidi"/>
                <w:color w:val="FF0000"/>
                <w:kern w:val="2"/>
                <w:sz w:val="18"/>
                <w:szCs w:val="18"/>
                <w:lang w:eastAsia="en-US"/>
              </w:rPr>
              <w:fldChar w:fldCharType="separate"/>
            </w:r>
            <w:r w:rsidR="00484A55" w:rsidRPr="00484A55">
              <w:rPr>
                <w:rFonts w:ascii="Aptos Display" w:hAnsi="Aptos Display"/>
                <w:sz w:val="18"/>
              </w:rPr>
              <w:t>(63)</w:t>
            </w:r>
            <w:r w:rsidRPr="00311360">
              <w:rPr>
                <w:rFonts w:ascii="Aptos Display" w:eastAsiaTheme="minorHAnsi" w:hAnsi="Aptos Display" w:cstheme="minorBidi"/>
                <w:color w:val="FF0000"/>
                <w:kern w:val="2"/>
                <w:sz w:val="18"/>
                <w:szCs w:val="18"/>
                <w:lang w:eastAsia="en-US"/>
              </w:rPr>
              <w:fldChar w:fldCharType="end"/>
            </w:r>
          </w:p>
        </w:tc>
        <w:tc>
          <w:tcPr>
            <w:tcW w:w="849" w:type="dxa"/>
          </w:tcPr>
          <w:p w14:paraId="0379644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6308836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58A60C8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753BE93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19–58/Median age (SD): 33.4 (10.0)</w:t>
            </w:r>
          </w:p>
          <w:p w14:paraId="166ED01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343154B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33</w:t>
            </w:r>
          </w:p>
        </w:tc>
        <w:tc>
          <w:tcPr>
            <w:tcW w:w="846" w:type="dxa"/>
          </w:tcPr>
          <w:p w14:paraId="638C25A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45.5</w:t>
            </w:r>
          </w:p>
        </w:tc>
        <w:tc>
          <w:tcPr>
            <w:tcW w:w="1134" w:type="dxa"/>
          </w:tcPr>
          <w:p w14:paraId="128D7FD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63.6%, SC: 30.3%, Sβ+: 6.1%.</w:t>
            </w:r>
          </w:p>
        </w:tc>
        <w:tc>
          <w:tcPr>
            <w:tcW w:w="1559" w:type="dxa"/>
          </w:tcPr>
          <w:p w14:paraId="596D29F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Patients with or without chronic pain, presented to the Adult SCD Clinic for care, hospitalisation for pain or when they accompanied other family members to appointments. </w:t>
            </w:r>
          </w:p>
          <w:p w14:paraId="4BF0266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56FD007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PROMIS Adult Fatigue Domain Full Bank</w:t>
            </w:r>
          </w:p>
        </w:tc>
        <w:tc>
          <w:tcPr>
            <w:tcW w:w="1559" w:type="dxa"/>
          </w:tcPr>
          <w:p w14:paraId="430711D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Chronic pain</w:t>
            </w:r>
          </w:p>
        </w:tc>
        <w:tc>
          <w:tcPr>
            <w:tcW w:w="1276" w:type="dxa"/>
          </w:tcPr>
          <w:p w14:paraId="0145668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5E7B7D6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secondary outcome measure</w:t>
            </w:r>
          </w:p>
        </w:tc>
      </w:tr>
      <w:tr w:rsidR="00C72D10" w:rsidRPr="00311360" w14:paraId="673DE26C" w14:textId="77777777" w:rsidTr="003F4F9E">
        <w:trPr>
          <w:jc w:val="center"/>
        </w:trPr>
        <w:tc>
          <w:tcPr>
            <w:tcW w:w="1129" w:type="dxa"/>
          </w:tcPr>
          <w:p w14:paraId="3A2581B4" w14:textId="57ADE5C9"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{"citationID":"Z5PuJoJd","properties":{"formattedCitation":"(64)","plainCitation":"(64)","noteIndex":0},"citationItems":[{"id":1031,"uris":["http://zotero.org/users/7449321/items/FIIUZPFJ"],"itemData":{"id":1031,"type":"article-journal","abstract":"Pain and fatigue are among the most common and impactful complications of sickle cell disease (SCD). Individuals with SCD are also more likely to have neurocognitive deficits. Previous studies have suggested that pain and fatigue might influence neurocognitive functioning in patients with SCD. However, these studies are limited by small sample sizes and inadequate measurement of cognitive performance. The present study aimed to investigate the relationship between pain and fatigue with neurocognitive functioning using performance-based measures of neurocognition. Pain and fatigue were not associated with neurocognitive performance. Implications and directions for future research are discussed.","container-title":"Pediatric Blood &amp; Cancer","DOI":"10.1002/pbc.30621","ISSN":"1545-5017","issue":"11","language":"en","license":"© 2023 Wiley Periodicals LLC.","note":"_eprint: https://onlinelibrary.wiley.com/doi/pdf/10.1002/pbc.30621","page":"e30621","source":"Wiley Online Library","title":"Examining the influence of pain and fatigue on neurocognitive functioning in adolescents and young adults with sickle cell disease","volume":"70","author":[{"family":"Semko","given":"Joshua H."},{"family":"Longoria","given":"Jennifer"},{"family":"Porter","given":"Jerlym"},{"family":"Potter","given":"Brian"},{"family":"Bhatia","given":"Shalini"},{"family":"Pan","given":"Haitao"},{"family":"Hankins","given":"Jane S."},{"family":"Heitzer","given":"Andrew M."}],"issued":{"date-parts":[["2023"]]}}}],"schema":"https://github.com/citation-style-language/schema/raw/master/csl-citation.json"}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(64)</w:t>
            </w:r>
            <w:r w:rsidRPr="00311360">
              <w:rPr>
                <w:rFonts w:ascii="Aptos Display" w:eastAsiaTheme="minorHAnsi" w:hAnsi="Aptos Display" w:cstheme="minorBidi"/>
                <w:kern w:val="2"/>
                <w:sz w:val="18"/>
                <w:szCs w:val="18"/>
                <w:lang w:eastAsia="en-US"/>
              </w:rPr>
              <w:fldChar w:fldCharType="end"/>
            </w:r>
          </w:p>
        </w:tc>
        <w:tc>
          <w:tcPr>
            <w:tcW w:w="849" w:type="dxa"/>
          </w:tcPr>
          <w:p w14:paraId="4BEDBB2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7A324638"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highlight w:val="yellow"/>
                <w:lang w:eastAsia="en-US"/>
              </w:rPr>
            </w:pPr>
            <w:r w:rsidRPr="00311360">
              <w:rPr>
                <w:rFonts w:ascii="Aptos Display" w:eastAsiaTheme="minorHAnsi" w:hAnsi="Aptos Display" w:cstheme="minorBidi"/>
                <w:kern w:val="2"/>
                <w:sz w:val="18"/>
                <w:szCs w:val="18"/>
                <w:lang w:eastAsia="en-US"/>
              </w:rPr>
              <w:t>Longitudinal</w:t>
            </w:r>
          </w:p>
        </w:tc>
        <w:tc>
          <w:tcPr>
            <w:tcW w:w="1000" w:type="dxa"/>
          </w:tcPr>
          <w:p w14:paraId="75BCDE3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 / Young adults</w:t>
            </w:r>
          </w:p>
        </w:tc>
        <w:tc>
          <w:tcPr>
            <w:tcW w:w="988" w:type="dxa"/>
          </w:tcPr>
          <w:p w14:paraId="69A6826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16–25/Mean age (SD): 19 (3.3)</w:t>
            </w:r>
          </w:p>
          <w:p w14:paraId="33E69FB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855" w:type="dxa"/>
          </w:tcPr>
          <w:p w14:paraId="3188E1BB"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106</w:t>
            </w:r>
          </w:p>
        </w:tc>
        <w:tc>
          <w:tcPr>
            <w:tcW w:w="846" w:type="dxa"/>
          </w:tcPr>
          <w:p w14:paraId="6B487EA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53.8</w:t>
            </w:r>
          </w:p>
        </w:tc>
        <w:tc>
          <w:tcPr>
            <w:tcW w:w="1134" w:type="dxa"/>
          </w:tcPr>
          <w:p w14:paraId="572F9D9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 thalassaemia: 53,8%, SC or Sß + thalassaemia or other: 46,2%.</w:t>
            </w:r>
          </w:p>
        </w:tc>
        <w:tc>
          <w:tcPr>
            <w:tcW w:w="1559" w:type="dxa"/>
          </w:tcPr>
          <w:p w14:paraId="58BD8A4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included in the Sickle Cell Clinical Research Intervention Program (SCCRIP), a longitudinal lifetime cohort study.</w:t>
            </w:r>
          </w:p>
          <w:p w14:paraId="7A6F09F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10DDC40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PedsQL™ MFS</w:t>
            </w:r>
          </w:p>
        </w:tc>
        <w:tc>
          <w:tcPr>
            <w:tcW w:w="1559" w:type="dxa"/>
          </w:tcPr>
          <w:p w14:paraId="26B56FF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Intelligence quotient, working memory, processing speed (measures of neurocognitive performance).</w:t>
            </w:r>
          </w:p>
        </w:tc>
        <w:tc>
          <w:tcPr>
            <w:tcW w:w="1276" w:type="dxa"/>
          </w:tcPr>
          <w:p w14:paraId="1996595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 primary outcome measure</w:t>
            </w:r>
          </w:p>
          <w:p w14:paraId="37EF027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r>
      <w:tr w:rsidR="00C72D10" w:rsidRPr="00311360" w14:paraId="4785F77B" w14:textId="77777777" w:rsidTr="003F4F9E">
        <w:trPr>
          <w:jc w:val="center"/>
        </w:trPr>
        <w:tc>
          <w:tcPr>
            <w:tcW w:w="1129" w:type="dxa"/>
          </w:tcPr>
          <w:p w14:paraId="4C24319C" w14:textId="1DD398B3" w:rsidR="00C72D10" w:rsidRPr="00311360" w:rsidRDefault="00C72D10" w:rsidP="003F4F9E">
            <w:pPr>
              <w:ind w:firstLine="0"/>
              <w:jc w:val="left"/>
              <w:textAlignment w:val="auto"/>
              <w:rPr>
                <w:rFonts w:ascii="Aptos Display" w:eastAsiaTheme="minorHAnsi" w:hAnsi="Aptos Display" w:cstheme="minorBidi"/>
                <w:color w:val="FF0000"/>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{"citationID":"R674Mvgv","properties":{"formattedCitation":"(10)","plainCitation":"(10)","noteIndex":0},"citationItems":[{"id":1001,"uris":["http://zotero.org/users/7449321/items/JHXWMGCD"],"itemData":{"id":1001,"type":"article-journal","abstract":"Chronic illness experiences often interfere with daily functioning (a concept known as illness intrusiveness) and health-related quality of life (HRQoL). However, less is known about the role of specific symptoms in predicting illness intrusiveness in sickle cell disease (SCD). This exploratory study examined associations between common SCD-related symptoms (i.e., pain, fatigue, depression, and anxiety), illness intrusiveness, and HRQoL among adults with SCD (n</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60). Illness intrusiveness significantly correlated with fatigue severity (r</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.39,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.002), depression severity (r</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.45,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&lt;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.001), anxiety severity (r</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.41,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.001), physical HRQoL (r</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ptos Display" w:eastAsiaTheme="minorHAnsi" w:hAnsi="Aptos Display" w:cs="Aptos Display"/>
                <w:kern w:val="2"/>
                <w:sz w:val="18"/>
                <w:szCs w:val="18"/>
                <w:lang w:eastAsia="en-US"/>
              </w:rPr>
              <w:instrText> </w:instrText>
            </w:r>
            <w:r w:rsidR="00484A55">
              <w:rPr>
                <w:rFonts w:ascii="Aptos Display" w:eastAsiaTheme="minorHAnsi" w:hAnsi="Aptos Display" w:cstheme="minorBidi"/>
                <w:kern w:val="2"/>
                <w:sz w:val="18"/>
                <w:szCs w:val="18"/>
                <w:lang w:eastAsia="en-US"/>
              </w:rPr>
              <w:instrText>.53,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&lt;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.001), and mental HRQoL (r</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ptos Display" w:eastAsiaTheme="minorHAnsi" w:hAnsi="Aptos Display" w:cs="Aptos Display"/>
                <w:kern w:val="2"/>
                <w:sz w:val="18"/>
                <w:szCs w:val="18"/>
                <w:lang w:eastAsia="en-US"/>
              </w:rPr>
              <w:instrText> </w:instrText>
            </w:r>
            <w:r w:rsidR="00484A55">
              <w:rPr>
                <w:rFonts w:ascii="Aptos Display" w:eastAsiaTheme="minorHAnsi" w:hAnsi="Aptos Display" w:cstheme="minorBidi"/>
                <w:kern w:val="2"/>
                <w:sz w:val="18"/>
                <w:szCs w:val="18"/>
                <w:lang w:eastAsia="en-US"/>
              </w:rPr>
              <w:instrText>.44,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&lt;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.001). Multiple regression revealed a significant overall model, (R2</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.28, F(4, 55)</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5.21,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.001), with fatigue, but not pain, depression, or anxiety, significantly predicting illness intrusiveness (</w:instrText>
            </w:r>
            <w:r w:rsidR="00484A55">
              <w:rPr>
                <w:rFonts w:ascii="Aptos Display" w:eastAsiaTheme="minorHAnsi" w:hAnsi="Aptos Display" w:cs="Aptos Display"/>
                <w:kern w:val="2"/>
                <w:sz w:val="18"/>
                <w:szCs w:val="18"/>
                <w:lang w:eastAsia="en-US"/>
              </w:rPr>
              <w:instrText>β</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.29, p</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w:instrText>
            </w:r>
            <w:r w:rsidR="00484A55">
              <w:rPr>
                <w:rFonts w:ascii="Arial" w:eastAsiaTheme="minorHAnsi" w:hAnsi="Arial" w:cs="Arial"/>
                <w:kern w:val="2"/>
                <w:sz w:val="18"/>
                <w:szCs w:val="18"/>
                <w:lang w:eastAsia="en-US"/>
              </w:rPr>
              <w:instrText> </w:instrText>
            </w:r>
            <w:r w:rsidR="00484A55">
              <w:rPr>
                <w:rFonts w:ascii="Aptos Display" w:eastAsiaTheme="minorHAnsi" w:hAnsi="Aptos Display" w:cstheme="minorBidi"/>
                <w:kern w:val="2"/>
                <w:sz w:val="18"/>
                <w:szCs w:val="18"/>
                <w:lang w:eastAsia="en-US"/>
              </w:rPr>
              <w:instrText xml:space="preserve">.036). Results suggest that fatigue may be a primary factor contributing to illness intrusiveness-a determinant of HRQoL-in individuals with SCD. Given the limited sample size, larger confirmatory studies are warranted.","container-title":"Journal of Clinical Psychology in Medical Settings","DOI":"10.1007/s10880-023-09950-8","ISSN":"1573-3572","issue":"4","journalAbbreviation":"J Clin Psychol Med Settings","language":"eng","note":"PMID: 36881316","page":"866-875","source":"PubMed","title":"Illness Intrusiveness in Adults with Sickle Cell Disease: The Role of Fatigue","title-short":"Illness Intrusiveness in Adults with Sickle Cell Disease","volume":"30","author":[{"family":"McGill","given":"Lakeya S."},{"family":"Hughes","given":"Abbey J."},{"family":"Carroll","given":"C. Patrick"},{"family":"Bediako","given":"Shawn M."}],"issued":{"date-parts":[["2023",12]]}}}],"schema":"https://github.com/citation-style-language/schema/raw/master/csl-citation.json"}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(10)</w:t>
            </w:r>
            <w:r w:rsidRPr="00311360">
              <w:rPr>
                <w:rFonts w:ascii="Aptos Display" w:eastAsiaTheme="minorHAnsi" w:hAnsi="Aptos Display" w:cstheme="minorBidi"/>
                <w:kern w:val="2"/>
                <w:sz w:val="18"/>
                <w:szCs w:val="18"/>
                <w:lang w:eastAsia="en-US"/>
              </w:rPr>
              <w:fldChar w:fldCharType="end"/>
            </w:r>
          </w:p>
        </w:tc>
        <w:tc>
          <w:tcPr>
            <w:tcW w:w="849" w:type="dxa"/>
          </w:tcPr>
          <w:p w14:paraId="2390087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Pr>
          <w:p w14:paraId="67A25C9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Pr>
          <w:p w14:paraId="5AC68A4E"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Adults</w:t>
            </w:r>
          </w:p>
        </w:tc>
        <w:tc>
          <w:tcPr>
            <w:tcW w:w="988" w:type="dxa"/>
          </w:tcPr>
          <w:p w14:paraId="0DB4CBCC"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Range: 18–69 </w:t>
            </w:r>
          </w:p>
        </w:tc>
        <w:tc>
          <w:tcPr>
            <w:tcW w:w="855" w:type="dxa"/>
          </w:tcPr>
          <w:p w14:paraId="6BFB157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60</w:t>
            </w:r>
          </w:p>
        </w:tc>
        <w:tc>
          <w:tcPr>
            <w:tcW w:w="846" w:type="dxa"/>
          </w:tcPr>
          <w:p w14:paraId="1A72831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69.5</w:t>
            </w:r>
          </w:p>
        </w:tc>
        <w:tc>
          <w:tcPr>
            <w:tcW w:w="1134" w:type="dxa"/>
          </w:tcPr>
          <w:p w14:paraId="361AF61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Sβ0:64.4%.</w:t>
            </w:r>
          </w:p>
        </w:tc>
        <w:tc>
          <w:tcPr>
            <w:tcW w:w="1559" w:type="dxa"/>
          </w:tcPr>
          <w:p w14:paraId="4360E006"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Patients treated or not with HU, recruited from community organisations and academic medical </w:t>
            </w:r>
            <w:r w:rsidRPr="00311360">
              <w:rPr>
                <w:rFonts w:ascii="Aptos Display" w:eastAsiaTheme="minorHAnsi" w:hAnsi="Aptos Display" w:cstheme="minorBidi"/>
                <w:kern w:val="2"/>
                <w:sz w:val="18"/>
                <w:szCs w:val="18"/>
                <w:lang w:eastAsia="en-US"/>
              </w:rPr>
              <w:lastRenderedPageBreak/>
              <w:t>centres.</w:t>
            </w:r>
          </w:p>
          <w:p w14:paraId="767F1B12"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134" w:type="dxa"/>
          </w:tcPr>
          <w:p w14:paraId="053E7A0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The Fatigue Severity Subscale of the Brief Fatigue Inventory </w:t>
            </w:r>
            <w:r w:rsidRPr="00311360">
              <w:rPr>
                <w:rFonts w:ascii="Aptos Display" w:eastAsiaTheme="minorHAnsi" w:hAnsi="Aptos Display" w:cstheme="minorBidi"/>
                <w:kern w:val="2"/>
                <w:sz w:val="18"/>
                <w:szCs w:val="18"/>
                <w:lang w:eastAsia="en-US"/>
              </w:rPr>
              <w:lastRenderedPageBreak/>
              <w:t>(BFI) – 3 items</w:t>
            </w:r>
          </w:p>
        </w:tc>
        <w:tc>
          <w:tcPr>
            <w:tcW w:w="1559" w:type="dxa"/>
          </w:tcPr>
          <w:p w14:paraId="48DC150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 xml:space="preserve">Illness intrusiveness, </w:t>
            </w:r>
          </w:p>
          <w:p w14:paraId="3E1F1651"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Pain severity,</w:t>
            </w:r>
          </w:p>
          <w:p w14:paraId="49A7EF6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Depressive symptoms, </w:t>
            </w:r>
          </w:p>
          <w:p w14:paraId="4A9905CF"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Anxiety symptoms,</w:t>
            </w:r>
          </w:p>
          <w:p w14:paraId="6B80AE8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HRQOL.</w:t>
            </w:r>
          </w:p>
          <w:p w14:paraId="42B4C3E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p>
        </w:tc>
        <w:tc>
          <w:tcPr>
            <w:tcW w:w="1276" w:type="dxa"/>
          </w:tcPr>
          <w:p w14:paraId="2BCBE11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lastRenderedPageBreak/>
              <w:t>Fatigue as primary outcome measure</w:t>
            </w:r>
          </w:p>
        </w:tc>
      </w:tr>
      <w:tr w:rsidR="00C72D10" w:rsidRPr="00311360" w14:paraId="68AB946D" w14:textId="77777777" w:rsidTr="003F4F9E">
        <w:trPr>
          <w:jc w:val="center"/>
        </w:trPr>
        <w:tc>
          <w:tcPr>
            <w:tcW w:w="1129" w:type="dxa"/>
            <w:tcBorders>
              <w:bottom w:val="single" w:sz="4" w:space="0" w:color="auto"/>
            </w:tcBorders>
          </w:tcPr>
          <w:p w14:paraId="79740D43" w14:textId="6739F644"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fldChar w:fldCharType="begin"/>
            </w:r>
            <w:r w:rsidR="00484A55">
              <w:rPr>
                <w:rFonts w:ascii="Aptos Display" w:eastAsiaTheme="minorHAnsi" w:hAnsi="Aptos Display" w:cstheme="minorBidi"/>
                <w:kern w:val="2"/>
                <w:sz w:val="18"/>
                <w:szCs w:val="18"/>
                <w:lang w:eastAsia="en-US"/>
              </w:rPr>
              <w:instrText xml:space="preserve"> ADDIN ZOTERO_ITEM CSL_CITATION {"citationID":"SYTjL6c0","properties":{"formattedCitation":"(65)","plainCitation":"(65)","noteIndex":0},"citationItems":[{"id":1029,"uris":["http://zotero.org/users/7449321/items/PJC2T53Z"],"itemData":{"id":1029,"type":"article-journal","abstract":"Background\nPain is a common, debilitating, and poorly understood complication of sickle cell disease (SCD). The need for clinical pain management of SCD is largely unmet and relies on opioids as the main therapeutic option, which leads to a decreased quality of life (QoL). According to the literature, acupuncture has shown certain therapeutic effects for pain management in SCD. However, these clinical studies lack the guidance of Traditional Chinese Medicine (TCM) Syndrome Differentiation principles for treatment.\n\nAim\nTo characterize differences in clinical presentation amongst TCM diagnosed Syndromes in SCD patients.\n\nMethod\nFifty-two patients with SCD and 28 age- and sex-matched healthy controls (HCs) were enrolled in an ongoing trial of acupuncture. Each participant completed a series of questionnaires on pain, physical function, fatigue, sleep, anxiety, depression and QoL and underwent cold- and pressure-based quantitative sensory testing at baseline. Data on prescription opioid use over the 12 months prior to study enrollment was used to calculate mean daily morphine milligram equivalents (MME). Differences among the three TCM Syndromes were analyzed by one-way ANOVA followed by Tukey post hoc testing. Two-sample t-tests were used to compare SCD and HC groups.\n\nResults\nTCM diagnosis criteria classified SCD patients into one of three TCM Syndromes: (a) Equal; (b) Deficiency; and (c) Stagnation. The Stagnation group exhibited higher pain interference, physical dysfunction, nociplastic pain, fatigue, anxiety, depression, MME consumption and lower sleep quality and QoL compared to the Equal group. Few differences were observed between HCs and the Equal SCD group across outcomes. Deficiency and Stagnation groups were differentiated with observed- and patient-reported clinical manifestations.\n\nConclusion\nThese findings suggest that TCM diagnosed Syndromes in SCD can be differentially characterized using validated objective and patient-reported outcomes. Because characteristics of pain and co-morbidities in each SCD patient are unique, targeting specific TCM “Syndromes” may facilitate treatment effectiveness with a Syndrome-based personalized treatment plan that conforms to TCM principles. These findings lay the foundation for the development of tailored acupuncture interventions based on TCM Syndromes for managing pain in SCD. Larger samples are required to further refine and validate TCM diagnostic criteria for SCD.","container-title":"Frontiers in Pain Research","DOI":"10.3389/fpain.2023.1233293","ISSN":"2673-561X","journalAbbreviation":"Front Pain Res (Lausanne)","note":"PMID: 38249565\nPMCID: PMC10796810","page":"1233293","source":"PubMed Central","title":"Differential clinical characteristics across traditional Chinese medicine (TCM) Syndromes in patients with sickle cell disease","volume":"4","author":[{"family":"Wang","given":"Ying"},{"family":"Wang","given":"David D."},{"family":"Pucka","given":"Andrew Q."},{"family":"O’Brien","given":"Andrew R. W."},{"family":"Harte","given":"Steven E."},{"family":"Harris","given":"Richard E."}],"issued":{"date-parts":[["2024",1,5]]}}}],"schema":"https://github.com/citation-style-language/schema/raw/master/csl-citation.json"} </w:instrText>
            </w:r>
            <w:r w:rsidRPr="00311360">
              <w:rPr>
                <w:rFonts w:ascii="Aptos Display" w:eastAsiaTheme="minorHAnsi" w:hAnsi="Aptos Display" w:cstheme="minorBidi"/>
                <w:kern w:val="2"/>
                <w:sz w:val="18"/>
                <w:szCs w:val="18"/>
                <w:lang w:eastAsia="en-US"/>
              </w:rPr>
              <w:fldChar w:fldCharType="separate"/>
            </w:r>
            <w:r w:rsidR="00484A55" w:rsidRPr="00484A55">
              <w:rPr>
                <w:rFonts w:ascii="Aptos Display" w:hAnsi="Aptos Display"/>
                <w:sz w:val="18"/>
              </w:rPr>
              <w:t>(65)</w:t>
            </w:r>
            <w:r w:rsidRPr="00311360">
              <w:rPr>
                <w:rFonts w:ascii="Aptos Display" w:eastAsiaTheme="minorHAnsi" w:hAnsi="Aptos Display" w:cstheme="minorBidi"/>
                <w:kern w:val="2"/>
                <w:sz w:val="18"/>
                <w:szCs w:val="18"/>
                <w:lang w:eastAsia="en-US"/>
              </w:rPr>
              <w:fldChar w:fldCharType="end"/>
            </w:r>
          </w:p>
        </w:tc>
        <w:tc>
          <w:tcPr>
            <w:tcW w:w="849" w:type="dxa"/>
            <w:tcBorders>
              <w:bottom w:val="single" w:sz="4" w:space="0" w:color="auto"/>
            </w:tcBorders>
          </w:tcPr>
          <w:p w14:paraId="742DAC89"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USA</w:t>
            </w:r>
          </w:p>
        </w:tc>
        <w:tc>
          <w:tcPr>
            <w:tcW w:w="991" w:type="dxa"/>
            <w:tcBorders>
              <w:bottom w:val="single" w:sz="4" w:space="0" w:color="auto"/>
            </w:tcBorders>
          </w:tcPr>
          <w:p w14:paraId="174104E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Cross-sectional</w:t>
            </w:r>
          </w:p>
        </w:tc>
        <w:tc>
          <w:tcPr>
            <w:tcW w:w="1000" w:type="dxa"/>
            <w:tcBorders>
              <w:bottom w:val="single" w:sz="4" w:space="0" w:color="auto"/>
            </w:tcBorders>
          </w:tcPr>
          <w:p w14:paraId="3464B7A7"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Adolescents/Adults</w:t>
            </w:r>
          </w:p>
        </w:tc>
        <w:tc>
          <w:tcPr>
            <w:tcW w:w="988" w:type="dxa"/>
            <w:tcBorders>
              <w:bottom w:val="single" w:sz="4" w:space="0" w:color="auto"/>
            </w:tcBorders>
          </w:tcPr>
          <w:p w14:paraId="16E656F0"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Range: 14–73</w:t>
            </w:r>
          </w:p>
        </w:tc>
        <w:tc>
          <w:tcPr>
            <w:tcW w:w="855" w:type="dxa"/>
            <w:tcBorders>
              <w:bottom w:val="single" w:sz="4" w:space="0" w:color="auto"/>
            </w:tcBorders>
          </w:tcPr>
          <w:p w14:paraId="1DA203C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52</w:t>
            </w:r>
          </w:p>
        </w:tc>
        <w:tc>
          <w:tcPr>
            <w:tcW w:w="846" w:type="dxa"/>
            <w:tcBorders>
              <w:bottom w:val="single" w:sz="4" w:space="0" w:color="auto"/>
            </w:tcBorders>
          </w:tcPr>
          <w:p w14:paraId="6B78249D"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51.9</w:t>
            </w:r>
          </w:p>
        </w:tc>
        <w:tc>
          <w:tcPr>
            <w:tcW w:w="1134" w:type="dxa"/>
            <w:tcBorders>
              <w:bottom w:val="single" w:sz="4" w:space="0" w:color="auto"/>
            </w:tcBorders>
          </w:tcPr>
          <w:p w14:paraId="7B2178C4"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SS or Sβ0:63.5%, SC: 26.9%, Sβ+ thalassaemia: 9.6%.</w:t>
            </w:r>
          </w:p>
        </w:tc>
        <w:tc>
          <w:tcPr>
            <w:tcW w:w="1559" w:type="dxa"/>
            <w:tcBorders>
              <w:bottom w:val="single" w:sz="4" w:space="0" w:color="auto"/>
            </w:tcBorders>
          </w:tcPr>
          <w:p w14:paraId="4E23006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Patients diagnosed with traditional Chinese medicine (TCM) and experiencing chronic pain in the past 6 months or at least one VOC in the past 12 months.</w:t>
            </w:r>
          </w:p>
        </w:tc>
        <w:tc>
          <w:tcPr>
            <w:tcW w:w="1134" w:type="dxa"/>
            <w:tcBorders>
              <w:bottom w:val="single" w:sz="4" w:space="0" w:color="auto"/>
            </w:tcBorders>
          </w:tcPr>
          <w:p w14:paraId="2FD31303"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MFI</w:t>
            </w:r>
          </w:p>
        </w:tc>
        <w:tc>
          <w:tcPr>
            <w:tcW w:w="1559" w:type="dxa"/>
            <w:tcBorders>
              <w:bottom w:val="single" w:sz="4" w:space="0" w:color="auto"/>
            </w:tcBorders>
          </w:tcPr>
          <w:p w14:paraId="4F8D1848" w14:textId="77777777" w:rsidR="00C72D10" w:rsidRPr="00311360" w:rsidRDefault="00C72D10" w:rsidP="003F4F9E">
            <w:pPr>
              <w:numPr>
                <w:ilvl w:val="0"/>
                <w:numId w:val="13"/>
              </w:numPr>
              <w:contextualSpacing/>
              <w:jc w:val="left"/>
              <w:textAlignment w:val="auto"/>
              <w:rPr>
                <w:rFonts w:ascii="Aptos Display" w:eastAsiaTheme="minorHAnsi" w:hAnsi="Aptos Display" w:cstheme="minorBidi"/>
                <w:kern w:val="2"/>
                <w:sz w:val="18"/>
                <w:szCs w:val="18"/>
                <w:lang w:eastAsia="en-US"/>
              </w:rPr>
            </w:pPr>
          </w:p>
        </w:tc>
        <w:tc>
          <w:tcPr>
            <w:tcW w:w="1276" w:type="dxa"/>
            <w:tcBorders>
              <w:bottom w:val="single" w:sz="4" w:space="0" w:color="auto"/>
            </w:tcBorders>
          </w:tcPr>
          <w:p w14:paraId="72E952DA"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Fatigue as</w:t>
            </w:r>
          </w:p>
          <w:p w14:paraId="7C1C6715" w14:textId="77777777" w:rsidR="00C72D10" w:rsidRPr="00311360" w:rsidRDefault="00C72D10" w:rsidP="003F4F9E">
            <w:pPr>
              <w:ind w:firstLine="0"/>
              <w:jc w:val="left"/>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lang w:eastAsia="en-US"/>
              </w:rPr>
              <w:t xml:space="preserve">secondary outcome measure </w:t>
            </w:r>
          </w:p>
        </w:tc>
      </w:tr>
    </w:tbl>
    <w:bookmarkEnd w:id="0"/>
    <w:p w14:paraId="196A06EC" w14:textId="77777777" w:rsidR="00C72D10" w:rsidRPr="00311360" w:rsidRDefault="00C72D10" w:rsidP="00C72D10">
      <w:pPr>
        <w:spacing w:after="0" w:line="240" w:lineRule="auto"/>
        <w:ind w:firstLine="0"/>
        <w:textAlignment w:val="auto"/>
        <w:rPr>
          <w:rFonts w:ascii="Aptos Display" w:eastAsiaTheme="minorHAnsi" w:hAnsi="Aptos Display" w:cstheme="minorBidi"/>
          <w:kern w:val="2"/>
          <w:sz w:val="18"/>
          <w:szCs w:val="18"/>
          <w:lang w:eastAsia="en-US"/>
        </w:rPr>
      </w:pPr>
      <w:r w:rsidRPr="00311360">
        <w:rPr>
          <w:rFonts w:ascii="Aptos Display" w:eastAsiaTheme="minorHAnsi" w:hAnsi="Aptos Display" w:cstheme="minorBidi"/>
          <w:kern w:val="2"/>
          <w:sz w:val="18"/>
          <w:szCs w:val="18"/>
          <w:u w:val="single"/>
          <w:lang w:eastAsia="en-US"/>
        </w:rPr>
        <w:t>Note</w:t>
      </w:r>
      <w:r w:rsidRPr="00311360">
        <w:rPr>
          <w:rFonts w:ascii="Aptos Display" w:eastAsiaTheme="minorHAnsi" w:hAnsi="Aptos Display" w:cstheme="minorBidi"/>
          <w:kern w:val="2"/>
          <w:sz w:val="18"/>
          <w:szCs w:val="18"/>
          <w:lang w:eastAsia="en-US"/>
        </w:rPr>
        <w:t xml:space="preserve">. </w:t>
      </w:r>
      <w:r w:rsidRPr="00311360">
        <w:rPr>
          <w:rFonts w:ascii="Aptos Display" w:eastAsiaTheme="minorHAnsi" w:hAnsi="Aptos Display" w:cstheme="minorBidi"/>
          <w:b/>
          <w:bCs/>
          <w:kern w:val="2"/>
          <w:sz w:val="18"/>
          <w:szCs w:val="18"/>
          <w:lang w:eastAsia="en-US"/>
        </w:rPr>
        <w:t>*</w:t>
      </w:r>
      <w:r w:rsidRPr="00311360">
        <w:rPr>
          <w:rFonts w:ascii="Aptos Display" w:eastAsiaTheme="minorHAnsi" w:hAnsi="Aptos Display" w:cstheme="minorBidi"/>
          <w:kern w:val="2"/>
          <w:sz w:val="18"/>
          <w:szCs w:val="18"/>
          <w:lang w:eastAsia="en-US"/>
        </w:rPr>
        <w:t xml:space="preserve">self-report only; </w:t>
      </w:r>
      <w:r w:rsidRPr="00311360">
        <w:rPr>
          <w:rFonts w:ascii="Aptos Display" w:eastAsiaTheme="minorHAnsi" w:hAnsi="Aptos Display" w:cstheme="minorBidi"/>
          <w:b/>
          <w:bCs/>
          <w:kern w:val="2"/>
          <w:sz w:val="18"/>
          <w:szCs w:val="18"/>
          <w:vertAlign w:val="superscript"/>
          <w:lang w:eastAsia="en-US"/>
        </w:rPr>
        <w:t xml:space="preserve">a </w:t>
      </w:r>
      <w:r w:rsidRPr="00311360">
        <w:rPr>
          <w:rFonts w:ascii="Aptos Display" w:eastAsiaTheme="minorHAnsi" w:hAnsi="Aptos Display" w:cstheme="minorBidi"/>
          <w:kern w:val="2"/>
          <w:sz w:val="18"/>
          <w:szCs w:val="18"/>
          <w:lang w:eastAsia="en-US"/>
        </w:rPr>
        <w:t>problem in reported statistics.</w:t>
      </w:r>
    </w:p>
    <w:p w14:paraId="13983FBD" w14:textId="77777777" w:rsidR="00C72D10" w:rsidRPr="00311360" w:rsidRDefault="00C72D10" w:rsidP="00C72D10">
      <w:pPr>
        <w:spacing w:after="0" w:line="240" w:lineRule="auto"/>
        <w:ind w:firstLine="0"/>
        <w:textAlignment w:val="auto"/>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b/>
          <w:bCs/>
          <w:i/>
          <w:iCs/>
          <w:kern w:val="2"/>
          <w:sz w:val="18"/>
          <w:szCs w:val="18"/>
          <w:lang w:eastAsia="en-US"/>
        </w:rPr>
        <w:t>PedsQL™ MFS</w:t>
      </w:r>
      <w:r w:rsidRPr="00311360">
        <w:rPr>
          <w:rFonts w:ascii="Aptos Display" w:eastAsiaTheme="minorHAnsi" w:hAnsi="Aptos Display" w:cstheme="minorBidi"/>
          <w:i/>
          <w:iCs/>
          <w:kern w:val="2"/>
          <w:sz w:val="18"/>
          <w:szCs w:val="18"/>
          <w:lang w:eastAsia="en-US"/>
        </w:rPr>
        <w:t xml:space="preserve">: Pediatric Quality of Life Multidimensional Fatigue Scale, </w:t>
      </w:r>
      <w:r w:rsidRPr="00311360">
        <w:rPr>
          <w:rFonts w:ascii="Aptos Display" w:eastAsiaTheme="minorHAnsi" w:hAnsi="Aptos Display" w:cstheme="minorBidi"/>
          <w:b/>
          <w:bCs/>
          <w:i/>
          <w:iCs/>
          <w:kern w:val="2"/>
          <w:sz w:val="18"/>
          <w:szCs w:val="18"/>
          <w:lang w:eastAsia="en-US"/>
        </w:rPr>
        <w:t>PROMIS</w:t>
      </w:r>
      <w:r w:rsidRPr="00311360">
        <w:rPr>
          <w:rFonts w:ascii="Aptos Display" w:eastAsiaTheme="minorHAnsi" w:hAnsi="Aptos Display" w:cstheme="minorBidi"/>
          <w:i/>
          <w:iCs/>
          <w:kern w:val="2"/>
          <w:sz w:val="18"/>
          <w:szCs w:val="18"/>
          <w:lang w:eastAsia="en-US"/>
        </w:rPr>
        <w:t xml:space="preserve">: Patient-Reported Outcomes Measurement Information System; </w:t>
      </w:r>
      <w:r w:rsidRPr="00311360">
        <w:rPr>
          <w:rFonts w:ascii="Aptos Display" w:eastAsiaTheme="minorHAnsi" w:hAnsi="Aptos Display" w:cstheme="minorBidi"/>
          <w:b/>
          <w:bCs/>
          <w:i/>
          <w:iCs/>
          <w:kern w:val="2"/>
          <w:sz w:val="18"/>
          <w:szCs w:val="18"/>
          <w:lang w:eastAsia="en-US"/>
        </w:rPr>
        <w:t>SF</w:t>
      </w:r>
      <w:r w:rsidRPr="00311360">
        <w:rPr>
          <w:rFonts w:ascii="Aptos Display" w:eastAsiaTheme="minorHAnsi" w:hAnsi="Aptos Display" w:cstheme="minorBidi"/>
          <w:i/>
          <w:iCs/>
          <w:kern w:val="2"/>
          <w:sz w:val="18"/>
          <w:szCs w:val="18"/>
          <w:lang w:eastAsia="en-US"/>
        </w:rPr>
        <w:t xml:space="preserve">: Short Form; </w:t>
      </w:r>
      <w:r w:rsidRPr="00311360">
        <w:rPr>
          <w:rFonts w:ascii="Aptos Display" w:eastAsiaTheme="minorHAnsi" w:hAnsi="Aptos Display" w:cstheme="minorBidi"/>
          <w:b/>
          <w:bCs/>
          <w:i/>
          <w:iCs/>
          <w:kern w:val="2"/>
          <w:sz w:val="18"/>
          <w:szCs w:val="18"/>
          <w:lang w:eastAsia="en-US"/>
        </w:rPr>
        <w:t>CAT</w:t>
      </w:r>
      <w:r w:rsidRPr="00311360">
        <w:rPr>
          <w:rFonts w:ascii="Aptos Display" w:eastAsiaTheme="minorHAnsi" w:hAnsi="Aptos Display" w:cstheme="minorBidi"/>
          <w:i/>
          <w:iCs/>
          <w:kern w:val="2"/>
          <w:sz w:val="18"/>
          <w:szCs w:val="18"/>
          <w:lang w:eastAsia="en-US"/>
        </w:rPr>
        <w:t xml:space="preserve">: Computerised Adaptive Testing; </w:t>
      </w:r>
      <w:r w:rsidRPr="00311360">
        <w:rPr>
          <w:rFonts w:ascii="Aptos Display" w:eastAsiaTheme="minorHAnsi" w:hAnsi="Aptos Display" w:cstheme="minorBidi"/>
          <w:b/>
          <w:bCs/>
          <w:i/>
          <w:iCs/>
          <w:kern w:val="2"/>
          <w:sz w:val="18"/>
          <w:szCs w:val="18"/>
          <w:lang w:eastAsia="en-US"/>
        </w:rPr>
        <w:t>BFI</w:t>
      </w:r>
      <w:r w:rsidRPr="00311360">
        <w:rPr>
          <w:rFonts w:ascii="Aptos Display" w:eastAsiaTheme="minorHAnsi" w:hAnsi="Aptos Display" w:cstheme="minorBidi"/>
          <w:i/>
          <w:iCs/>
          <w:kern w:val="2"/>
          <w:sz w:val="18"/>
          <w:szCs w:val="18"/>
          <w:lang w:eastAsia="en-US"/>
        </w:rPr>
        <w:t xml:space="preserve">: Brief Fatigue Inventory; </w:t>
      </w:r>
      <w:r w:rsidRPr="00311360">
        <w:rPr>
          <w:rFonts w:ascii="Aptos Display" w:eastAsiaTheme="minorHAnsi" w:hAnsi="Aptos Display" w:cstheme="minorBidi"/>
          <w:b/>
          <w:bCs/>
          <w:i/>
          <w:iCs/>
          <w:kern w:val="2"/>
          <w:sz w:val="18"/>
          <w:szCs w:val="18"/>
          <w:lang w:eastAsia="en-US"/>
        </w:rPr>
        <w:t>FSS</w:t>
      </w:r>
      <w:r w:rsidRPr="00311360">
        <w:rPr>
          <w:rFonts w:ascii="Aptos Display" w:eastAsiaTheme="minorHAnsi" w:hAnsi="Aptos Display" w:cstheme="minorBidi"/>
          <w:i/>
          <w:iCs/>
          <w:kern w:val="2"/>
          <w:sz w:val="18"/>
          <w:szCs w:val="18"/>
          <w:lang w:eastAsia="en-US"/>
        </w:rPr>
        <w:t xml:space="preserve">: Fatigue Severity Scale; </w:t>
      </w:r>
      <w:r w:rsidRPr="00311360">
        <w:rPr>
          <w:rFonts w:ascii="Aptos Display" w:eastAsiaTheme="minorHAnsi" w:hAnsi="Aptos Display" w:cstheme="minorBidi"/>
          <w:b/>
          <w:bCs/>
          <w:i/>
          <w:iCs/>
          <w:kern w:val="2"/>
          <w:sz w:val="18"/>
          <w:szCs w:val="18"/>
          <w:lang w:eastAsia="en-US"/>
        </w:rPr>
        <w:t>MFI</w:t>
      </w:r>
      <w:r w:rsidRPr="00311360">
        <w:rPr>
          <w:rFonts w:ascii="Aptos Display" w:eastAsiaTheme="minorHAnsi" w:hAnsi="Aptos Display" w:cstheme="minorBidi"/>
          <w:i/>
          <w:iCs/>
          <w:kern w:val="2"/>
          <w:sz w:val="18"/>
          <w:szCs w:val="18"/>
          <w:lang w:eastAsia="en-US"/>
        </w:rPr>
        <w:t xml:space="preserve">: Multidimensional Fatigue Inventory, </w:t>
      </w:r>
      <w:r w:rsidRPr="00311360">
        <w:rPr>
          <w:rFonts w:ascii="Aptos Display" w:eastAsiaTheme="minorHAnsi" w:hAnsi="Aptos Display" w:cstheme="minorBidi"/>
          <w:b/>
          <w:bCs/>
          <w:i/>
          <w:iCs/>
          <w:kern w:val="2"/>
          <w:sz w:val="18"/>
          <w:szCs w:val="18"/>
          <w:lang w:eastAsia="en-US"/>
        </w:rPr>
        <w:t>MFSI-SF</w:t>
      </w:r>
      <w:r w:rsidRPr="00311360">
        <w:rPr>
          <w:rFonts w:ascii="Aptos Display" w:eastAsiaTheme="minorHAnsi" w:hAnsi="Aptos Display" w:cstheme="minorBidi"/>
          <w:i/>
          <w:iCs/>
          <w:kern w:val="2"/>
          <w:sz w:val="18"/>
          <w:szCs w:val="18"/>
          <w:lang w:eastAsia="en-US"/>
        </w:rPr>
        <w:t>: Multidimensional Fatigue Symptom Inventory</w:t>
      </w:r>
      <w:r w:rsidRPr="00311360">
        <w:rPr>
          <w:rFonts w:ascii="Arial" w:eastAsiaTheme="minorHAnsi" w:hAnsi="Arial" w:cs="Arial"/>
          <w:i/>
          <w:iCs/>
          <w:kern w:val="2"/>
          <w:sz w:val="18"/>
          <w:szCs w:val="18"/>
          <w:lang w:eastAsia="en-US"/>
        </w:rPr>
        <w:t> </w:t>
      </w:r>
      <w:r w:rsidRPr="00311360">
        <w:rPr>
          <w:rFonts w:ascii="Aptos Display" w:eastAsiaTheme="minorHAnsi" w:hAnsi="Aptos Display" w:cs="Aptos Display"/>
          <w:i/>
          <w:iCs/>
          <w:kern w:val="2"/>
          <w:sz w:val="18"/>
          <w:szCs w:val="18"/>
          <w:lang w:eastAsia="en-US"/>
        </w:rPr>
        <w:t>–</w:t>
      </w:r>
      <w:r w:rsidRPr="00311360">
        <w:rPr>
          <w:rFonts w:ascii="Arial" w:eastAsiaTheme="minorHAnsi" w:hAnsi="Arial" w:cs="Arial"/>
          <w:i/>
          <w:iCs/>
          <w:kern w:val="2"/>
          <w:sz w:val="18"/>
          <w:szCs w:val="18"/>
          <w:lang w:eastAsia="en-US"/>
        </w:rPr>
        <w:t> </w:t>
      </w:r>
      <w:r w:rsidRPr="00311360">
        <w:rPr>
          <w:rFonts w:ascii="Aptos Display" w:eastAsiaTheme="minorHAnsi" w:hAnsi="Aptos Display" w:cstheme="minorBidi"/>
          <w:i/>
          <w:iCs/>
          <w:kern w:val="2"/>
          <w:sz w:val="18"/>
          <w:szCs w:val="18"/>
          <w:lang w:eastAsia="en-US"/>
        </w:rPr>
        <w:t xml:space="preserve">Short Form, </w:t>
      </w:r>
      <w:r w:rsidRPr="00311360">
        <w:rPr>
          <w:rFonts w:ascii="Aptos Display" w:eastAsiaTheme="minorHAnsi" w:hAnsi="Aptos Display" w:cstheme="minorBidi"/>
          <w:b/>
          <w:bCs/>
          <w:i/>
          <w:iCs/>
          <w:kern w:val="2"/>
          <w:sz w:val="18"/>
          <w:szCs w:val="18"/>
          <w:lang w:eastAsia="en-US"/>
        </w:rPr>
        <w:t>HRQOL</w:t>
      </w:r>
      <w:r w:rsidRPr="00311360">
        <w:rPr>
          <w:rFonts w:ascii="Aptos Display" w:eastAsiaTheme="minorHAnsi" w:hAnsi="Aptos Display" w:cstheme="minorBidi"/>
          <w:i/>
          <w:iCs/>
          <w:kern w:val="2"/>
          <w:sz w:val="18"/>
          <w:szCs w:val="18"/>
          <w:lang w:eastAsia="en-US"/>
        </w:rPr>
        <w:t xml:space="preserve">: Health-related quality of life, </w:t>
      </w:r>
      <w:r w:rsidRPr="00311360">
        <w:rPr>
          <w:rFonts w:ascii="Aptos Display" w:eastAsiaTheme="minorHAnsi" w:hAnsi="Aptos Display" w:cstheme="minorBidi"/>
          <w:b/>
          <w:bCs/>
          <w:i/>
          <w:iCs/>
          <w:kern w:val="2"/>
          <w:sz w:val="18"/>
          <w:szCs w:val="18"/>
          <w:lang w:eastAsia="en-US"/>
        </w:rPr>
        <w:t>HU</w:t>
      </w:r>
      <w:r w:rsidRPr="00311360">
        <w:rPr>
          <w:rFonts w:ascii="Aptos Display" w:eastAsiaTheme="minorHAnsi" w:hAnsi="Aptos Display" w:cstheme="minorBidi"/>
          <w:i/>
          <w:iCs/>
          <w:kern w:val="2"/>
          <w:sz w:val="18"/>
          <w:szCs w:val="18"/>
          <w:lang w:eastAsia="en-US"/>
        </w:rPr>
        <w:t>: hydroxyurea/hydroxycarbamide</w:t>
      </w:r>
    </w:p>
    <w:p w14:paraId="0A0B7A9F" w14:textId="0CA4D836" w:rsidR="002F2F48" w:rsidRDefault="00C72D10" w:rsidP="00C72D10">
      <w:pPr>
        <w:tabs>
          <w:tab w:val="left" w:pos="4175"/>
        </w:tabs>
        <w:ind w:firstLine="0"/>
        <w:rPr>
          <w:rFonts w:ascii="Aptos Display" w:eastAsiaTheme="minorHAnsi" w:hAnsi="Aptos Display" w:cstheme="minorBidi"/>
          <w:i/>
          <w:iCs/>
          <w:kern w:val="2"/>
          <w:sz w:val="18"/>
          <w:szCs w:val="18"/>
          <w:lang w:eastAsia="en-US"/>
        </w:rPr>
      </w:pPr>
      <w:r w:rsidRPr="00311360">
        <w:rPr>
          <w:rFonts w:ascii="Aptos Display" w:eastAsiaTheme="minorHAnsi" w:hAnsi="Aptos Display" w:cstheme="minorBidi"/>
          <w:b/>
          <w:bCs/>
          <w:i/>
          <w:iCs/>
          <w:kern w:val="2"/>
          <w:sz w:val="18"/>
          <w:szCs w:val="18"/>
          <w:lang w:eastAsia="en-US"/>
        </w:rPr>
        <w:t>SD</w:t>
      </w:r>
      <w:r w:rsidRPr="00311360">
        <w:rPr>
          <w:rFonts w:ascii="Aptos Display" w:eastAsiaTheme="minorHAnsi" w:hAnsi="Aptos Display" w:cstheme="minorBidi"/>
          <w:i/>
          <w:iCs/>
          <w:kern w:val="2"/>
          <w:sz w:val="18"/>
          <w:szCs w:val="18"/>
          <w:lang w:eastAsia="en-US"/>
        </w:rPr>
        <w:t xml:space="preserve">: standard deviation, </w:t>
      </w:r>
      <w:r w:rsidRPr="00311360">
        <w:rPr>
          <w:rFonts w:ascii="Aptos Display" w:eastAsiaTheme="minorHAnsi" w:hAnsi="Aptos Display" w:cstheme="minorBidi"/>
          <w:b/>
          <w:bCs/>
          <w:i/>
          <w:iCs/>
          <w:kern w:val="2"/>
          <w:sz w:val="18"/>
          <w:szCs w:val="18"/>
          <w:lang w:eastAsia="en-US"/>
        </w:rPr>
        <w:t>SE</w:t>
      </w:r>
      <w:r w:rsidRPr="00311360">
        <w:rPr>
          <w:rFonts w:ascii="Aptos Display" w:eastAsiaTheme="minorHAnsi" w:hAnsi="Aptos Display" w:cstheme="minorBidi"/>
          <w:i/>
          <w:iCs/>
          <w:kern w:val="2"/>
          <w:sz w:val="18"/>
          <w:szCs w:val="18"/>
          <w:lang w:eastAsia="en-US"/>
        </w:rPr>
        <w:t xml:space="preserve">: standard error, </w:t>
      </w:r>
      <w:r w:rsidRPr="00311360">
        <w:rPr>
          <w:rFonts w:ascii="Aptos Display" w:eastAsiaTheme="minorHAnsi" w:hAnsi="Aptos Display" w:cstheme="minorBidi"/>
          <w:b/>
          <w:bCs/>
          <w:i/>
          <w:iCs/>
          <w:kern w:val="2"/>
          <w:sz w:val="18"/>
          <w:szCs w:val="18"/>
          <w:lang w:eastAsia="en-US"/>
        </w:rPr>
        <w:t>IQR</w:t>
      </w:r>
      <w:r w:rsidRPr="00311360">
        <w:rPr>
          <w:rFonts w:ascii="Aptos Display" w:eastAsiaTheme="minorHAnsi" w:hAnsi="Aptos Display" w:cstheme="minorBidi"/>
          <w:i/>
          <w:iCs/>
          <w:kern w:val="2"/>
          <w:sz w:val="18"/>
          <w:szCs w:val="18"/>
          <w:lang w:eastAsia="en-US"/>
        </w:rPr>
        <w:t>: interquartile range.</w:t>
      </w:r>
    </w:p>
    <w:p w14:paraId="4AF7E2E2" w14:textId="77777777" w:rsidR="002F2F48" w:rsidRDefault="002F2F48" w:rsidP="00C72D10">
      <w:pPr>
        <w:tabs>
          <w:tab w:val="left" w:pos="4175"/>
        </w:tabs>
        <w:ind w:firstLine="0"/>
        <w:rPr>
          <w:rFonts w:ascii="Aptos Display" w:eastAsiaTheme="minorHAnsi" w:hAnsi="Aptos Display" w:cstheme="minorBidi"/>
          <w:i/>
          <w:iCs/>
          <w:kern w:val="2"/>
          <w:sz w:val="18"/>
          <w:szCs w:val="18"/>
          <w:lang w:eastAsia="en-US"/>
        </w:rPr>
      </w:pPr>
    </w:p>
    <w:p w14:paraId="54DD9A17" w14:textId="77777777" w:rsidR="00601A3C" w:rsidRPr="00311360" w:rsidRDefault="00601A3C" w:rsidP="00601A3C">
      <w:pPr>
        <w:pStyle w:val="Caption"/>
        <w:keepNext/>
        <w:ind w:firstLine="0"/>
      </w:pPr>
      <w:r w:rsidRPr="00311360">
        <w:rPr>
          <w:b/>
          <w:bCs/>
        </w:rPr>
        <w:t>Table 5</w:t>
      </w:r>
      <w:r w:rsidRPr="00311360">
        <w:t>. Comparative Analysis of Reported Fatigue Scores</w:t>
      </w:r>
    </w:p>
    <w:tbl>
      <w:tblPr>
        <w:tblStyle w:val="TableGrid"/>
        <w:tblW w:w="15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3516"/>
        <w:gridCol w:w="1225"/>
        <w:gridCol w:w="3205"/>
        <w:gridCol w:w="851"/>
        <w:gridCol w:w="1119"/>
        <w:gridCol w:w="2467"/>
        <w:gridCol w:w="1667"/>
      </w:tblGrid>
      <w:tr w:rsidR="00601A3C" w:rsidRPr="00311360" w14:paraId="3786E112" w14:textId="77777777" w:rsidTr="003F4F9E">
        <w:trPr>
          <w:trHeight w:val="292"/>
        </w:trPr>
        <w:tc>
          <w:tcPr>
            <w:tcW w:w="9030" w:type="dxa"/>
            <w:gridSpan w:val="4"/>
            <w:tcBorders>
              <w:top w:val="single" w:sz="4" w:space="0" w:color="auto"/>
              <w:bottom w:val="single" w:sz="4" w:space="0" w:color="auto"/>
            </w:tcBorders>
            <w:noWrap/>
          </w:tcPr>
          <w:p w14:paraId="546D404B"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PROMIS Pediatric Fatigue Measures</w:t>
            </w:r>
          </w:p>
        </w:tc>
        <w:tc>
          <w:tcPr>
            <w:tcW w:w="6104" w:type="dxa"/>
            <w:gridSpan w:val="4"/>
            <w:tcBorders>
              <w:top w:val="single" w:sz="4" w:space="0" w:color="auto"/>
              <w:bottom w:val="single" w:sz="4" w:space="0" w:color="auto"/>
            </w:tcBorders>
            <w:noWrap/>
          </w:tcPr>
          <w:p w14:paraId="7E485236"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p>
        </w:tc>
      </w:tr>
      <w:tr w:rsidR="00601A3C" w:rsidRPr="00311360" w14:paraId="665C3142" w14:textId="77777777" w:rsidTr="003F4F9E">
        <w:trPr>
          <w:trHeight w:val="292"/>
        </w:trPr>
        <w:tc>
          <w:tcPr>
            <w:tcW w:w="1084" w:type="dxa"/>
            <w:tcBorders>
              <w:top w:val="single" w:sz="4" w:space="0" w:color="auto"/>
              <w:bottom w:val="single" w:sz="4" w:space="0" w:color="auto"/>
            </w:tcBorders>
            <w:noWrap/>
            <w:hideMark/>
          </w:tcPr>
          <w:p w14:paraId="4C754854"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4A64A1B8"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119CFC91"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4E920FA8"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546F76B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532A771D"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1F28808F"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6FD8AC70"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4CDCB7ED" w14:textId="77777777" w:rsidTr="003F4F9E">
        <w:trPr>
          <w:trHeight w:val="292"/>
        </w:trPr>
        <w:tc>
          <w:tcPr>
            <w:tcW w:w="1084" w:type="dxa"/>
            <w:tcBorders>
              <w:top w:val="single" w:sz="4" w:space="0" w:color="auto"/>
            </w:tcBorders>
            <w:noWrap/>
            <w:hideMark/>
          </w:tcPr>
          <w:p w14:paraId="79DA927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tcBorders>
              <w:top w:val="single" w:sz="4" w:space="0" w:color="auto"/>
            </w:tcBorders>
            <w:noWrap/>
            <w:hideMark/>
          </w:tcPr>
          <w:p w14:paraId="513178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tcBorders>
              <w:top w:val="single" w:sz="4" w:space="0" w:color="auto"/>
            </w:tcBorders>
            <w:noWrap/>
            <w:hideMark/>
          </w:tcPr>
          <w:p w14:paraId="71E508D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single" w:sz="4" w:space="0" w:color="auto"/>
            </w:tcBorders>
            <w:noWrap/>
            <w:hideMark/>
          </w:tcPr>
          <w:p w14:paraId="7A902E5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single" w:sz="4" w:space="0" w:color="auto"/>
            </w:tcBorders>
            <w:noWrap/>
            <w:hideMark/>
          </w:tcPr>
          <w:p w14:paraId="084F8A1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234</w:t>
            </w:r>
          </w:p>
        </w:tc>
        <w:tc>
          <w:tcPr>
            <w:tcW w:w="1119" w:type="dxa"/>
            <w:tcBorders>
              <w:top w:val="single" w:sz="4" w:space="0" w:color="auto"/>
            </w:tcBorders>
            <w:noWrap/>
            <w:hideMark/>
          </w:tcPr>
          <w:p w14:paraId="6E725CC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single" w:sz="4" w:space="0" w:color="auto"/>
            </w:tcBorders>
            <w:noWrap/>
            <w:hideMark/>
          </w:tcPr>
          <w:p w14:paraId="345DAA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single" w:sz="4" w:space="0" w:color="auto"/>
            </w:tcBorders>
            <w:noWrap/>
            <w:hideMark/>
          </w:tcPr>
          <w:p w14:paraId="0852002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46.7 (13.0)</w:t>
            </w:r>
          </w:p>
        </w:tc>
      </w:tr>
      <w:tr w:rsidR="00601A3C" w:rsidRPr="00311360" w14:paraId="20AC15E1" w14:textId="77777777" w:rsidTr="003F4F9E">
        <w:trPr>
          <w:trHeight w:val="292"/>
        </w:trPr>
        <w:tc>
          <w:tcPr>
            <w:tcW w:w="1084" w:type="dxa"/>
            <w:noWrap/>
            <w:hideMark/>
          </w:tcPr>
          <w:p w14:paraId="4A88DE2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7FC077C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15C105A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2902E68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6F53BE55"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7AB9C08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431C12C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8-11 years</w:t>
            </w:r>
          </w:p>
        </w:tc>
        <w:tc>
          <w:tcPr>
            <w:tcW w:w="1667" w:type="dxa"/>
            <w:noWrap/>
            <w:hideMark/>
          </w:tcPr>
          <w:p w14:paraId="270909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44.6 (14.4)</w:t>
            </w:r>
          </w:p>
        </w:tc>
      </w:tr>
      <w:tr w:rsidR="00601A3C" w:rsidRPr="00311360" w14:paraId="6489C749" w14:textId="77777777" w:rsidTr="003F4F9E">
        <w:trPr>
          <w:trHeight w:val="292"/>
        </w:trPr>
        <w:tc>
          <w:tcPr>
            <w:tcW w:w="1084" w:type="dxa"/>
            <w:noWrap/>
            <w:hideMark/>
          </w:tcPr>
          <w:p w14:paraId="04D0256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403740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22A6BA5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7146B4C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40931495"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6589788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65E2FD6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12-17 years</w:t>
            </w:r>
          </w:p>
        </w:tc>
        <w:tc>
          <w:tcPr>
            <w:tcW w:w="1667" w:type="dxa"/>
            <w:noWrap/>
            <w:hideMark/>
          </w:tcPr>
          <w:p w14:paraId="501F86F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48.0 (11.9)</w:t>
            </w:r>
          </w:p>
        </w:tc>
      </w:tr>
      <w:tr w:rsidR="00601A3C" w:rsidRPr="00311360" w14:paraId="4237C1DE" w14:textId="77777777" w:rsidTr="003F4F9E">
        <w:trPr>
          <w:trHeight w:val="292"/>
        </w:trPr>
        <w:tc>
          <w:tcPr>
            <w:tcW w:w="1084" w:type="dxa"/>
            <w:noWrap/>
            <w:hideMark/>
          </w:tcPr>
          <w:p w14:paraId="14AF2AA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1F03975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67D2B70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19C57FF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48CBAF9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491C84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66180A1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Male</w:t>
            </w:r>
          </w:p>
        </w:tc>
        <w:tc>
          <w:tcPr>
            <w:tcW w:w="1667" w:type="dxa"/>
            <w:noWrap/>
            <w:hideMark/>
          </w:tcPr>
          <w:p w14:paraId="4348281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44.6 (12.4)</w:t>
            </w:r>
          </w:p>
        </w:tc>
      </w:tr>
      <w:tr w:rsidR="00601A3C" w:rsidRPr="00311360" w14:paraId="09743828" w14:textId="77777777" w:rsidTr="003F4F9E">
        <w:trPr>
          <w:trHeight w:val="292"/>
        </w:trPr>
        <w:tc>
          <w:tcPr>
            <w:tcW w:w="1084" w:type="dxa"/>
            <w:noWrap/>
            <w:hideMark/>
          </w:tcPr>
          <w:p w14:paraId="7015399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79501F5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11CE33D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2EA717E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5B4D6C49"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444005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6712CB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Female</w:t>
            </w:r>
          </w:p>
        </w:tc>
        <w:tc>
          <w:tcPr>
            <w:tcW w:w="1667" w:type="dxa"/>
            <w:noWrap/>
            <w:hideMark/>
          </w:tcPr>
          <w:p w14:paraId="5708D8D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48.7 (13.3)</w:t>
            </w:r>
          </w:p>
        </w:tc>
      </w:tr>
      <w:tr w:rsidR="00601A3C" w:rsidRPr="00311360" w14:paraId="58DABD5F" w14:textId="77777777" w:rsidTr="003F4F9E">
        <w:trPr>
          <w:trHeight w:val="292"/>
        </w:trPr>
        <w:tc>
          <w:tcPr>
            <w:tcW w:w="1084" w:type="dxa"/>
            <w:noWrap/>
            <w:hideMark/>
          </w:tcPr>
          <w:p w14:paraId="4A9B0DE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[11]</w:t>
            </w:r>
          </w:p>
        </w:tc>
        <w:tc>
          <w:tcPr>
            <w:tcW w:w="3516" w:type="dxa"/>
            <w:noWrap/>
            <w:hideMark/>
          </w:tcPr>
          <w:p w14:paraId="397139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47BE64C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6E2C482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33DA0785"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4E5F481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385C8A5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SS/SB0 thalassemia</w:t>
            </w:r>
          </w:p>
        </w:tc>
        <w:tc>
          <w:tcPr>
            <w:tcW w:w="1667" w:type="dxa"/>
            <w:noWrap/>
            <w:hideMark/>
          </w:tcPr>
          <w:p w14:paraId="5134277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46.6 (12.8)</w:t>
            </w:r>
          </w:p>
        </w:tc>
      </w:tr>
      <w:tr w:rsidR="00601A3C" w:rsidRPr="00311360" w14:paraId="4AE49562" w14:textId="77777777" w:rsidTr="003F4F9E">
        <w:trPr>
          <w:trHeight w:val="292"/>
        </w:trPr>
        <w:tc>
          <w:tcPr>
            <w:tcW w:w="1084" w:type="dxa"/>
            <w:noWrap/>
            <w:hideMark/>
          </w:tcPr>
          <w:p w14:paraId="5A9FC7B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3EBEA2E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327B904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495B5F1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515AF68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29AF78D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4BBBE95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SC/SB+ thalassemia</w:t>
            </w:r>
          </w:p>
        </w:tc>
        <w:tc>
          <w:tcPr>
            <w:tcW w:w="1667" w:type="dxa"/>
            <w:noWrap/>
            <w:hideMark/>
          </w:tcPr>
          <w:p w14:paraId="02F34D2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47.1 (14.0)</w:t>
            </w:r>
          </w:p>
        </w:tc>
      </w:tr>
      <w:tr w:rsidR="00601A3C" w:rsidRPr="00311360" w14:paraId="22DED322" w14:textId="77777777" w:rsidTr="003F4F9E">
        <w:trPr>
          <w:trHeight w:val="292"/>
        </w:trPr>
        <w:tc>
          <w:tcPr>
            <w:tcW w:w="1084" w:type="dxa"/>
            <w:noWrap/>
            <w:hideMark/>
          </w:tcPr>
          <w:p w14:paraId="3E43A8D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44B23C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04C5953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2AF93FF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37186F7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3F7884D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0D8DF65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Pain in past 7 days</w:t>
            </w:r>
          </w:p>
        </w:tc>
        <w:tc>
          <w:tcPr>
            <w:tcW w:w="1667" w:type="dxa"/>
            <w:noWrap/>
            <w:hideMark/>
          </w:tcPr>
          <w:p w14:paraId="1A2F47B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53.7 (12.2)</w:t>
            </w:r>
          </w:p>
        </w:tc>
      </w:tr>
      <w:tr w:rsidR="00601A3C" w:rsidRPr="00311360" w14:paraId="62B78733" w14:textId="77777777" w:rsidTr="003F4F9E">
        <w:trPr>
          <w:trHeight w:val="292"/>
        </w:trPr>
        <w:tc>
          <w:tcPr>
            <w:tcW w:w="1084" w:type="dxa"/>
            <w:noWrap/>
            <w:hideMark/>
          </w:tcPr>
          <w:p w14:paraId="595673C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64A55F0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373A99E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5E2F2C6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52C6499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1C01590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7AC240F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pain in past 7 days</w:t>
            </w:r>
          </w:p>
        </w:tc>
        <w:tc>
          <w:tcPr>
            <w:tcW w:w="1667" w:type="dxa"/>
            <w:noWrap/>
            <w:hideMark/>
          </w:tcPr>
          <w:p w14:paraId="0942CCC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43.6 (12.2)</w:t>
            </w:r>
          </w:p>
        </w:tc>
      </w:tr>
      <w:tr w:rsidR="00601A3C" w:rsidRPr="00311360" w14:paraId="632FD917" w14:textId="77777777" w:rsidTr="003F4F9E">
        <w:trPr>
          <w:trHeight w:val="292"/>
        </w:trPr>
        <w:tc>
          <w:tcPr>
            <w:tcW w:w="1084" w:type="dxa"/>
            <w:noWrap/>
            <w:hideMark/>
          </w:tcPr>
          <w:p w14:paraId="35CA883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35D98EC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7646995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0D74A7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4F46A7FB"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64A71D4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7A1BF9F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Current hip or joint issues</w:t>
            </w:r>
          </w:p>
        </w:tc>
        <w:tc>
          <w:tcPr>
            <w:tcW w:w="1667" w:type="dxa"/>
            <w:noWrap/>
            <w:hideMark/>
          </w:tcPr>
          <w:p w14:paraId="1E52A27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54.5 (13.6)</w:t>
            </w:r>
          </w:p>
        </w:tc>
      </w:tr>
      <w:tr w:rsidR="00601A3C" w:rsidRPr="00311360" w14:paraId="2896D593" w14:textId="77777777" w:rsidTr="003F4F9E">
        <w:trPr>
          <w:trHeight w:val="292"/>
        </w:trPr>
        <w:tc>
          <w:tcPr>
            <w:tcW w:w="1084" w:type="dxa"/>
            <w:noWrap/>
            <w:hideMark/>
          </w:tcPr>
          <w:p w14:paraId="3DA83F1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[11]</w:t>
            </w:r>
          </w:p>
        </w:tc>
        <w:tc>
          <w:tcPr>
            <w:tcW w:w="3516" w:type="dxa"/>
            <w:noWrap/>
            <w:hideMark/>
          </w:tcPr>
          <w:p w14:paraId="7A89393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noWrap/>
            <w:hideMark/>
          </w:tcPr>
          <w:p w14:paraId="7D65918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noWrap/>
            <w:hideMark/>
          </w:tcPr>
          <w:p w14:paraId="3C8BF27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noWrap/>
            <w:hideMark/>
          </w:tcPr>
          <w:p w14:paraId="5FE232D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noWrap/>
            <w:hideMark/>
          </w:tcPr>
          <w:p w14:paraId="03C48FD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noWrap/>
            <w:hideMark/>
          </w:tcPr>
          <w:p w14:paraId="26CECDA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current hip or joint issues</w:t>
            </w:r>
          </w:p>
        </w:tc>
        <w:tc>
          <w:tcPr>
            <w:tcW w:w="1667" w:type="dxa"/>
            <w:noWrap/>
            <w:hideMark/>
          </w:tcPr>
          <w:p w14:paraId="66B429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45.0 (12.4)</w:t>
            </w:r>
          </w:p>
        </w:tc>
      </w:tr>
      <w:tr w:rsidR="00601A3C" w:rsidRPr="00311360" w14:paraId="2DFC744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D8C2EB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[12]</w:t>
            </w:r>
          </w:p>
        </w:tc>
        <w:tc>
          <w:tcPr>
            <w:tcW w:w="3516" w:type="dxa"/>
            <w:tcBorders>
              <w:top w:val="nil"/>
              <w:left w:val="nil"/>
              <w:bottom w:val="nil"/>
              <w:right w:val="nil"/>
            </w:tcBorders>
            <w:noWrap/>
            <w:hideMark/>
          </w:tcPr>
          <w:p w14:paraId="45E7D7F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measure*</w:t>
            </w:r>
          </w:p>
        </w:tc>
        <w:tc>
          <w:tcPr>
            <w:tcW w:w="1225" w:type="dxa"/>
            <w:tcBorders>
              <w:top w:val="nil"/>
              <w:left w:val="nil"/>
              <w:bottom w:val="nil"/>
              <w:right w:val="nil"/>
            </w:tcBorders>
            <w:noWrap/>
            <w:hideMark/>
          </w:tcPr>
          <w:p w14:paraId="6A54601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41F731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341C20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91</w:t>
            </w:r>
          </w:p>
        </w:tc>
        <w:tc>
          <w:tcPr>
            <w:tcW w:w="1119" w:type="dxa"/>
            <w:tcBorders>
              <w:top w:val="nil"/>
              <w:left w:val="nil"/>
              <w:bottom w:val="nil"/>
              <w:right w:val="nil"/>
            </w:tcBorders>
            <w:noWrap/>
            <w:hideMark/>
          </w:tcPr>
          <w:p w14:paraId="4CBC99D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7A65F7F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Baseline visit</w:t>
            </w:r>
          </w:p>
        </w:tc>
        <w:tc>
          <w:tcPr>
            <w:tcW w:w="1667" w:type="dxa"/>
            <w:tcBorders>
              <w:top w:val="nil"/>
              <w:left w:val="nil"/>
              <w:bottom w:val="nil"/>
              <w:right w:val="nil"/>
            </w:tcBorders>
            <w:noWrap/>
            <w:hideMark/>
          </w:tcPr>
          <w:p w14:paraId="34E771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52.2 (1.5)</w:t>
            </w:r>
          </w:p>
        </w:tc>
      </w:tr>
      <w:tr w:rsidR="00601A3C" w:rsidRPr="00311360" w14:paraId="74542D4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904E4B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[12]</w:t>
            </w:r>
          </w:p>
        </w:tc>
        <w:tc>
          <w:tcPr>
            <w:tcW w:w="3516" w:type="dxa"/>
            <w:tcBorders>
              <w:top w:val="nil"/>
              <w:left w:val="nil"/>
              <w:bottom w:val="nil"/>
              <w:right w:val="nil"/>
            </w:tcBorders>
            <w:noWrap/>
            <w:hideMark/>
          </w:tcPr>
          <w:p w14:paraId="5BC7FB8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measure*</w:t>
            </w:r>
          </w:p>
        </w:tc>
        <w:tc>
          <w:tcPr>
            <w:tcW w:w="1225" w:type="dxa"/>
            <w:tcBorders>
              <w:top w:val="nil"/>
              <w:left w:val="nil"/>
              <w:bottom w:val="nil"/>
              <w:right w:val="nil"/>
            </w:tcBorders>
            <w:noWrap/>
            <w:hideMark/>
          </w:tcPr>
          <w:p w14:paraId="220A48B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7F9424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14C90B7"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80</w:t>
            </w:r>
          </w:p>
        </w:tc>
        <w:tc>
          <w:tcPr>
            <w:tcW w:w="1119" w:type="dxa"/>
            <w:tcBorders>
              <w:top w:val="nil"/>
              <w:left w:val="nil"/>
              <w:bottom w:val="nil"/>
              <w:right w:val="nil"/>
            </w:tcBorders>
            <w:noWrap/>
            <w:hideMark/>
          </w:tcPr>
          <w:p w14:paraId="2158B0F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628AEB7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Follow-up visit</w:t>
            </w:r>
          </w:p>
        </w:tc>
        <w:tc>
          <w:tcPr>
            <w:tcW w:w="1667" w:type="dxa"/>
            <w:tcBorders>
              <w:top w:val="nil"/>
              <w:left w:val="nil"/>
              <w:bottom w:val="nil"/>
              <w:right w:val="nil"/>
            </w:tcBorders>
            <w:noWrap/>
            <w:hideMark/>
          </w:tcPr>
          <w:p w14:paraId="06793E3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53.0 (1.5)</w:t>
            </w:r>
          </w:p>
        </w:tc>
      </w:tr>
      <w:tr w:rsidR="00601A3C" w:rsidRPr="00311360" w14:paraId="514F604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C59D53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[12]</w:t>
            </w:r>
          </w:p>
        </w:tc>
        <w:tc>
          <w:tcPr>
            <w:tcW w:w="3516" w:type="dxa"/>
            <w:tcBorders>
              <w:top w:val="nil"/>
              <w:left w:val="nil"/>
              <w:bottom w:val="nil"/>
              <w:right w:val="nil"/>
            </w:tcBorders>
            <w:noWrap/>
            <w:hideMark/>
          </w:tcPr>
          <w:p w14:paraId="7D5538F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measure*</w:t>
            </w:r>
          </w:p>
        </w:tc>
        <w:tc>
          <w:tcPr>
            <w:tcW w:w="1225" w:type="dxa"/>
            <w:tcBorders>
              <w:top w:val="nil"/>
              <w:left w:val="nil"/>
              <w:bottom w:val="nil"/>
              <w:right w:val="nil"/>
            </w:tcBorders>
            <w:noWrap/>
            <w:hideMark/>
          </w:tcPr>
          <w:p w14:paraId="4977D02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1479091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25D7AB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51</w:t>
            </w:r>
          </w:p>
        </w:tc>
        <w:tc>
          <w:tcPr>
            <w:tcW w:w="1119" w:type="dxa"/>
            <w:tcBorders>
              <w:top w:val="nil"/>
              <w:left w:val="nil"/>
              <w:bottom w:val="nil"/>
              <w:right w:val="nil"/>
            </w:tcBorders>
            <w:noWrap/>
            <w:hideMark/>
          </w:tcPr>
          <w:p w14:paraId="57387D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2D34FB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Hospital episode</w:t>
            </w:r>
          </w:p>
        </w:tc>
        <w:tc>
          <w:tcPr>
            <w:tcW w:w="1667" w:type="dxa"/>
            <w:tcBorders>
              <w:top w:val="nil"/>
              <w:left w:val="nil"/>
              <w:bottom w:val="nil"/>
              <w:right w:val="nil"/>
            </w:tcBorders>
            <w:noWrap/>
            <w:hideMark/>
          </w:tcPr>
          <w:p w14:paraId="64A2B6E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61.7 (1.8)</w:t>
            </w:r>
          </w:p>
        </w:tc>
      </w:tr>
      <w:tr w:rsidR="00601A3C" w:rsidRPr="00311360" w14:paraId="1B09C7D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D2CA17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[12]</w:t>
            </w:r>
          </w:p>
        </w:tc>
        <w:tc>
          <w:tcPr>
            <w:tcW w:w="3516" w:type="dxa"/>
            <w:tcBorders>
              <w:top w:val="nil"/>
              <w:left w:val="nil"/>
              <w:bottom w:val="nil"/>
              <w:right w:val="nil"/>
            </w:tcBorders>
            <w:noWrap/>
            <w:hideMark/>
          </w:tcPr>
          <w:p w14:paraId="643C064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measure*</w:t>
            </w:r>
          </w:p>
        </w:tc>
        <w:tc>
          <w:tcPr>
            <w:tcW w:w="1225" w:type="dxa"/>
            <w:tcBorders>
              <w:top w:val="nil"/>
              <w:left w:val="nil"/>
              <w:bottom w:val="nil"/>
              <w:right w:val="nil"/>
            </w:tcBorders>
            <w:noWrap/>
            <w:hideMark/>
          </w:tcPr>
          <w:p w14:paraId="6DC907B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5438D27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2EFE073"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16</w:t>
            </w:r>
          </w:p>
        </w:tc>
        <w:tc>
          <w:tcPr>
            <w:tcW w:w="1119" w:type="dxa"/>
            <w:tcBorders>
              <w:top w:val="nil"/>
              <w:left w:val="nil"/>
              <w:bottom w:val="nil"/>
              <w:right w:val="nil"/>
            </w:tcBorders>
            <w:noWrap/>
            <w:hideMark/>
          </w:tcPr>
          <w:p w14:paraId="678269D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1123B46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Recovery episode</w:t>
            </w:r>
          </w:p>
        </w:tc>
        <w:tc>
          <w:tcPr>
            <w:tcW w:w="1667" w:type="dxa"/>
            <w:tcBorders>
              <w:top w:val="nil"/>
              <w:left w:val="nil"/>
              <w:bottom w:val="nil"/>
              <w:right w:val="nil"/>
            </w:tcBorders>
            <w:noWrap/>
            <w:hideMark/>
          </w:tcPr>
          <w:p w14:paraId="21CB9B1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50.9 (2.6)</w:t>
            </w:r>
          </w:p>
        </w:tc>
      </w:tr>
      <w:tr w:rsidR="00601A3C" w:rsidRPr="00311360" w14:paraId="4452D76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144D1C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[14]</w:t>
            </w:r>
          </w:p>
        </w:tc>
        <w:tc>
          <w:tcPr>
            <w:tcW w:w="3516" w:type="dxa"/>
            <w:tcBorders>
              <w:top w:val="nil"/>
              <w:left w:val="nil"/>
              <w:bottom w:val="nil"/>
              <w:right w:val="nil"/>
            </w:tcBorders>
            <w:noWrap/>
            <w:hideMark/>
          </w:tcPr>
          <w:p w14:paraId="282FD7F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tcBorders>
              <w:top w:val="nil"/>
              <w:left w:val="nil"/>
              <w:bottom w:val="nil"/>
              <w:right w:val="nil"/>
            </w:tcBorders>
            <w:noWrap/>
            <w:hideMark/>
          </w:tcPr>
          <w:p w14:paraId="4E7D0C6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 (SF)* + 36 (Full bank)</w:t>
            </w:r>
          </w:p>
        </w:tc>
        <w:tc>
          <w:tcPr>
            <w:tcW w:w="3205" w:type="dxa"/>
            <w:tcBorders>
              <w:top w:val="nil"/>
              <w:left w:val="nil"/>
              <w:bottom w:val="nil"/>
              <w:right w:val="nil"/>
            </w:tcBorders>
            <w:noWrap/>
            <w:hideMark/>
          </w:tcPr>
          <w:p w14:paraId="2E5288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F491E8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72</w:t>
            </w:r>
          </w:p>
        </w:tc>
        <w:tc>
          <w:tcPr>
            <w:tcW w:w="1119" w:type="dxa"/>
            <w:tcBorders>
              <w:top w:val="nil"/>
              <w:left w:val="nil"/>
              <w:bottom w:val="nil"/>
              <w:right w:val="nil"/>
            </w:tcBorders>
            <w:noWrap/>
            <w:hideMark/>
          </w:tcPr>
          <w:p w14:paraId="23252C3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641CEC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Home treatment for pain in past week</w:t>
            </w:r>
          </w:p>
        </w:tc>
        <w:tc>
          <w:tcPr>
            <w:tcW w:w="1667" w:type="dxa"/>
            <w:tcBorders>
              <w:top w:val="nil"/>
              <w:left w:val="nil"/>
              <w:bottom w:val="nil"/>
              <w:right w:val="nil"/>
            </w:tcBorders>
            <w:noWrap/>
            <w:hideMark/>
          </w:tcPr>
          <w:p w14:paraId="44B08E6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54 (12) </w:t>
            </w:r>
          </w:p>
        </w:tc>
      </w:tr>
      <w:tr w:rsidR="00601A3C" w:rsidRPr="00311360" w14:paraId="4AAEB48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91FA00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[14]</w:t>
            </w:r>
          </w:p>
        </w:tc>
        <w:tc>
          <w:tcPr>
            <w:tcW w:w="3516" w:type="dxa"/>
            <w:tcBorders>
              <w:top w:val="nil"/>
              <w:left w:val="nil"/>
              <w:bottom w:val="nil"/>
              <w:right w:val="nil"/>
            </w:tcBorders>
            <w:noWrap/>
            <w:hideMark/>
          </w:tcPr>
          <w:p w14:paraId="0D4A28A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Combination of PROMIS Pediatric Fatigue Full Bank and PROMIS Pediatric Fatigue SF*</w:t>
            </w:r>
          </w:p>
        </w:tc>
        <w:tc>
          <w:tcPr>
            <w:tcW w:w="1225" w:type="dxa"/>
            <w:tcBorders>
              <w:top w:val="nil"/>
              <w:left w:val="nil"/>
              <w:bottom w:val="nil"/>
              <w:right w:val="nil"/>
            </w:tcBorders>
            <w:noWrap/>
            <w:hideMark/>
          </w:tcPr>
          <w:p w14:paraId="71070DF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 (SF)* + 36 (Full bank)</w:t>
            </w:r>
          </w:p>
        </w:tc>
        <w:tc>
          <w:tcPr>
            <w:tcW w:w="3205" w:type="dxa"/>
            <w:tcBorders>
              <w:top w:val="nil"/>
              <w:left w:val="nil"/>
              <w:bottom w:val="nil"/>
              <w:right w:val="nil"/>
            </w:tcBorders>
            <w:noWrap/>
            <w:hideMark/>
          </w:tcPr>
          <w:p w14:paraId="36AEF75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153E3A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162</w:t>
            </w:r>
          </w:p>
        </w:tc>
        <w:tc>
          <w:tcPr>
            <w:tcW w:w="1119" w:type="dxa"/>
            <w:tcBorders>
              <w:top w:val="nil"/>
              <w:left w:val="nil"/>
              <w:bottom w:val="nil"/>
              <w:right w:val="nil"/>
            </w:tcBorders>
            <w:noWrap/>
            <w:hideMark/>
          </w:tcPr>
          <w:p w14:paraId="3A52559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03AA51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home treatment for pain in past week</w:t>
            </w:r>
          </w:p>
        </w:tc>
        <w:tc>
          <w:tcPr>
            <w:tcW w:w="1667" w:type="dxa"/>
            <w:tcBorders>
              <w:top w:val="nil"/>
              <w:left w:val="nil"/>
              <w:bottom w:val="nil"/>
              <w:right w:val="nil"/>
            </w:tcBorders>
            <w:noWrap/>
            <w:hideMark/>
          </w:tcPr>
          <w:p w14:paraId="38059E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44 (12)</w:t>
            </w:r>
          </w:p>
        </w:tc>
      </w:tr>
      <w:tr w:rsidR="00601A3C" w:rsidRPr="00311360" w14:paraId="64DFAE2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B4F7A8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[15]</w:t>
            </w:r>
          </w:p>
        </w:tc>
        <w:tc>
          <w:tcPr>
            <w:tcW w:w="3516" w:type="dxa"/>
            <w:tcBorders>
              <w:top w:val="nil"/>
              <w:left w:val="nil"/>
              <w:bottom w:val="nil"/>
              <w:right w:val="nil"/>
            </w:tcBorders>
            <w:noWrap/>
            <w:hideMark/>
          </w:tcPr>
          <w:p w14:paraId="231B5ED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SF</w:t>
            </w:r>
          </w:p>
        </w:tc>
        <w:tc>
          <w:tcPr>
            <w:tcW w:w="1225" w:type="dxa"/>
            <w:tcBorders>
              <w:top w:val="nil"/>
              <w:left w:val="nil"/>
              <w:bottom w:val="nil"/>
              <w:right w:val="nil"/>
            </w:tcBorders>
            <w:noWrap/>
            <w:hideMark/>
          </w:tcPr>
          <w:p w14:paraId="6C12058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0A6A87A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3E1C38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nil"/>
              <w:right w:val="nil"/>
            </w:tcBorders>
            <w:noWrap/>
            <w:hideMark/>
          </w:tcPr>
          <w:p w14:paraId="77176AB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86693D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Baseline</w:t>
            </w:r>
          </w:p>
        </w:tc>
        <w:tc>
          <w:tcPr>
            <w:tcW w:w="1667" w:type="dxa"/>
            <w:tcBorders>
              <w:top w:val="nil"/>
              <w:left w:val="nil"/>
              <w:bottom w:val="nil"/>
              <w:right w:val="nil"/>
            </w:tcBorders>
            <w:noWrap/>
            <w:hideMark/>
          </w:tcPr>
          <w:p w14:paraId="7241E44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51.7 (11.4)</w:t>
            </w:r>
          </w:p>
        </w:tc>
      </w:tr>
      <w:tr w:rsidR="00601A3C" w:rsidRPr="00311360" w14:paraId="485D361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42985F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[15]</w:t>
            </w:r>
          </w:p>
        </w:tc>
        <w:tc>
          <w:tcPr>
            <w:tcW w:w="3516" w:type="dxa"/>
            <w:tcBorders>
              <w:top w:val="nil"/>
              <w:left w:val="nil"/>
              <w:bottom w:val="nil"/>
              <w:right w:val="nil"/>
            </w:tcBorders>
            <w:noWrap/>
            <w:hideMark/>
          </w:tcPr>
          <w:p w14:paraId="7804D5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SF</w:t>
            </w:r>
          </w:p>
        </w:tc>
        <w:tc>
          <w:tcPr>
            <w:tcW w:w="1225" w:type="dxa"/>
            <w:tcBorders>
              <w:top w:val="nil"/>
              <w:left w:val="nil"/>
              <w:bottom w:val="nil"/>
              <w:right w:val="nil"/>
            </w:tcBorders>
            <w:noWrap/>
            <w:hideMark/>
          </w:tcPr>
          <w:p w14:paraId="6C8A221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0A4B7E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D4FA7E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nil"/>
              <w:right w:val="nil"/>
            </w:tcBorders>
            <w:noWrap/>
            <w:hideMark/>
          </w:tcPr>
          <w:p w14:paraId="43E90FC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F0FFED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 weeks vitamin D supplementation</w:t>
            </w:r>
          </w:p>
        </w:tc>
        <w:tc>
          <w:tcPr>
            <w:tcW w:w="1667" w:type="dxa"/>
            <w:tcBorders>
              <w:top w:val="nil"/>
              <w:left w:val="nil"/>
              <w:bottom w:val="nil"/>
              <w:right w:val="nil"/>
            </w:tcBorders>
            <w:noWrap/>
            <w:hideMark/>
          </w:tcPr>
          <w:p w14:paraId="03B16AD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48.6 (10.2)</w:t>
            </w:r>
          </w:p>
        </w:tc>
      </w:tr>
      <w:tr w:rsidR="00601A3C" w:rsidRPr="00311360" w14:paraId="4C0CB6A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AF0E4B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[15]</w:t>
            </w:r>
          </w:p>
        </w:tc>
        <w:tc>
          <w:tcPr>
            <w:tcW w:w="3516" w:type="dxa"/>
            <w:tcBorders>
              <w:top w:val="nil"/>
              <w:left w:val="nil"/>
              <w:bottom w:val="nil"/>
              <w:right w:val="nil"/>
            </w:tcBorders>
            <w:noWrap/>
            <w:hideMark/>
          </w:tcPr>
          <w:p w14:paraId="46837B4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Pediatric Fatigue SF</w:t>
            </w:r>
          </w:p>
        </w:tc>
        <w:tc>
          <w:tcPr>
            <w:tcW w:w="1225" w:type="dxa"/>
            <w:tcBorders>
              <w:top w:val="nil"/>
              <w:left w:val="nil"/>
              <w:bottom w:val="nil"/>
              <w:right w:val="nil"/>
            </w:tcBorders>
            <w:noWrap/>
            <w:hideMark/>
          </w:tcPr>
          <w:p w14:paraId="3D1D261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224BFF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58A0359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20</w:t>
            </w:r>
          </w:p>
        </w:tc>
        <w:tc>
          <w:tcPr>
            <w:tcW w:w="1119" w:type="dxa"/>
            <w:tcBorders>
              <w:top w:val="nil"/>
              <w:left w:val="nil"/>
              <w:bottom w:val="nil"/>
              <w:right w:val="nil"/>
            </w:tcBorders>
            <w:noWrap/>
            <w:hideMark/>
          </w:tcPr>
          <w:p w14:paraId="1534692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6B1BBD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 weeks vitamin D supplementation</w:t>
            </w:r>
          </w:p>
        </w:tc>
        <w:tc>
          <w:tcPr>
            <w:tcW w:w="1667" w:type="dxa"/>
            <w:tcBorders>
              <w:top w:val="nil"/>
              <w:left w:val="nil"/>
              <w:bottom w:val="nil"/>
              <w:right w:val="nil"/>
            </w:tcBorders>
            <w:noWrap/>
            <w:hideMark/>
          </w:tcPr>
          <w:p w14:paraId="3B80821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46.4 (14.0)</w:t>
            </w:r>
          </w:p>
        </w:tc>
      </w:tr>
      <w:tr w:rsidR="00601A3C" w:rsidRPr="00311360" w14:paraId="5087AA8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EC7106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[20]</w:t>
            </w:r>
          </w:p>
        </w:tc>
        <w:tc>
          <w:tcPr>
            <w:tcW w:w="3516" w:type="dxa"/>
            <w:tcBorders>
              <w:top w:val="nil"/>
              <w:left w:val="nil"/>
              <w:bottom w:val="nil"/>
              <w:right w:val="nil"/>
            </w:tcBorders>
            <w:noWrap/>
            <w:hideMark/>
          </w:tcPr>
          <w:p w14:paraId="55CC6DE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Aptos Display" w:eastAsiaTheme="minorHAnsi" w:hAnsi="Aptos Display" w:cstheme="minorBidi"/>
                <w:kern w:val="2"/>
                <w:sz w:val="18"/>
                <w:szCs w:val="18"/>
                <w:lang w:eastAsia="en-US"/>
              </w:rPr>
              <w:t>The 4-item SF Fatigue from PROMIS v1.1 Pediatric Profile 25 items</w:t>
            </w:r>
          </w:p>
        </w:tc>
        <w:tc>
          <w:tcPr>
            <w:tcW w:w="1225" w:type="dxa"/>
            <w:tcBorders>
              <w:top w:val="nil"/>
              <w:left w:val="nil"/>
              <w:bottom w:val="nil"/>
              <w:right w:val="nil"/>
            </w:tcBorders>
            <w:noWrap/>
            <w:hideMark/>
          </w:tcPr>
          <w:p w14:paraId="1EA0D26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w:t>
            </w:r>
          </w:p>
        </w:tc>
        <w:tc>
          <w:tcPr>
            <w:tcW w:w="3205" w:type="dxa"/>
            <w:tcBorders>
              <w:top w:val="nil"/>
              <w:left w:val="nil"/>
              <w:bottom w:val="nil"/>
              <w:right w:val="nil"/>
            </w:tcBorders>
            <w:noWrap/>
            <w:hideMark/>
          </w:tcPr>
          <w:p w14:paraId="1AB51FC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Item Response Theory (IRT) models*</w:t>
            </w:r>
          </w:p>
        </w:tc>
        <w:tc>
          <w:tcPr>
            <w:tcW w:w="851" w:type="dxa"/>
            <w:tcBorders>
              <w:top w:val="nil"/>
              <w:left w:val="nil"/>
              <w:bottom w:val="nil"/>
              <w:right w:val="nil"/>
            </w:tcBorders>
            <w:noWrap/>
            <w:hideMark/>
          </w:tcPr>
          <w:p w14:paraId="318FCA2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89</w:t>
            </w:r>
          </w:p>
        </w:tc>
        <w:tc>
          <w:tcPr>
            <w:tcW w:w="1119" w:type="dxa"/>
            <w:tcBorders>
              <w:top w:val="nil"/>
              <w:left w:val="nil"/>
              <w:bottom w:val="nil"/>
              <w:right w:val="nil"/>
            </w:tcBorders>
            <w:noWrap/>
            <w:hideMark/>
          </w:tcPr>
          <w:p w14:paraId="744B76A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0E15181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SF version</w:t>
            </w:r>
          </w:p>
        </w:tc>
        <w:tc>
          <w:tcPr>
            <w:tcW w:w="1667" w:type="dxa"/>
            <w:tcBorders>
              <w:top w:val="nil"/>
              <w:left w:val="nil"/>
              <w:bottom w:val="nil"/>
              <w:right w:val="nil"/>
            </w:tcBorders>
            <w:noWrap/>
            <w:hideMark/>
          </w:tcPr>
          <w:p w14:paraId="5A497E8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45.34 (10.3)</w:t>
            </w:r>
          </w:p>
        </w:tc>
      </w:tr>
      <w:tr w:rsidR="00601A3C" w:rsidRPr="00311360" w14:paraId="34D6366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FA6D52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[20]</w:t>
            </w:r>
          </w:p>
        </w:tc>
        <w:tc>
          <w:tcPr>
            <w:tcW w:w="3516" w:type="dxa"/>
            <w:tcBorders>
              <w:top w:val="nil"/>
              <w:left w:val="nil"/>
              <w:bottom w:val="nil"/>
              <w:right w:val="nil"/>
            </w:tcBorders>
            <w:noWrap/>
            <w:hideMark/>
          </w:tcPr>
          <w:p w14:paraId="3E4D76D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Aptos Display" w:eastAsiaTheme="minorHAnsi" w:hAnsi="Aptos Display" w:cstheme="minorBidi"/>
                <w:kern w:val="2"/>
                <w:sz w:val="18"/>
                <w:szCs w:val="18"/>
                <w:lang w:eastAsia="en-US"/>
              </w:rPr>
              <w:t>The 4-item SF Fatigue from PROMIS v1.1 Pediatric Profile 25 items</w:t>
            </w:r>
          </w:p>
        </w:tc>
        <w:tc>
          <w:tcPr>
            <w:tcW w:w="1225" w:type="dxa"/>
            <w:tcBorders>
              <w:top w:val="nil"/>
              <w:left w:val="nil"/>
              <w:bottom w:val="nil"/>
              <w:right w:val="nil"/>
            </w:tcBorders>
            <w:noWrap/>
            <w:hideMark/>
          </w:tcPr>
          <w:p w14:paraId="3CD4FF3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w:t>
            </w:r>
          </w:p>
        </w:tc>
        <w:tc>
          <w:tcPr>
            <w:tcW w:w="3205" w:type="dxa"/>
            <w:tcBorders>
              <w:top w:val="nil"/>
              <w:left w:val="nil"/>
              <w:bottom w:val="nil"/>
              <w:right w:val="nil"/>
            </w:tcBorders>
            <w:noWrap/>
            <w:hideMark/>
          </w:tcPr>
          <w:p w14:paraId="52504E3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Item Response Theory (IRT) models*</w:t>
            </w:r>
          </w:p>
        </w:tc>
        <w:tc>
          <w:tcPr>
            <w:tcW w:w="851" w:type="dxa"/>
            <w:tcBorders>
              <w:top w:val="nil"/>
              <w:left w:val="nil"/>
              <w:bottom w:val="nil"/>
              <w:right w:val="nil"/>
            </w:tcBorders>
            <w:noWrap/>
            <w:hideMark/>
          </w:tcPr>
          <w:p w14:paraId="6DD4FD9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89</w:t>
            </w:r>
          </w:p>
        </w:tc>
        <w:tc>
          <w:tcPr>
            <w:tcW w:w="1119" w:type="dxa"/>
            <w:tcBorders>
              <w:top w:val="nil"/>
              <w:left w:val="nil"/>
              <w:bottom w:val="nil"/>
              <w:right w:val="nil"/>
            </w:tcBorders>
            <w:noWrap/>
            <w:hideMark/>
          </w:tcPr>
          <w:p w14:paraId="1F10E4B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Range of scores (Min-Max)</w:t>
            </w:r>
          </w:p>
        </w:tc>
        <w:tc>
          <w:tcPr>
            <w:tcW w:w="2467" w:type="dxa"/>
            <w:tcBorders>
              <w:top w:val="nil"/>
              <w:left w:val="nil"/>
              <w:bottom w:val="nil"/>
              <w:right w:val="nil"/>
            </w:tcBorders>
            <w:noWrap/>
            <w:hideMark/>
          </w:tcPr>
          <w:p w14:paraId="6622308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SF version</w:t>
            </w:r>
          </w:p>
        </w:tc>
        <w:tc>
          <w:tcPr>
            <w:tcW w:w="1667" w:type="dxa"/>
            <w:tcBorders>
              <w:top w:val="nil"/>
              <w:left w:val="nil"/>
              <w:bottom w:val="nil"/>
              <w:right w:val="nil"/>
            </w:tcBorders>
            <w:noWrap/>
            <w:hideMark/>
          </w:tcPr>
          <w:p w14:paraId="48AD20F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35.4-71.9</w:t>
            </w:r>
          </w:p>
        </w:tc>
      </w:tr>
      <w:tr w:rsidR="00601A3C" w:rsidRPr="00311360" w14:paraId="69520F2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8F1569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[20]</w:t>
            </w:r>
          </w:p>
        </w:tc>
        <w:tc>
          <w:tcPr>
            <w:tcW w:w="3516" w:type="dxa"/>
            <w:tcBorders>
              <w:top w:val="nil"/>
              <w:left w:val="nil"/>
              <w:bottom w:val="nil"/>
              <w:right w:val="nil"/>
            </w:tcBorders>
            <w:noWrap/>
            <w:hideMark/>
          </w:tcPr>
          <w:p w14:paraId="7D92FA60" w14:textId="77777777" w:rsidR="00601A3C" w:rsidRPr="00143F0E" w:rsidRDefault="00601A3C" w:rsidP="003F4F9E">
            <w:pPr>
              <w:ind w:firstLine="0"/>
              <w:jc w:val="left"/>
              <w:textAlignment w:val="auto"/>
              <w:rPr>
                <w:rFonts w:asciiTheme="minorHAnsi" w:eastAsia="Times New Roman" w:hAnsiTheme="minorHAnsi"/>
                <w:color w:val="000000"/>
                <w:sz w:val="18"/>
                <w:szCs w:val="18"/>
                <w:lang w:val="fr-FR"/>
              </w:rPr>
            </w:pPr>
            <w:r w:rsidRPr="00143F0E">
              <w:rPr>
                <w:rFonts w:asciiTheme="minorHAnsi" w:eastAsia="Times New Roman" w:hAnsiTheme="minorHAnsi"/>
                <w:color w:val="000000"/>
                <w:sz w:val="18"/>
                <w:szCs w:val="18"/>
                <w:lang w:val="fr-FR"/>
              </w:rPr>
              <w:t>PROMIS CAT Fatigue Domain – Pediatric version</w:t>
            </w:r>
          </w:p>
        </w:tc>
        <w:tc>
          <w:tcPr>
            <w:tcW w:w="1225" w:type="dxa"/>
            <w:tcBorders>
              <w:top w:val="nil"/>
              <w:left w:val="nil"/>
              <w:bottom w:val="nil"/>
              <w:right w:val="nil"/>
            </w:tcBorders>
            <w:noWrap/>
            <w:hideMark/>
          </w:tcPr>
          <w:p w14:paraId="0A9C1ED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Range of items: 5-12, Mean (SD): 10 (3)</w:t>
            </w:r>
          </w:p>
        </w:tc>
        <w:tc>
          <w:tcPr>
            <w:tcW w:w="3205" w:type="dxa"/>
            <w:tcBorders>
              <w:top w:val="nil"/>
              <w:left w:val="nil"/>
              <w:bottom w:val="nil"/>
              <w:right w:val="nil"/>
            </w:tcBorders>
            <w:noWrap/>
            <w:hideMark/>
          </w:tcPr>
          <w:p w14:paraId="2257588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Item Response Theory (IRT) models*</w:t>
            </w:r>
          </w:p>
        </w:tc>
        <w:tc>
          <w:tcPr>
            <w:tcW w:w="851" w:type="dxa"/>
            <w:tcBorders>
              <w:top w:val="nil"/>
              <w:left w:val="nil"/>
              <w:bottom w:val="nil"/>
              <w:right w:val="nil"/>
            </w:tcBorders>
            <w:noWrap/>
            <w:hideMark/>
          </w:tcPr>
          <w:p w14:paraId="0BEAE3C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88</w:t>
            </w:r>
          </w:p>
        </w:tc>
        <w:tc>
          <w:tcPr>
            <w:tcW w:w="1119" w:type="dxa"/>
            <w:tcBorders>
              <w:top w:val="nil"/>
              <w:left w:val="nil"/>
              <w:bottom w:val="nil"/>
              <w:right w:val="nil"/>
            </w:tcBorders>
            <w:noWrap/>
            <w:hideMark/>
          </w:tcPr>
          <w:p w14:paraId="4D31AC8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05B573D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CAT version </w:t>
            </w:r>
          </w:p>
        </w:tc>
        <w:tc>
          <w:tcPr>
            <w:tcW w:w="1667" w:type="dxa"/>
            <w:tcBorders>
              <w:top w:val="nil"/>
              <w:left w:val="nil"/>
              <w:bottom w:val="nil"/>
              <w:right w:val="nil"/>
            </w:tcBorders>
            <w:noWrap/>
            <w:hideMark/>
          </w:tcPr>
          <w:p w14:paraId="1D29D8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40.97 (14.66)</w:t>
            </w:r>
          </w:p>
        </w:tc>
      </w:tr>
      <w:tr w:rsidR="00601A3C" w:rsidRPr="00311360" w14:paraId="0302D00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C1B963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[20]</w:t>
            </w:r>
          </w:p>
        </w:tc>
        <w:tc>
          <w:tcPr>
            <w:tcW w:w="3516" w:type="dxa"/>
            <w:tcBorders>
              <w:top w:val="nil"/>
              <w:left w:val="nil"/>
              <w:bottom w:val="nil"/>
              <w:right w:val="nil"/>
            </w:tcBorders>
            <w:noWrap/>
            <w:hideMark/>
          </w:tcPr>
          <w:p w14:paraId="195DC5E5" w14:textId="77777777" w:rsidR="00601A3C" w:rsidRPr="00143F0E" w:rsidRDefault="00601A3C" w:rsidP="003F4F9E">
            <w:pPr>
              <w:ind w:firstLine="0"/>
              <w:jc w:val="left"/>
              <w:textAlignment w:val="auto"/>
              <w:rPr>
                <w:rFonts w:asciiTheme="minorHAnsi" w:eastAsia="Times New Roman" w:hAnsiTheme="minorHAnsi"/>
                <w:color w:val="000000"/>
                <w:sz w:val="18"/>
                <w:szCs w:val="18"/>
                <w:lang w:val="fr-FR"/>
              </w:rPr>
            </w:pPr>
            <w:r w:rsidRPr="00143F0E">
              <w:rPr>
                <w:rFonts w:asciiTheme="minorHAnsi" w:eastAsia="Times New Roman" w:hAnsiTheme="minorHAnsi"/>
                <w:color w:val="000000"/>
                <w:sz w:val="18"/>
                <w:szCs w:val="18"/>
                <w:lang w:val="fr-FR"/>
              </w:rPr>
              <w:t>PROMIS CAT Fatigue Domain – Pediatric version</w:t>
            </w:r>
          </w:p>
        </w:tc>
        <w:tc>
          <w:tcPr>
            <w:tcW w:w="1225" w:type="dxa"/>
            <w:tcBorders>
              <w:top w:val="nil"/>
              <w:left w:val="nil"/>
              <w:bottom w:val="nil"/>
              <w:right w:val="nil"/>
            </w:tcBorders>
            <w:noWrap/>
            <w:hideMark/>
          </w:tcPr>
          <w:p w14:paraId="3D7DB1D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Range of items: 5-12, Mean (SD): 10 (3)</w:t>
            </w:r>
          </w:p>
        </w:tc>
        <w:tc>
          <w:tcPr>
            <w:tcW w:w="3205" w:type="dxa"/>
            <w:tcBorders>
              <w:top w:val="nil"/>
              <w:left w:val="nil"/>
              <w:bottom w:val="nil"/>
              <w:right w:val="nil"/>
            </w:tcBorders>
            <w:noWrap/>
            <w:hideMark/>
          </w:tcPr>
          <w:p w14:paraId="1A1C622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Item Response Theory (IRT) models*</w:t>
            </w:r>
          </w:p>
        </w:tc>
        <w:tc>
          <w:tcPr>
            <w:tcW w:w="851" w:type="dxa"/>
            <w:tcBorders>
              <w:top w:val="nil"/>
              <w:left w:val="nil"/>
              <w:bottom w:val="nil"/>
              <w:right w:val="nil"/>
            </w:tcBorders>
            <w:noWrap/>
            <w:hideMark/>
          </w:tcPr>
          <w:p w14:paraId="4DEED60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88</w:t>
            </w:r>
          </w:p>
        </w:tc>
        <w:tc>
          <w:tcPr>
            <w:tcW w:w="1119" w:type="dxa"/>
            <w:tcBorders>
              <w:top w:val="nil"/>
              <w:left w:val="nil"/>
              <w:bottom w:val="nil"/>
              <w:right w:val="nil"/>
            </w:tcBorders>
            <w:noWrap/>
            <w:hideMark/>
          </w:tcPr>
          <w:p w14:paraId="5E958C2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Range of scores (Min-Max)</w:t>
            </w:r>
          </w:p>
        </w:tc>
        <w:tc>
          <w:tcPr>
            <w:tcW w:w="2467" w:type="dxa"/>
            <w:tcBorders>
              <w:top w:val="nil"/>
              <w:left w:val="nil"/>
              <w:bottom w:val="nil"/>
              <w:right w:val="nil"/>
            </w:tcBorders>
            <w:noWrap/>
            <w:hideMark/>
          </w:tcPr>
          <w:p w14:paraId="2A2F9F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CAT version </w:t>
            </w:r>
          </w:p>
        </w:tc>
        <w:tc>
          <w:tcPr>
            <w:tcW w:w="1667" w:type="dxa"/>
            <w:tcBorders>
              <w:top w:val="nil"/>
              <w:left w:val="nil"/>
              <w:bottom w:val="nil"/>
              <w:right w:val="nil"/>
            </w:tcBorders>
            <w:noWrap/>
            <w:hideMark/>
          </w:tcPr>
          <w:p w14:paraId="7FF55D2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25.6-78.1</w:t>
            </w:r>
          </w:p>
        </w:tc>
      </w:tr>
      <w:tr w:rsidR="00601A3C" w:rsidRPr="00311360" w14:paraId="416334F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DF3349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63590D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2001C4D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7EE881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8C7B92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34*</w:t>
            </w:r>
          </w:p>
        </w:tc>
        <w:tc>
          <w:tcPr>
            <w:tcW w:w="1119" w:type="dxa"/>
            <w:tcBorders>
              <w:top w:val="nil"/>
              <w:left w:val="nil"/>
              <w:bottom w:val="nil"/>
              <w:right w:val="nil"/>
            </w:tcBorders>
            <w:noWrap/>
            <w:hideMark/>
          </w:tcPr>
          <w:p w14:paraId="61173C2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36A76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36504B3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49.4 (39.9-60.9)</w:t>
            </w:r>
          </w:p>
        </w:tc>
      </w:tr>
      <w:tr w:rsidR="00601A3C" w:rsidRPr="00311360" w14:paraId="467C5A8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5F4688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5C5A2F9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0ADFE6E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4AAA17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A497703"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6F67ACB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7759E7C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12-17 years</w:t>
            </w:r>
          </w:p>
        </w:tc>
        <w:tc>
          <w:tcPr>
            <w:tcW w:w="1667" w:type="dxa"/>
            <w:tcBorders>
              <w:top w:val="nil"/>
              <w:left w:val="nil"/>
              <w:bottom w:val="nil"/>
              <w:right w:val="nil"/>
            </w:tcBorders>
            <w:noWrap/>
            <w:hideMark/>
          </w:tcPr>
          <w:p w14:paraId="4F1DD4D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46.2 (35-57.1)</w:t>
            </w:r>
          </w:p>
        </w:tc>
      </w:tr>
      <w:tr w:rsidR="00601A3C" w:rsidRPr="00311360" w14:paraId="43B5068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BAA065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34C2503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D8CE7B7"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41A209C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05D2CC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118A69F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610D72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18-22 years</w:t>
            </w:r>
          </w:p>
        </w:tc>
        <w:tc>
          <w:tcPr>
            <w:tcW w:w="1667" w:type="dxa"/>
            <w:tcBorders>
              <w:top w:val="nil"/>
              <w:left w:val="nil"/>
              <w:bottom w:val="nil"/>
              <w:right w:val="nil"/>
            </w:tcBorders>
            <w:noWrap/>
            <w:hideMark/>
          </w:tcPr>
          <w:p w14:paraId="4F1A6C2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60.7 (51-62.6)</w:t>
            </w:r>
          </w:p>
        </w:tc>
      </w:tr>
      <w:tr w:rsidR="00601A3C" w:rsidRPr="00311360" w14:paraId="0B9255C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2C7F84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C8BAA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351BEF3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0BB510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C35EBB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7B9F896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267967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Male</w:t>
            </w:r>
          </w:p>
        </w:tc>
        <w:tc>
          <w:tcPr>
            <w:tcW w:w="1667" w:type="dxa"/>
            <w:tcBorders>
              <w:top w:val="nil"/>
              <w:left w:val="nil"/>
              <w:bottom w:val="nil"/>
              <w:right w:val="nil"/>
            </w:tcBorders>
            <w:noWrap/>
            <w:hideMark/>
          </w:tcPr>
          <w:p w14:paraId="4B04A09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45.3 (39.1-54.1)</w:t>
            </w:r>
          </w:p>
        </w:tc>
      </w:tr>
      <w:tr w:rsidR="00601A3C" w:rsidRPr="00311360" w14:paraId="20823F9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7F20D6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6BF9459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54F09B6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2D85E87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5345D0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44E26F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DD0C9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Female</w:t>
            </w:r>
          </w:p>
        </w:tc>
        <w:tc>
          <w:tcPr>
            <w:tcW w:w="1667" w:type="dxa"/>
            <w:tcBorders>
              <w:top w:val="nil"/>
              <w:left w:val="nil"/>
              <w:bottom w:val="nil"/>
              <w:right w:val="nil"/>
            </w:tcBorders>
            <w:noWrap/>
            <w:hideMark/>
          </w:tcPr>
          <w:p w14:paraId="0DC382E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57.1 (48.8-62) </w:t>
            </w:r>
          </w:p>
        </w:tc>
      </w:tr>
      <w:tr w:rsidR="00601A3C" w:rsidRPr="00311360" w14:paraId="2688934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FCE9C5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74505B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9C8543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255409A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4039B5F"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396C527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BA49F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Chronic pain</w:t>
            </w:r>
          </w:p>
        </w:tc>
        <w:tc>
          <w:tcPr>
            <w:tcW w:w="1667" w:type="dxa"/>
            <w:tcBorders>
              <w:top w:val="nil"/>
              <w:left w:val="nil"/>
              <w:bottom w:val="nil"/>
              <w:right w:val="nil"/>
            </w:tcBorders>
            <w:noWrap/>
            <w:hideMark/>
          </w:tcPr>
          <w:p w14:paraId="4599561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61.5 (60.9-62)</w:t>
            </w:r>
          </w:p>
        </w:tc>
      </w:tr>
      <w:tr w:rsidR="00601A3C" w:rsidRPr="00311360" w14:paraId="3B61249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086423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9A604E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116E71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36AD0B2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7923CF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3039F9D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B31AD3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chronic pain</w:t>
            </w:r>
          </w:p>
        </w:tc>
        <w:tc>
          <w:tcPr>
            <w:tcW w:w="1667" w:type="dxa"/>
            <w:tcBorders>
              <w:top w:val="nil"/>
              <w:left w:val="nil"/>
              <w:bottom w:val="nil"/>
              <w:right w:val="nil"/>
            </w:tcBorders>
            <w:noWrap/>
            <w:hideMark/>
          </w:tcPr>
          <w:p w14:paraId="7BCE7B6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49 (39.9-60) </w:t>
            </w:r>
          </w:p>
        </w:tc>
      </w:tr>
      <w:tr w:rsidR="00601A3C" w:rsidRPr="00311360" w14:paraId="2F674FE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8C6812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[7]</w:t>
            </w:r>
          </w:p>
        </w:tc>
        <w:tc>
          <w:tcPr>
            <w:tcW w:w="3516" w:type="dxa"/>
            <w:tcBorders>
              <w:top w:val="nil"/>
              <w:left w:val="nil"/>
              <w:bottom w:val="nil"/>
              <w:right w:val="nil"/>
            </w:tcBorders>
            <w:noWrap/>
            <w:hideMark/>
          </w:tcPr>
          <w:p w14:paraId="1255F1D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062B86D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EDFE53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E69D21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3CAD850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7D58B9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hospitalizations in 1 year prior</w:t>
            </w:r>
          </w:p>
        </w:tc>
        <w:tc>
          <w:tcPr>
            <w:tcW w:w="1667" w:type="dxa"/>
            <w:tcBorders>
              <w:top w:val="nil"/>
              <w:left w:val="nil"/>
              <w:bottom w:val="nil"/>
              <w:right w:val="nil"/>
            </w:tcBorders>
            <w:noWrap/>
            <w:hideMark/>
          </w:tcPr>
          <w:p w14:paraId="06596AE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45.3 (35.2–49.7)</w:t>
            </w:r>
          </w:p>
        </w:tc>
      </w:tr>
      <w:tr w:rsidR="00601A3C" w:rsidRPr="00311360" w14:paraId="5288DA7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972046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[7]</w:t>
            </w:r>
          </w:p>
        </w:tc>
        <w:tc>
          <w:tcPr>
            <w:tcW w:w="3516" w:type="dxa"/>
            <w:tcBorders>
              <w:top w:val="nil"/>
              <w:left w:val="nil"/>
              <w:bottom w:val="nil"/>
              <w:right w:val="nil"/>
            </w:tcBorders>
            <w:noWrap/>
            <w:hideMark/>
          </w:tcPr>
          <w:p w14:paraId="16208E7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A05F59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1AABE6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E58341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11</w:t>
            </w:r>
          </w:p>
        </w:tc>
        <w:tc>
          <w:tcPr>
            <w:tcW w:w="1119" w:type="dxa"/>
            <w:tcBorders>
              <w:top w:val="nil"/>
              <w:left w:val="nil"/>
              <w:bottom w:val="nil"/>
              <w:right w:val="nil"/>
            </w:tcBorders>
            <w:noWrap/>
            <w:hideMark/>
          </w:tcPr>
          <w:p w14:paraId="38D31DB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1626BFC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hospitalizations in 1 year prior</w:t>
            </w:r>
          </w:p>
        </w:tc>
        <w:tc>
          <w:tcPr>
            <w:tcW w:w="1667" w:type="dxa"/>
            <w:tcBorders>
              <w:top w:val="nil"/>
              <w:left w:val="nil"/>
              <w:bottom w:val="nil"/>
              <w:right w:val="nil"/>
            </w:tcBorders>
            <w:noWrap/>
            <w:hideMark/>
          </w:tcPr>
          <w:p w14:paraId="6798232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48.8 (35–62.4)</w:t>
            </w:r>
          </w:p>
        </w:tc>
      </w:tr>
      <w:tr w:rsidR="00601A3C" w:rsidRPr="00311360" w14:paraId="63BD71CA"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732F96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[7]</w:t>
            </w:r>
          </w:p>
        </w:tc>
        <w:tc>
          <w:tcPr>
            <w:tcW w:w="3516" w:type="dxa"/>
            <w:tcBorders>
              <w:top w:val="nil"/>
              <w:left w:val="nil"/>
              <w:bottom w:val="nil"/>
              <w:right w:val="nil"/>
            </w:tcBorders>
            <w:noWrap/>
            <w:hideMark/>
          </w:tcPr>
          <w:p w14:paraId="2995BD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08FF6F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E02B78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9468BE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1119" w:type="dxa"/>
            <w:tcBorders>
              <w:top w:val="nil"/>
              <w:left w:val="nil"/>
              <w:bottom w:val="nil"/>
              <w:right w:val="nil"/>
            </w:tcBorders>
            <w:noWrap/>
            <w:hideMark/>
          </w:tcPr>
          <w:p w14:paraId="127123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196D0E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Hospitalizations &gt; or = 4 in 1 year prior</w:t>
            </w:r>
          </w:p>
        </w:tc>
        <w:tc>
          <w:tcPr>
            <w:tcW w:w="1667" w:type="dxa"/>
            <w:tcBorders>
              <w:top w:val="nil"/>
              <w:left w:val="nil"/>
              <w:bottom w:val="nil"/>
              <w:right w:val="nil"/>
            </w:tcBorders>
            <w:noWrap/>
            <w:hideMark/>
          </w:tcPr>
          <w:p w14:paraId="07DA7B6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61.5 (57.1–63.1) </w:t>
            </w:r>
          </w:p>
        </w:tc>
      </w:tr>
      <w:tr w:rsidR="00601A3C" w:rsidRPr="00311360" w14:paraId="5423586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5C33BE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5DDD1D5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06BBCDDB"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6DD4FA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EAC963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31*</w:t>
            </w:r>
          </w:p>
        </w:tc>
        <w:tc>
          <w:tcPr>
            <w:tcW w:w="1119" w:type="dxa"/>
            <w:tcBorders>
              <w:top w:val="nil"/>
              <w:left w:val="nil"/>
              <w:bottom w:val="nil"/>
              <w:right w:val="nil"/>
            </w:tcBorders>
            <w:noWrap/>
            <w:hideMark/>
          </w:tcPr>
          <w:p w14:paraId="5E0CB17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802415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79913EC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49.4 (39.9-60.9)</w:t>
            </w:r>
          </w:p>
        </w:tc>
      </w:tr>
      <w:tr w:rsidR="00601A3C" w:rsidRPr="00311360" w14:paraId="1B1EC9F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B02384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4F371BF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037E67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B9104A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56C2E9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22</w:t>
            </w:r>
          </w:p>
        </w:tc>
        <w:tc>
          <w:tcPr>
            <w:tcW w:w="1119" w:type="dxa"/>
            <w:tcBorders>
              <w:top w:val="nil"/>
              <w:left w:val="nil"/>
              <w:bottom w:val="nil"/>
              <w:right w:val="nil"/>
            </w:tcBorders>
            <w:noWrap/>
            <w:hideMark/>
          </w:tcPr>
          <w:p w14:paraId="7244525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4217944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Low adherence to HU (according to MMAS-8)</w:t>
            </w:r>
          </w:p>
        </w:tc>
        <w:tc>
          <w:tcPr>
            <w:tcW w:w="1667" w:type="dxa"/>
            <w:tcBorders>
              <w:top w:val="nil"/>
              <w:left w:val="nil"/>
              <w:bottom w:val="nil"/>
              <w:right w:val="nil"/>
            </w:tcBorders>
            <w:noWrap/>
            <w:hideMark/>
          </w:tcPr>
          <w:p w14:paraId="1D9FEB9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55.5 (45.8–62.2)</w:t>
            </w:r>
          </w:p>
        </w:tc>
      </w:tr>
      <w:tr w:rsidR="00601A3C" w:rsidRPr="00311360" w14:paraId="1D97D96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737D49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03E36AF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68C4659"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0E73A76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5E95FC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22</w:t>
            </w:r>
          </w:p>
        </w:tc>
        <w:tc>
          <w:tcPr>
            <w:tcW w:w="1119" w:type="dxa"/>
            <w:tcBorders>
              <w:top w:val="nil"/>
              <w:left w:val="nil"/>
              <w:bottom w:val="nil"/>
              <w:right w:val="nil"/>
            </w:tcBorders>
            <w:noWrap/>
            <w:hideMark/>
          </w:tcPr>
          <w:p w14:paraId="650B19F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75F03B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Moderate/high adherence to HU (according to MMAS-8)</w:t>
            </w:r>
          </w:p>
        </w:tc>
        <w:tc>
          <w:tcPr>
            <w:tcW w:w="1667" w:type="dxa"/>
            <w:tcBorders>
              <w:top w:val="nil"/>
              <w:left w:val="nil"/>
              <w:bottom w:val="nil"/>
              <w:right w:val="nil"/>
            </w:tcBorders>
            <w:noWrap/>
            <w:hideMark/>
          </w:tcPr>
          <w:p w14:paraId="1C239F0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39.1 (28.3–43.7)</w:t>
            </w:r>
          </w:p>
        </w:tc>
      </w:tr>
      <w:tr w:rsidR="00601A3C" w:rsidRPr="00311360" w14:paraId="117FF1C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57B4D4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4650A45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EBD67A3"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633D9D5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DCB387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w:t>
            </w:r>
          </w:p>
        </w:tc>
        <w:tc>
          <w:tcPr>
            <w:tcW w:w="1119" w:type="dxa"/>
            <w:tcBorders>
              <w:top w:val="nil"/>
              <w:left w:val="nil"/>
              <w:bottom w:val="nil"/>
              <w:right w:val="nil"/>
            </w:tcBorders>
            <w:noWrap/>
            <w:hideMark/>
          </w:tcPr>
          <w:p w14:paraId="084186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4C02DE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Low HbF % levels &lt;16%</w:t>
            </w:r>
          </w:p>
        </w:tc>
        <w:tc>
          <w:tcPr>
            <w:tcW w:w="1667" w:type="dxa"/>
            <w:tcBorders>
              <w:top w:val="nil"/>
              <w:left w:val="nil"/>
              <w:bottom w:val="nil"/>
              <w:right w:val="nil"/>
            </w:tcBorders>
            <w:noWrap/>
            <w:hideMark/>
          </w:tcPr>
          <w:p w14:paraId="6BAE1C4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52.6 (35–62.7)</w:t>
            </w:r>
          </w:p>
        </w:tc>
      </w:tr>
      <w:tr w:rsidR="00601A3C" w:rsidRPr="00311360" w14:paraId="2D169B0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46BA12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60116B8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756A2F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1B682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1B7296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6ABC341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127A1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 HbF % levels &gt; or =16%</w:t>
            </w:r>
          </w:p>
        </w:tc>
        <w:tc>
          <w:tcPr>
            <w:tcW w:w="1667" w:type="dxa"/>
            <w:tcBorders>
              <w:top w:val="nil"/>
              <w:left w:val="nil"/>
              <w:bottom w:val="nil"/>
              <w:right w:val="nil"/>
            </w:tcBorders>
            <w:noWrap/>
            <w:hideMark/>
          </w:tcPr>
          <w:p w14:paraId="786DF32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47.7 (39.5–58.8)</w:t>
            </w:r>
          </w:p>
        </w:tc>
      </w:tr>
      <w:tr w:rsidR="00601A3C" w:rsidRPr="00311360" w14:paraId="7CB85EC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7453BD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1616B0E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F8E68E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155B934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52ED71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20FECA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999306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MCV levels &lt;102 fl</w:t>
            </w:r>
          </w:p>
        </w:tc>
        <w:tc>
          <w:tcPr>
            <w:tcW w:w="1667" w:type="dxa"/>
            <w:tcBorders>
              <w:top w:val="nil"/>
              <w:left w:val="nil"/>
              <w:bottom w:val="nil"/>
              <w:right w:val="nil"/>
            </w:tcBorders>
            <w:noWrap/>
            <w:hideMark/>
          </w:tcPr>
          <w:p w14:paraId="34E2D2A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60.5 (50–63.5)</w:t>
            </w:r>
          </w:p>
        </w:tc>
      </w:tr>
      <w:tr w:rsidR="00601A3C" w:rsidRPr="00311360" w14:paraId="59A9C9F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819F4A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26CA9EA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6344DAC"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F94886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041340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w:t>
            </w:r>
          </w:p>
        </w:tc>
        <w:tc>
          <w:tcPr>
            <w:tcW w:w="1119" w:type="dxa"/>
            <w:tcBorders>
              <w:top w:val="nil"/>
              <w:left w:val="nil"/>
              <w:bottom w:val="nil"/>
              <w:right w:val="nil"/>
            </w:tcBorders>
            <w:noWrap/>
            <w:hideMark/>
          </w:tcPr>
          <w:p w14:paraId="4076BAC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5E744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MCV levels &gt; or = 102 fl</w:t>
            </w:r>
          </w:p>
        </w:tc>
        <w:tc>
          <w:tcPr>
            <w:tcW w:w="1667" w:type="dxa"/>
            <w:tcBorders>
              <w:top w:val="nil"/>
              <w:left w:val="nil"/>
              <w:bottom w:val="nil"/>
              <w:right w:val="nil"/>
            </w:tcBorders>
            <w:noWrap/>
            <w:hideMark/>
          </w:tcPr>
          <w:p w14:paraId="3437BF1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39.5 (31–50.2)</w:t>
            </w:r>
          </w:p>
        </w:tc>
      </w:tr>
      <w:tr w:rsidR="00601A3C" w:rsidRPr="00311360" w14:paraId="65018E0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1B6CE7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3D1AB59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4B55B5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C7CF6C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113637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3FDCAB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FB48E9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Negative belief</w:t>
            </w:r>
          </w:p>
        </w:tc>
        <w:tc>
          <w:tcPr>
            <w:tcW w:w="1667" w:type="dxa"/>
            <w:tcBorders>
              <w:top w:val="nil"/>
              <w:left w:val="nil"/>
              <w:bottom w:val="nil"/>
              <w:right w:val="nil"/>
            </w:tcBorders>
            <w:noWrap/>
            <w:hideMark/>
          </w:tcPr>
          <w:p w14:paraId="1CCFA53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53 (44-61) </w:t>
            </w:r>
          </w:p>
        </w:tc>
      </w:tr>
      <w:tr w:rsidR="00601A3C" w:rsidRPr="00311360" w14:paraId="61A5340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7B1E5E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4ECE90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659BFB5E"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2C07225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8BDFBC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nil"/>
              <w:right w:val="nil"/>
            </w:tcBorders>
            <w:noWrap/>
            <w:hideMark/>
          </w:tcPr>
          <w:p w14:paraId="1B70479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D7797A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negative belief</w:t>
            </w:r>
          </w:p>
        </w:tc>
        <w:tc>
          <w:tcPr>
            <w:tcW w:w="1667" w:type="dxa"/>
            <w:tcBorders>
              <w:top w:val="nil"/>
              <w:left w:val="nil"/>
              <w:bottom w:val="nil"/>
              <w:right w:val="nil"/>
            </w:tcBorders>
            <w:noWrap/>
            <w:hideMark/>
          </w:tcPr>
          <w:p w14:paraId="300241D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 (40-61)</w:t>
            </w:r>
          </w:p>
        </w:tc>
      </w:tr>
      <w:tr w:rsidR="00601A3C" w:rsidRPr="00311360" w14:paraId="0427FD2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9C965E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5E5730B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51F41E7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1D409F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5337CCE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1EBBD03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62EDCB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Recall barrier</w:t>
            </w:r>
          </w:p>
        </w:tc>
        <w:tc>
          <w:tcPr>
            <w:tcW w:w="1667" w:type="dxa"/>
            <w:tcBorders>
              <w:top w:val="nil"/>
              <w:left w:val="nil"/>
              <w:bottom w:val="nil"/>
              <w:right w:val="nil"/>
            </w:tcBorders>
            <w:noWrap/>
            <w:hideMark/>
          </w:tcPr>
          <w:p w14:paraId="6ED533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59 (45-64)</w:t>
            </w:r>
          </w:p>
        </w:tc>
      </w:tr>
      <w:tr w:rsidR="00601A3C" w:rsidRPr="00311360" w14:paraId="31B8530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D283D2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5BBED58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312D6D7"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4C8C96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5E433D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17</w:t>
            </w:r>
          </w:p>
        </w:tc>
        <w:tc>
          <w:tcPr>
            <w:tcW w:w="1119" w:type="dxa"/>
            <w:tcBorders>
              <w:top w:val="nil"/>
              <w:left w:val="nil"/>
              <w:bottom w:val="nil"/>
              <w:right w:val="nil"/>
            </w:tcBorders>
            <w:noWrap/>
            <w:hideMark/>
          </w:tcPr>
          <w:p w14:paraId="7EA57F6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E1519B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recall barrier</w:t>
            </w:r>
          </w:p>
        </w:tc>
        <w:tc>
          <w:tcPr>
            <w:tcW w:w="1667" w:type="dxa"/>
            <w:tcBorders>
              <w:top w:val="nil"/>
              <w:left w:val="nil"/>
              <w:bottom w:val="nil"/>
              <w:right w:val="nil"/>
            </w:tcBorders>
            <w:noWrap/>
            <w:hideMark/>
          </w:tcPr>
          <w:p w14:paraId="7A87403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 (35-54)</w:t>
            </w:r>
          </w:p>
        </w:tc>
      </w:tr>
      <w:tr w:rsidR="00601A3C" w:rsidRPr="00311360" w14:paraId="60280C4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757135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328D762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7FA7A93"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F3D536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EB4CBB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08F801A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D6412C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Access barrier</w:t>
            </w:r>
          </w:p>
        </w:tc>
        <w:tc>
          <w:tcPr>
            <w:tcW w:w="1667" w:type="dxa"/>
            <w:tcBorders>
              <w:top w:val="nil"/>
              <w:left w:val="nil"/>
              <w:bottom w:val="nil"/>
              <w:right w:val="nil"/>
            </w:tcBorders>
            <w:noWrap/>
            <w:hideMark/>
          </w:tcPr>
          <w:p w14:paraId="7331FF9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 (44-61)</w:t>
            </w:r>
          </w:p>
        </w:tc>
      </w:tr>
      <w:tr w:rsidR="00601A3C" w:rsidRPr="00311360" w14:paraId="162C98B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7B6B6BA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single" w:sz="4" w:space="0" w:color="auto"/>
              <w:right w:val="nil"/>
            </w:tcBorders>
            <w:noWrap/>
            <w:hideMark/>
          </w:tcPr>
          <w:p w14:paraId="630D2B5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p w14:paraId="0B45CFB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p>
        </w:tc>
        <w:tc>
          <w:tcPr>
            <w:tcW w:w="1225" w:type="dxa"/>
            <w:tcBorders>
              <w:top w:val="nil"/>
              <w:left w:val="nil"/>
              <w:bottom w:val="single" w:sz="4" w:space="0" w:color="auto"/>
              <w:right w:val="nil"/>
            </w:tcBorders>
            <w:noWrap/>
            <w:hideMark/>
          </w:tcPr>
          <w:p w14:paraId="103EE1D9"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single" w:sz="4" w:space="0" w:color="auto"/>
              <w:right w:val="nil"/>
            </w:tcBorders>
            <w:noWrap/>
            <w:hideMark/>
          </w:tcPr>
          <w:p w14:paraId="576AFC0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single" w:sz="4" w:space="0" w:color="auto"/>
              <w:right w:val="nil"/>
            </w:tcBorders>
            <w:noWrap/>
            <w:hideMark/>
          </w:tcPr>
          <w:p w14:paraId="3E545DB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single" w:sz="4" w:space="0" w:color="auto"/>
              <w:right w:val="nil"/>
            </w:tcBorders>
            <w:noWrap/>
            <w:hideMark/>
          </w:tcPr>
          <w:p w14:paraId="459CB5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single" w:sz="4" w:space="0" w:color="auto"/>
              <w:right w:val="nil"/>
            </w:tcBorders>
            <w:noWrap/>
            <w:hideMark/>
          </w:tcPr>
          <w:p w14:paraId="27DAF06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access barrier</w:t>
            </w:r>
          </w:p>
        </w:tc>
        <w:tc>
          <w:tcPr>
            <w:tcW w:w="1667" w:type="dxa"/>
            <w:tcBorders>
              <w:top w:val="nil"/>
              <w:left w:val="nil"/>
              <w:bottom w:val="single" w:sz="4" w:space="0" w:color="auto"/>
              <w:right w:val="nil"/>
            </w:tcBorders>
            <w:noWrap/>
            <w:hideMark/>
          </w:tcPr>
          <w:p w14:paraId="154514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51 (40-61) </w:t>
            </w:r>
          </w:p>
        </w:tc>
      </w:tr>
      <w:tr w:rsidR="00601A3C" w:rsidRPr="00311360" w14:paraId="11697CEA" w14:textId="77777777" w:rsidTr="003F4F9E">
        <w:trPr>
          <w:trHeight w:val="292"/>
        </w:trPr>
        <w:tc>
          <w:tcPr>
            <w:tcW w:w="9030" w:type="dxa"/>
            <w:gridSpan w:val="4"/>
            <w:tcBorders>
              <w:top w:val="single" w:sz="4" w:space="0" w:color="auto"/>
              <w:bottom w:val="single" w:sz="4" w:space="0" w:color="auto"/>
            </w:tcBorders>
            <w:noWrap/>
          </w:tcPr>
          <w:p w14:paraId="47EBBADD"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PROMIS Adult Fatigue Measures</w:t>
            </w:r>
          </w:p>
        </w:tc>
        <w:tc>
          <w:tcPr>
            <w:tcW w:w="6104" w:type="dxa"/>
            <w:gridSpan w:val="4"/>
            <w:tcBorders>
              <w:top w:val="single" w:sz="4" w:space="0" w:color="auto"/>
              <w:bottom w:val="single" w:sz="4" w:space="0" w:color="auto"/>
            </w:tcBorders>
            <w:noWrap/>
          </w:tcPr>
          <w:p w14:paraId="396C78F7"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p>
        </w:tc>
      </w:tr>
      <w:tr w:rsidR="00601A3C" w:rsidRPr="00311360" w14:paraId="4355B38E" w14:textId="77777777" w:rsidTr="003F4F9E">
        <w:trPr>
          <w:trHeight w:val="292"/>
        </w:trPr>
        <w:tc>
          <w:tcPr>
            <w:tcW w:w="1084" w:type="dxa"/>
            <w:tcBorders>
              <w:top w:val="single" w:sz="4" w:space="0" w:color="auto"/>
              <w:bottom w:val="single" w:sz="4" w:space="0" w:color="auto"/>
            </w:tcBorders>
            <w:noWrap/>
            <w:hideMark/>
          </w:tcPr>
          <w:p w14:paraId="16E9E70A"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26512FCB"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13A34B53"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7A8D7B0D"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20B6A201"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1971B2A5"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39DF12D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3DE2DD6F"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4399D67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49D62C5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[18]</w:t>
            </w:r>
          </w:p>
        </w:tc>
        <w:tc>
          <w:tcPr>
            <w:tcW w:w="3516" w:type="dxa"/>
            <w:tcBorders>
              <w:top w:val="single" w:sz="4" w:space="0" w:color="auto"/>
              <w:left w:val="nil"/>
              <w:bottom w:val="nil"/>
              <w:right w:val="nil"/>
            </w:tcBorders>
            <w:noWrap/>
            <w:hideMark/>
          </w:tcPr>
          <w:p w14:paraId="386F288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Adult Fatigue item bank</w:t>
            </w:r>
          </w:p>
        </w:tc>
        <w:tc>
          <w:tcPr>
            <w:tcW w:w="1225" w:type="dxa"/>
            <w:tcBorders>
              <w:top w:val="single" w:sz="4" w:space="0" w:color="auto"/>
              <w:left w:val="nil"/>
              <w:bottom w:val="nil"/>
              <w:right w:val="nil"/>
            </w:tcBorders>
            <w:noWrap/>
            <w:hideMark/>
          </w:tcPr>
          <w:p w14:paraId="1B7345C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w:t>
            </w:r>
          </w:p>
        </w:tc>
        <w:tc>
          <w:tcPr>
            <w:tcW w:w="3205" w:type="dxa"/>
            <w:tcBorders>
              <w:top w:val="single" w:sz="4" w:space="0" w:color="auto"/>
              <w:left w:val="nil"/>
              <w:bottom w:val="nil"/>
              <w:right w:val="nil"/>
            </w:tcBorders>
            <w:noWrap/>
            <w:hideMark/>
          </w:tcPr>
          <w:p w14:paraId="3048784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single" w:sz="4" w:space="0" w:color="auto"/>
              <w:left w:val="nil"/>
              <w:bottom w:val="nil"/>
              <w:right w:val="nil"/>
            </w:tcBorders>
            <w:noWrap/>
            <w:hideMark/>
          </w:tcPr>
          <w:p w14:paraId="673AE9D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2201</w:t>
            </w:r>
          </w:p>
        </w:tc>
        <w:tc>
          <w:tcPr>
            <w:tcW w:w="1119" w:type="dxa"/>
            <w:tcBorders>
              <w:top w:val="single" w:sz="4" w:space="0" w:color="auto"/>
              <w:left w:val="nil"/>
              <w:bottom w:val="nil"/>
              <w:right w:val="nil"/>
            </w:tcBorders>
            <w:noWrap/>
            <w:hideMark/>
          </w:tcPr>
          <w:p w14:paraId="5A2B05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single" w:sz="4" w:space="0" w:color="auto"/>
              <w:left w:val="nil"/>
              <w:bottom w:val="nil"/>
              <w:right w:val="nil"/>
            </w:tcBorders>
            <w:noWrap/>
            <w:hideMark/>
          </w:tcPr>
          <w:p w14:paraId="3F6D92E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single" w:sz="4" w:space="0" w:color="auto"/>
              <w:left w:val="nil"/>
              <w:bottom w:val="nil"/>
              <w:right w:val="nil"/>
            </w:tcBorders>
            <w:noWrap/>
            <w:hideMark/>
          </w:tcPr>
          <w:p w14:paraId="69AA415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55.5 (9.4)</w:t>
            </w:r>
          </w:p>
        </w:tc>
      </w:tr>
      <w:tr w:rsidR="00601A3C" w:rsidRPr="00311360" w14:paraId="59796E4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FC5529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[22]</w:t>
            </w:r>
          </w:p>
        </w:tc>
        <w:tc>
          <w:tcPr>
            <w:tcW w:w="3516" w:type="dxa"/>
            <w:tcBorders>
              <w:top w:val="nil"/>
              <w:left w:val="nil"/>
              <w:bottom w:val="nil"/>
              <w:right w:val="nil"/>
            </w:tcBorders>
            <w:noWrap/>
            <w:hideMark/>
          </w:tcPr>
          <w:p w14:paraId="4FFF6AD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Adult Fatigue Domain Full Bank</w:t>
            </w:r>
          </w:p>
        </w:tc>
        <w:tc>
          <w:tcPr>
            <w:tcW w:w="1225" w:type="dxa"/>
            <w:tcBorders>
              <w:top w:val="nil"/>
              <w:left w:val="nil"/>
              <w:bottom w:val="nil"/>
              <w:right w:val="nil"/>
            </w:tcBorders>
            <w:noWrap/>
            <w:hideMark/>
          </w:tcPr>
          <w:p w14:paraId="14B376AE"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3DCB53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1.0, 2.0 SDs*</w:t>
            </w:r>
          </w:p>
        </w:tc>
        <w:tc>
          <w:tcPr>
            <w:tcW w:w="851" w:type="dxa"/>
            <w:tcBorders>
              <w:top w:val="nil"/>
              <w:left w:val="nil"/>
              <w:bottom w:val="nil"/>
              <w:right w:val="nil"/>
            </w:tcBorders>
            <w:noWrap/>
            <w:hideMark/>
          </w:tcPr>
          <w:p w14:paraId="0522090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05C134E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0172FD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Chronic pain</w:t>
            </w:r>
          </w:p>
        </w:tc>
        <w:tc>
          <w:tcPr>
            <w:tcW w:w="1667" w:type="dxa"/>
            <w:tcBorders>
              <w:top w:val="nil"/>
              <w:left w:val="nil"/>
              <w:bottom w:val="nil"/>
              <w:right w:val="nil"/>
            </w:tcBorders>
            <w:noWrap/>
            <w:hideMark/>
          </w:tcPr>
          <w:p w14:paraId="74937EE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60.7 (56.5-69.7*)</w:t>
            </w:r>
          </w:p>
        </w:tc>
      </w:tr>
      <w:tr w:rsidR="00601A3C" w:rsidRPr="00311360" w14:paraId="47037E2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287FFA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[22]</w:t>
            </w:r>
          </w:p>
        </w:tc>
        <w:tc>
          <w:tcPr>
            <w:tcW w:w="3516" w:type="dxa"/>
            <w:tcBorders>
              <w:top w:val="nil"/>
              <w:left w:val="nil"/>
              <w:bottom w:val="nil"/>
              <w:right w:val="nil"/>
            </w:tcBorders>
            <w:noWrap/>
            <w:hideMark/>
          </w:tcPr>
          <w:p w14:paraId="566727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Adult Fatigue Domain Full Bank</w:t>
            </w:r>
          </w:p>
        </w:tc>
        <w:tc>
          <w:tcPr>
            <w:tcW w:w="1225" w:type="dxa"/>
            <w:tcBorders>
              <w:top w:val="nil"/>
              <w:left w:val="nil"/>
              <w:bottom w:val="nil"/>
              <w:right w:val="nil"/>
            </w:tcBorders>
            <w:noWrap/>
            <w:hideMark/>
          </w:tcPr>
          <w:p w14:paraId="4E6BA25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123F13E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1.0, 2.0 SDs*</w:t>
            </w:r>
          </w:p>
        </w:tc>
        <w:tc>
          <w:tcPr>
            <w:tcW w:w="851" w:type="dxa"/>
            <w:tcBorders>
              <w:top w:val="nil"/>
              <w:left w:val="nil"/>
              <w:bottom w:val="nil"/>
              <w:right w:val="nil"/>
            </w:tcBorders>
            <w:noWrap/>
            <w:hideMark/>
          </w:tcPr>
          <w:p w14:paraId="18EA94C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19</w:t>
            </w:r>
          </w:p>
        </w:tc>
        <w:tc>
          <w:tcPr>
            <w:tcW w:w="1119" w:type="dxa"/>
            <w:tcBorders>
              <w:top w:val="nil"/>
              <w:left w:val="nil"/>
              <w:bottom w:val="nil"/>
              <w:right w:val="nil"/>
            </w:tcBorders>
            <w:noWrap/>
            <w:hideMark/>
          </w:tcPr>
          <w:p w14:paraId="7A5966C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2CA03F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chronic pain</w:t>
            </w:r>
          </w:p>
        </w:tc>
        <w:tc>
          <w:tcPr>
            <w:tcW w:w="1667" w:type="dxa"/>
            <w:tcBorders>
              <w:top w:val="nil"/>
              <w:left w:val="nil"/>
              <w:bottom w:val="nil"/>
              <w:right w:val="nil"/>
            </w:tcBorders>
            <w:noWrap/>
            <w:hideMark/>
          </w:tcPr>
          <w:p w14:paraId="2B0702C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52.8 (45.2-60.4)</w:t>
            </w:r>
          </w:p>
        </w:tc>
      </w:tr>
      <w:tr w:rsidR="00601A3C" w:rsidRPr="00311360" w14:paraId="0800031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C0AF4BB"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[3]</w:t>
            </w:r>
          </w:p>
        </w:tc>
        <w:tc>
          <w:tcPr>
            <w:tcW w:w="3516" w:type="dxa"/>
            <w:tcBorders>
              <w:top w:val="nil"/>
              <w:left w:val="nil"/>
              <w:bottom w:val="nil"/>
              <w:right w:val="nil"/>
            </w:tcBorders>
            <w:noWrap/>
            <w:hideMark/>
          </w:tcPr>
          <w:p w14:paraId="7B5B98F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0408902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578F003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Scores can range from 7 to 35*, Higher scores indicate greater fatigue</w:t>
            </w:r>
          </w:p>
        </w:tc>
        <w:tc>
          <w:tcPr>
            <w:tcW w:w="851" w:type="dxa"/>
            <w:tcBorders>
              <w:top w:val="nil"/>
              <w:left w:val="nil"/>
              <w:bottom w:val="nil"/>
              <w:right w:val="nil"/>
            </w:tcBorders>
            <w:noWrap/>
            <w:hideMark/>
          </w:tcPr>
          <w:p w14:paraId="2407DB8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5C7CAD1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Range of scores (Min-Max)</w:t>
            </w:r>
          </w:p>
        </w:tc>
        <w:tc>
          <w:tcPr>
            <w:tcW w:w="2467" w:type="dxa"/>
            <w:tcBorders>
              <w:top w:val="nil"/>
              <w:left w:val="nil"/>
              <w:bottom w:val="nil"/>
              <w:right w:val="nil"/>
            </w:tcBorders>
            <w:noWrap/>
            <w:hideMark/>
          </w:tcPr>
          <w:p w14:paraId="360850C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780F8F7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 8-30</w:t>
            </w:r>
          </w:p>
        </w:tc>
      </w:tr>
      <w:tr w:rsidR="00601A3C" w:rsidRPr="00311360" w14:paraId="427091B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383D6E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73D77F2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D36005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0BB6F4B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Scores can range from 7 to 35*, Higher scores indicate greater fatigue</w:t>
            </w:r>
          </w:p>
        </w:tc>
        <w:tc>
          <w:tcPr>
            <w:tcW w:w="851" w:type="dxa"/>
            <w:tcBorders>
              <w:top w:val="nil"/>
              <w:left w:val="nil"/>
              <w:bottom w:val="nil"/>
              <w:right w:val="nil"/>
            </w:tcBorders>
            <w:noWrap/>
            <w:hideMark/>
          </w:tcPr>
          <w:p w14:paraId="04D73A1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4FDD73B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DAD96C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 total</w:t>
            </w:r>
          </w:p>
        </w:tc>
        <w:tc>
          <w:tcPr>
            <w:tcW w:w="1667" w:type="dxa"/>
            <w:tcBorders>
              <w:top w:val="nil"/>
              <w:left w:val="nil"/>
              <w:bottom w:val="nil"/>
              <w:right w:val="nil"/>
            </w:tcBorders>
            <w:noWrap/>
            <w:hideMark/>
          </w:tcPr>
          <w:p w14:paraId="077F872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19.82 (5.3)</w:t>
            </w:r>
          </w:p>
        </w:tc>
      </w:tr>
      <w:tr w:rsidR="00601A3C" w:rsidRPr="00311360" w14:paraId="66CAE42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392522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4F6658A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463678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148707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B47C1D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w:t>
            </w:r>
          </w:p>
        </w:tc>
        <w:tc>
          <w:tcPr>
            <w:tcW w:w="1119" w:type="dxa"/>
            <w:tcBorders>
              <w:top w:val="nil"/>
              <w:left w:val="nil"/>
              <w:bottom w:val="nil"/>
              <w:right w:val="nil"/>
            </w:tcBorders>
            <w:noWrap/>
            <w:hideMark/>
          </w:tcPr>
          <w:p w14:paraId="2AE3945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7BFB66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10C4BE7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55.93 (9.47)</w:t>
            </w:r>
          </w:p>
        </w:tc>
      </w:tr>
      <w:tr w:rsidR="00601A3C" w:rsidRPr="00311360" w14:paraId="649F910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0A02DC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6C08CAD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85A5FA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2E13DFA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B77278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20</w:t>
            </w:r>
          </w:p>
        </w:tc>
        <w:tc>
          <w:tcPr>
            <w:tcW w:w="1119" w:type="dxa"/>
            <w:tcBorders>
              <w:top w:val="nil"/>
              <w:left w:val="nil"/>
              <w:bottom w:val="nil"/>
              <w:right w:val="nil"/>
            </w:tcBorders>
            <w:noWrap/>
            <w:hideMark/>
          </w:tcPr>
          <w:p w14:paraId="3533A86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9CF584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Disease Severity: Mild</w:t>
            </w:r>
          </w:p>
        </w:tc>
        <w:tc>
          <w:tcPr>
            <w:tcW w:w="1667" w:type="dxa"/>
            <w:tcBorders>
              <w:top w:val="nil"/>
              <w:left w:val="nil"/>
              <w:bottom w:val="nil"/>
              <w:right w:val="nil"/>
            </w:tcBorders>
            <w:noWrap/>
            <w:hideMark/>
          </w:tcPr>
          <w:p w14:paraId="427A30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55.20 (9.74)</w:t>
            </w:r>
          </w:p>
        </w:tc>
      </w:tr>
      <w:tr w:rsidR="00601A3C" w:rsidRPr="00311360" w14:paraId="566828E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88B501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738C9C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74592D0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1C2056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FA3764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25</w:t>
            </w:r>
          </w:p>
        </w:tc>
        <w:tc>
          <w:tcPr>
            <w:tcW w:w="1119" w:type="dxa"/>
            <w:tcBorders>
              <w:top w:val="nil"/>
              <w:left w:val="nil"/>
              <w:bottom w:val="nil"/>
              <w:right w:val="nil"/>
            </w:tcBorders>
            <w:noWrap/>
            <w:hideMark/>
          </w:tcPr>
          <w:p w14:paraId="5CFDF6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5E6BC3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Disease Severity: Severe</w:t>
            </w:r>
          </w:p>
        </w:tc>
        <w:tc>
          <w:tcPr>
            <w:tcW w:w="1667" w:type="dxa"/>
            <w:tcBorders>
              <w:top w:val="nil"/>
              <w:left w:val="nil"/>
              <w:bottom w:val="nil"/>
              <w:right w:val="nil"/>
            </w:tcBorders>
            <w:noWrap/>
            <w:hideMark/>
          </w:tcPr>
          <w:p w14:paraId="4FCF151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56.51 (9.42)</w:t>
            </w:r>
          </w:p>
        </w:tc>
      </w:tr>
      <w:tr w:rsidR="00601A3C" w:rsidRPr="00311360" w14:paraId="2AD02B9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4F53BAB"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7EFEF99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16BA1A6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7C93C7B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C60CF2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17</w:t>
            </w:r>
          </w:p>
        </w:tc>
        <w:tc>
          <w:tcPr>
            <w:tcW w:w="1119" w:type="dxa"/>
            <w:tcBorders>
              <w:top w:val="nil"/>
              <w:left w:val="nil"/>
              <w:bottom w:val="nil"/>
              <w:right w:val="nil"/>
            </w:tcBorders>
            <w:noWrap/>
            <w:hideMark/>
          </w:tcPr>
          <w:p w14:paraId="38F8F78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23D758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HU</w:t>
            </w:r>
          </w:p>
        </w:tc>
        <w:tc>
          <w:tcPr>
            <w:tcW w:w="1667" w:type="dxa"/>
            <w:tcBorders>
              <w:top w:val="nil"/>
              <w:left w:val="nil"/>
              <w:bottom w:val="nil"/>
              <w:right w:val="nil"/>
            </w:tcBorders>
            <w:noWrap/>
            <w:hideMark/>
          </w:tcPr>
          <w:p w14:paraId="4AD364D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52.68 (10.14)</w:t>
            </w:r>
          </w:p>
        </w:tc>
      </w:tr>
      <w:tr w:rsidR="00601A3C" w:rsidRPr="00311360" w14:paraId="4A06493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F248B5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0802090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51223B5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294C8AD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87675E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7396E4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ECB054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Chronic Transfusions</w:t>
            </w:r>
          </w:p>
        </w:tc>
        <w:tc>
          <w:tcPr>
            <w:tcW w:w="1667" w:type="dxa"/>
            <w:tcBorders>
              <w:top w:val="nil"/>
              <w:left w:val="nil"/>
              <w:bottom w:val="nil"/>
              <w:right w:val="nil"/>
            </w:tcBorders>
            <w:noWrap/>
            <w:hideMark/>
          </w:tcPr>
          <w:p w14:paraId="4D978C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58.32 (7.36)</w:t>
            </w:r>
          </w:p>
        </w:tc>
      </w:tr>
      <w:tr w:rsidR="00601A3C" w:rsidRPr="00311360" w14:paraId="751AD00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E33E37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[16]</w:t>
            </w:r>
          </w:p>
        </w:tc>
        <w:tc>
          <w:tcPr>
            <w:tcW w:w="3516" w:type="dxa"/>
            <w:tcBorders>
              <w:top w:val="nil"/>
              <w:left w:val="nil"/>
              <w:bottom w:val="nil"/>
              <w:right w:val="nil"/>
            </w:tcBorders>
            <w:noWrap/>
            <w:hideMark/>
          </w:tcPr>
          <w:p w14:paraId="57AA9C0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472FC6B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0EE7AAC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88F92F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19</w:t>
            </w:r>
          </w:p>
        </w:tc>
        <w:tc>
          <w:tcPr>
            <w:tcW w:w="1119" w:type="dxa"/>
            <w:tcBorders>
              <w:top w:val="nil"/>
              <w:left w:val="nil"/>
              <w:bottom w:val="nil"/>
              <w:right w:val="nil"/>
            </w:tcBorders>
            <w:noWrap/>
            <w:hideMark/>
          </w:tcPr>
          <w:p w14:paraId="6707206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772A1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disease-modifying therapy</w:t>
            </w:r>
          </w:p>
        </w:tc>
        <w:tc>
          <w:tcPr>
            <w:tcW w:w="1667" w:type="dxa"/>
            <w:tcBorders>
              <w:top w:val="nil"/>
              <w:left w:val="nil"/>
              <w:bottom w:val="nil"/>
              <w:right w:val="nil"/>
            </w:tcBorders>
            <w:noWrap/>
            <w:hideMark/>
          </w:tcPr>
          <w:p w14:paraId="23B516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57.55 (9.25)</w:t>
            </w:r>
          </w:p>
        </w:tc>
      </w:tr>
      <w:tr w:rsidR="00601A3C" w:rsidRPr="00311360" w14:paraId="42C9D84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0AA787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[17]</w:t>
            </w:r>
          </w:p>
        </w:tc>
        <w:tc>
          <w:tcPr>
            <w:tcW w:w="3516" w:type="dxa"/>
            <w:tcBorders>
              <w:top w:val="nil"/>
              <w:left w:val="nil"/>
              <w:bottom w:val="nil"/>
              <w:right w:val="nil"/>
            </w:tcBorders>
            <w:noWrap/>
            <w:hideMark/>
          </w:tcPr>
          <w:p w14:paraId="46DBB5B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75D6CA1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4C14301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D86E5A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119" w:type="dxa"/>
            <w:tcBorders>
              <w:top w:val="nil"/>
              <w:left w:val="nil"/>
              <w:bottom w:val="nil"/>
              <w:right w:val="nil"/>
            </w:tcBorders>
            <w:noWrap/>
            <w:hideMark/>
          </w:tcPr>
          <w:p w14:paraId="7B255A6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630A5C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SCD Severity: Low</w:t>
            </w:r>
          </w:p>
        </w:tc>
        <w:tc>
          <w:tcPr>
            <w:tcW w:w="1667" w:type="dxa"/>
            <w:tcBorders>
              <w:top w:val="nil"/>
              <w:left w:val="nil"/>
              <w:bottom w:val="nil"/>
              <w:right w:val="nil"/>
            </w:tcBorders>
            <w:noWrap/>
            <w:hideMark/>
          </w:tcPr>
          <w:p w14:paraId="1F7ABDA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54.41</w:t>
            </w:r>
          </w:p>
        </w:tc>
      </w:tr>
      <w:tr w:rsidR="00601A3C" w:rsidRPr="00311360" w14:paraId="432EA8F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47BE3C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[17]</w:t>
            </w:r>
          </w:p>
        </w:tc>
        <w:tc>
          <w:tcPr>
            <w:tcW w:w="3516" w:type="dxa"/>
            <w:tcBorders>
              <w:top w:val="nil"/>
              <w:left w:val="nil"/>
              <w:bottom w:val="nil"/>
              <w:right w:val="nil"/>
            </w:tcBorders>
            <w:noWrap/>
            <w:hideMark/>
          </w:tcPr>
          <w:p w14:paraId="2FDD3E8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55B48B9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0A5C3C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F7CA0A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119" w:type="dxa"/>
            <w:tcBorders>
              <w:top w:val="nil"/>
              <w:left w:val="nil"/>
              <w:bottom w:val="nil"/>
              <w:right w:val="nil"/>
            </w:tcBorders>
            <w:noWrap/>
            <w:hideMark/>
          </w:tcPr>
          <w:p w14:paraId="3B2AE8A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782C0F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SCD Severity: Medium</w:t>
            </w:r>
          </w:p>
        </w:tc>
        <w:tc>
          <w:tcPr>
            <w:tcW w:w="1667" w:type="dxa"/>
            <w:tcBorders>
              <w:top w:val="nil"/>
              <w:left w:val="nil"/>
              <w:bottom w:val="nil"/>
              <w:right w:val="nil"/>
            </w:tcBorders>
            <w:noWrap/>
            <w:hideMark/>
          </w:tcPr>
          <w:p w14:paraId="4D6BFF5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55.50</w:t>
            </w:r>
          </w:p>
        </w:tc>
      </w:tr>
      <w:tr w:rsidR="00601A3C" w:rsidRPr="00311360" w14:paraId="1FA45D2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014935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[17]</w:t>
            </w:r>
          </w:p>
        </w:tc>
        <w:tc>
          <w:tcPr>
            <w:tcW w:w="3516" w:type="dxa"/>
            <w:tcBorders>
              <w:top w:val="nil"/>
              <w:left w:val="nil"/>
              <w:bottom w:val="nil"/>
              <w:right w:val="nil"/>
            </w:tcBorders>
            <w:noWrap/>
            <w:hideMark/>
          </w:tcPr>
          <w:p w14:paraId="6066919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59EBD48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4744F8E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C0CFEF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119" w:type="dxa"/>
            <w:tcBorders>
              <w:top w:val="nil"/>
              <w:left w:val="nil"/>
              <w:bottom w:val="nil"/>
              <w:right w:val="nil"/>
            </w:tcBorders>
            <w:noWrap/>
            <w:hideMark/>
          </w:tcPr>
          <w:p w14:paraId="599F510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4FF3816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SCD Severity: High</w:t>
            </w:r>
          </w:p>
        </w:tc>
        <w:tc>
          <w:tcPr>
            <w:tcW w:w="1667" w:type="dxa"/>
            <w:tcBorders>
              <w:top w:val="nil"/>
              <w:left w:val="nil"/>
              <w:bottom w:val="nil"/>
              <w:right w:val="nil"/>
            </w:tcBorders>
            <w:noWrap/>
            <w:hideMark/>
          </w:tcPr>
          <w:p w14:paraId="4BB952A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58.24</w:t>
            </w:r>
          </w:p>
        </w:tc>
      </w:tr>
      <w:tr w:rsidR="00601A3C" w:rsidRPr="00311360" w14:paraId="49E4616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F97945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[19]</w:t>
            </w:r>
          </w:p>
        </w:tc>
        <w:tc>
          <w:tcPr>
            <w:tcW w:w="3516" w:type="dxa"/>
            <w:tcBorders>
              <w:top w:val="nil"/>
              <w:left w:val="nil"/>
              <w:bottom w:val="nil"/>
              <w:right w:val="nil"/>
            </w:tcBorders>
            <w:noWrap/>
            <w:hideMark/>
          </w:tcPr>
          <w:p w14:paraId="752387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6F1CCEF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3F3C7BF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E6CD9C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00EA49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3712C0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PROMIS-Fatigue Score </w:t>
            </w:r>
          </w:p>
        </w:tc>
        <w:tc>
          <w:tcPr>
            <w:tcW w:w="1667" w:type="dxa"/>
            <w:tcBorders>
              <w:top w:val="nil"/>
              <w:left w:val="nil"/>
              <w:bottom w:val="nil"/>
              <w:right w:val="nil"/>
            </w:tcBorders>
            <w:noWrap/>
            <w:hideMark/>
          </w:tcPr>
          <w:p w14:paraId="657EBB4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19.08 (0.68)</w:t>
            </w:r>
          </w:p>
        </w:tc>
      </w:tr>
      <w:tr w:rsidR="00601A3C" w:rsidRPr="00311360" w14:paraId="1F25E4D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97A4E0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[19]</w:t>
            </w:r>
          </w:p>
        </w:tc>
        <w:tc>
          <w:tcPr>
            <w:tcW w:w="3516" w:type="dxa"/>
            <w:tcBorders>
              <w:top w:val="nil"/>
              <w:left w:val="nil"/>
              <w:bottom w:val="nil"/>
              <w:right w:val="nil"/>
            </w:tcBorders>
            <w:noWrap/>
            <w:hideMark/>
          </w:tcPr>
          <w:p w14:paraId="440FCAD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CE6713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w:t>
            </w:r>
          </w:p>
        </w:tc>
        <w:tc>
          <w:tcPr>
            <w:tcW w:w="3205" w:type="dxa"/>
            <w:tcBorders>
              <w:top w:val="nil"/>
              <w:left w:val="nil"/>
              <w:bottom w:val="nil"/>
              <w:right w:val="nil"/>
            </w:tcBorders>
            <w:noWrap/>
            <w:hideMark/>
          </w:tcPr>
          <w:p w14:paraId="1F91A77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1D2565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6D467C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(SE)</w:t>
            </w:r>
          </w:p>
        </w:tc>
        <w:tc>
          <w:tcPr>
            <w:tcW w:w="2467" w:type="dxa"/>
            <w:tcBorders>
              <w:top w:val="nil"/>
              <w:left w:val="nil"/>
              <w:bottom w:val="nil"/>
              <w:right w:val="nil"/>
            </w:tcBorders>
            <w:noWrap/>
            <w:hideMark/>
          </w:tcPr>
          <w:p w14:paraId="4429E07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PROMIS-Fatigue T-score</w:t>
            </w:r>
          </w:p>
        </w:tc>
        <w:tc>
          <w:tcPr>
            <w:tcW w:w="1667" w:type="dxa"/>
            <w:tcBorders>
              <w:top w:val="nil"/>
              <w:left w:val="nil"/>
              <w:bottom w:val="nil"/>
              <w:right w:val="nil"/>
            </w:tcBorders>
            <w:noWrap/>
            <w:hideMark/>
          </w:tcPr>
          <w:p w14:paraId="159563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55.9 (1.03)</w:t>
            </w:r>
          </w:p>
        </w:tc>
      </w:tr>
      <w:tr w:rsidR="00601A3C" w:rsidRPr="00311360" w14:paraId="5BD5021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BC7E83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[10]</w:t>
            </w:r>
          </w:p>
        </w:tc>
        <w:tc>
          <w:tcPr>
            <w:tcW w:w="3516" w:type="dxa"/>
            <w:tcBorders>
              <w:top w:val="nil"/>
              <w:left w:val="nil"/>
              <w:bottom w:val="nil"/>
              <w:right w:val="nil"/>
            </w:tcBorders>
            <w:noWrap/>
            <w:hideMark/>
          </w:tcPr>
          <w:p w14:paraId="0F253C7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28E301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43D7FAC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SD for changes in HRQL in chronic illness*</w:t>
            </w:r>
          </w:p>
        </w:tc>
        <w:tc>
          <w:tcPr>
            <w:tcW w:w="851" w:type="dxa"/>
            <w:tcBorders>
              <w:top w:val="nil"/>
              <w:left w:val="nil"/>
              <w:bottom w:val="nil"/>
              <w:right w:val="nil"/>
            </w:tcBorders>
            <w:noWrap/>
            <w:hideMark/>
          </w:tcPr>
          <w:p w14:paraId="4FBBCFD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47</w:t>
            </w:r>
          </w:p>
        </w:tc>
        <w:tc>
          <w:tcPr>
            <w:tcW w:w="1119" w:type="dxa"/>
            <w:tcBorders>
              <w:top w:val="nil"/>
              <w:left w:val="nil"/>
              <w:bottom w:val="nil"/>
              <w:right w:val="nil"/>
            </w:tcBorders>
            <w:noWrap/>
            <w:hideMark/>
          </w:tcPr>
          <w:p w14:paraId="73219CD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w:t>
            </w:r>
          </w:p>
        </w:tc>
        <w:tc>
          <w:tcPr>
            <w:tcW w:w="2467" w:type="dxa"/>
            <w:tcBorders>
              <w:top w:val="nil"/>
              <w:left w:val="nil"/>
              <w:bottom w:val="nil"/>
              <w:right w:val="nil"/>
            </w:tcBorders>
            <w:noWrap/>
            <w:hideMark/>
          </w:tcPr>
          <w:p w14:paraId="6B8A91E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Entire cohort</w:t>
            </w:r>
          </w:p>
        </w:tc>
        <w:tc>
          <w:tcPr>
            <w:tcW w:w="1667" w:type="dxa"/>
            <w:tcBorders>
              <w:top w:val="nil"/>
              <w:left w:val="nil"/>
              <w:bottom w:val="nil"/>
              <w:right w:val="nil"/>
            </w:tcBorders>
            <w:noWrap/>
            <w:hideMark/>
          </w:tcPr>
          <w:p w14:paraId="3E0B8AB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53.7 (46.1–60)</w:t>
            </w:r>
          </w:p>
        </w:tc>
      </w:tr>
      <w:tr w:rsidR="00601A3C" w:rsidRPr="00311360" w14:paraId="272B7C4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5BF13D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[10]</w:t>
            </w:r>
          </w:p>
        </w:tc>
        <w:tc>
          <w:tcPr>
            <w:tcW w:w="3516" w:type="dxa"/>
            <w:tcBorders>
              <w:top w:val="nil"/>
              <w:left w:val="nil"/>
              <w:bottom w:val="nil"/>
              <w:right w:val="nil"/>
            </w:tcBorders>
            <w:noWrap/>
            <w:hideMark/>
          </w:tcPr>
          <w:p w14:paraId="5E69CC6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1BD300A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08CBF45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SD for changes in HRQL in chronic illness*</w:t>
            </w:r>
          </w:p>
        </w:tc>
        <w:tc>
          <w:tcPr>
            <w:tcW w:w="851" w:type="dxa"/>
            <w:tcBorders>
              <w:top w:val="nil"/>
              <w:left w:val="nil"/>
              <w:bottom w:val="nil"/>
              <w:right w:val="nil"/>
            </w:tcBorders>
            <w:noWrap/>
            <w:hideMark/>
          </w:tcPr>
          <w:p w14:paraId="1369448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4877059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w:t>
            </w:r>
          </w:p>
        </w:tc>
        <w:tc>
          <w:tcPr>
            <w:tcW w:w="2467" w:type="dxa"/>
            <w:tcBorders>
              <w:top w:val="nil"/>
              <w:left w:val="nil"/>
              <w:bottom w:val="nil"/>
              <w:right w:val="nil"/>
            </w:tcBorders>
            <w:noWrap/>
            <w:hideMark/>
          </w:tcPr>
          <w:p w14:paraId="191DAF0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Male</w:t>
            </w:r>
          </w:p>
        </w:tc>
        <w:tc>
          <w:tcPr>
            <w:tcW w:w="1667" w:type="dxa"/>
            <w:tcBorders>
              <w:top w:val="nil"/>
              <w:left w:val="nil"/>
              <w:bottom w:val="nil"/>
              <w:right w:val="nil"/>
            </w:tcBorders>
            <w:noWrap/>
            <w:hideMark/>
          </w:tcPr>
          <w:p w14:paraId="22D02BC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45.15 (33.4–47.8) </w:t>
            </w:r>
          </w:p>
        </w:tc>
      </w:tr>
      <w:tr w:rsidR="00601A3C" w:rsidRPr="00311360" w14:paraId="03C0E7A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A4AAE1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[10]</w:t>
            </w:r>
          </w:p>
        </w:tc>
        <w:tc>
          <w:tcPr>
            <w:tcW w:w="3516" w:type="dxa"/>
            <w:tcBorders>
              <w:top w:val="nil"/>
              <w:left w:val="nil"/>
              <w:bottom w:val="nil"/>
              <w:right w:val="nil"/>
            </w:tcBorders>
            <w:noWrap/>
            <w:hideMark/>
          </w:tcPr>
          <w:p w14:paraId="2E05987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27B6436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64589A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SD for changes in HRQL in chronic illness*</w:t>
            </w:r>
          </w:p>
        </w:tc>
        <w:tc>
          <w:tcPr>
            <w:tcW w:w="851" w:type="dxa"/>
            <w:tcBorders>
              <w:top w:val="nil"/>
              <w:left w:val="nil"/>
              <w:bottom w:val="nil"/>
              <w:right w:val="nil"/>
            </w:tcBorders>
            <w:noWrap/>
            <w:hideMark/>
          </w:tcPr>
          <w:p w14:paraId="04BEE2C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37</w:t>
            </w:r>
          </w:p>
        </w:tc>
        <w:tc>
          <w:tcPr>
            <w:tcW w:w="1119" w:type="dxa"/>
            <w:tcBorders>
              <w:top w:val="nil"/>
              <w:left w:val="nil"/>
              <w:bottom w:val="nil"/>
              <w:right w:val="nil"/>
            </w:tcBorders>
            <w:noWrap/>
            <w:hideMark/>
          </w:tcPr>
          <w:p w14:paraId="2A0F941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w:t>
            </w:r>
          </w:p>
        </w:tc>
        <w:tc>
          <w:tcPr>
            <w:tcW w:w="2467" w:type="dxa"/>
            <w:tcBorders>
              <w:top w:val="nil"/>
              <w:left w:val="nil"/>
              <w:bottom w:val="nil"/>
              <w:right w:val="nil"/>
            </w:tcBorders>
            <w:noWrap/>
            <w:hideMark/>
          </w:tcPr>
          <w:p w14:paraId="32B1D4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Female</w:t>
            </w:r>
          </w:p>
        </w:tc>
        <w:tc>
          <w:tcPr>
            <w:tcW w:w="1667" w:type="dxa"/>
            <w:tcBorders>
              <w:top w:val="nil"/>
              <w:left w:val="nil"/>
              <w:bottom w:val="nil"/>
              <w:right w:val="nil"/>
            </w:tcBorders>
            <w:noWrap/>
            <w:hideMark/>
          </w:tcPr>
          <w:p w14:paraId="6B324D0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56.3 (49.4–61.2) </w:t>
            </w:r>
          </w:p>
        </w:tc>
      </w:tr>
      <w:tr w:rsidR="00601A3C" w:rsidRPr="00311360" w14:paraId="02CD642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A846FE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[10]</w:t>
            </w:r>
          </w:p>
        </w:tc>
        <w:tc>
          <w:tcPr>
            <w:tcW w:w="3516" w:type="dxa"/>
            <w:tcBorders>
              <w:top w:val="nil"/>
              <w:left w:val="nil"/>
              <w:bottom w:val="nil"/>
              <w:right w:val="nil"/>
            </w:tcBorders>
            <w:noWrap/>
            <w:hideMark/>
          </w:tcPr>
          <w:p w14:paraId="65C5B02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6C03D40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69EB220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T-score metric (M = 50, SD = 10), Higher scores indicate greater fatigue, </w:t>
            </w:r>
            <w:r w:rsidRPr="00311360">
              <w:rPr>
                <w:rFonts w:asciiTheme="minorHAnsi" w:eastAsia="Times New Roman" w:hAnsiTheme="minorHAnsi"/>
                <w:color w:val="000000"/>
                <w:sz w:val="18"/>
                <w:szCs w:val="18"/>
              </w:rPr>
              <w:lastRenderedPageBreak/>
              <w:t>Thresholds: 0.5 SD for changes in HRQL in chronic illness*</w:t>
            </w:r>
          </w:p>
        </w:tc>
        <w:tc>
          <w:tcPr>
            <w:tcW w:w="851" w:type="dxa"/>
            <w:tcBorders>
              <w:top w:val="nil"/>
              <w:left w:val="nil"/>
              <w:bottom w:val="nil"/>
              <w:right w:val="nil"/>
            </w:tcBorders>
            <w:noWrap/>
            <w:hideMark/>
          </w:tcPr>
          <w:p w14:paraId="7C84898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lastRenderedPageBreak/>
              <w:t>33</w:t>
            </w:r>
          </w:p>
        </w:tc>
        <w:tc>
          <w:tcPr>
            <w:tcW w:w="1119" w:type="dxa"/>
            <w:tcBorders>
              <w:top w:val="nil"/>
              <w:left w:val="nil"/>
              <w:bottom w:val="nil"/>
              <w:right w:val="nil"/>
            </w:tcBorders>
            <w:noWrap/>
            <w:hideMark/>
          </w:tcPr>
          <w:p w14:paraId="039DFCD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w:t>
            </w:r>
          </w:p>
        </w:tc>
        <w:tc>
          <w:tcPr>
            <w:tcW w:w="2467" w:type="dxa"/>
            <w:tcBorders>
              <w:top w:val="nil"/>
              <w:left w:val="nil"/>
              <w:bottom w:val="nil"/>
              <w:right w:val="nil"/>
            </w:tcBorders>
            <w:noWrap/>
            <w:hideMark/>
          </w:tcPr>
          <w:p w14:paraId="5EF92EC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Pain on 3 or more days/week</w:t>
            </w:r>
          </w:p>
        </w:tc>
        <w:tc>
          <w:tcPr>
            <w:tcW w:w="1667" w:type="dxa"/>
            <w:tcBorders>
              <w:top w:val="nil"/>
              <w:left w:val="nil"/>
              <w:bottom w:val="nil"/>
              <w:right w:val="nil"/>
            </w:tcBorders>
            <w:noWrap/>
            <w:hideMark/>
          </w:tcPr>
          <w:p w14:paraId="18835E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56.3 (47.8–61.2) </w:t>
            </w:r>
          </w:p>
        </w:tc>
      </w:tr>
      <w:tr w:rsidR="00601A3C" w:rsidRPr="00311360" w14:paraId="2A2889E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C87746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[10]</w:t>
            </w:r>
          </w:p>
        </w:tc>
        <w:tc>
          <w:tcPr>
            <w:tcW w:w="3516" w:type="dxa"/>
            <w:tcBorders>
              <w:top w:val="nil"/>
              <w:left w:val="nil"/>
              <w:bottom w:val="nil"/>
              <w:right w:val="nil"/>
            </w:tcBorders>
            <w:noWrap/>
            <w:hideMark/>
          </w:tcPr>
          <w:p w14:paraId="138A27A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Fatigue SF</w:t>
            </w:r>
          </w:p>
        </w:tc>
        <w:tc>
          <w:tcPr>
            <w:tcW w:w="1225" w:type="dxa"/>
            <w:tcBorders>
              <w:top w:val="nil"/>
              <w:left w:val="nil"/>
              <w:bottom w:val="nil"/>
              <w:right w:val="nil"/>
            </w:tcBorders>
            <w:noWrap/>
            <w:hideMark/>
          </w:tcPr>
          <w:p w14:paraId="362123E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306AA7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 Thresholds: 0.5 SD for changes in HRQL in chronic illness*</w:t>
            </w:r>
          </w:p>
        </w:tc>
        <w:tc>
          <w:tcPr>
            <w:tcW w:w="851" w:type="dxa"/>
            <w:tcBorders>
              <w:top w:val="nil"/>
              <w:left w:val="nil"/>
              <w:bottom w:val="nil"/>
              <w:right w:val="nil"/>
            </w:tcBorders>
            <w:noWrap/>
            <w:hideMark/>
          </w:tcPr>
          <w:p w14:paraId="06BA62C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376D5B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w:t>
            </w:r>
          </w:p>
        </w:tc>
        <w:tc>
          <w:tcPr>
            <w:tcW w:w="2467" w:type="dxa"/>
            <w:tcBorders>
              <w:top w:val="nil"/>
              <w:left w:val="nil"/>
              <w:bottom w:val="nil"/>
              <w:right w:val="nil"/>
            </w:tcBorders>
            <w:noWrap/>
            <w:hideMark/>
          </w:tcPr>
          <w:p w14:paraId="796B189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Pain &lt;3 days/week</w:t>
            </w:r>
          </w:p>
        </w:tc>
        <w:tc>
          <w:tcPr>
            <w:tcW w:w="1667" w:type="dxa"/>
            <w:tcBorders>
              <w:top w:val="nil"/>
              <w:left w:val="nil"/>
              <w:bottom w:val="nil"/>
              <w:right w:val="nil"/>
            </w:tcBorders>
            <w:noWrap/>
            <w:hideMark/>
          </w:tcPr>
          <w:p w14:paraId="1C9C104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50.15 (44.2–53.7) </w:t>
            </w:r>
          </w:p>
        </w:tc>
      </w:tr>
      <w:tr w:rsidR="00601A3C" w:rsidRPr="00311360" w14:paraId="084CC31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03FE35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5E00B0A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5B85FE3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3E764E0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5B9B8E3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34</w:t>
            </w:r>
          </w:p>
        </w:tc>
        <w:tc>
          <w:tcPr>
            <w:tcW w:w="1119" w:type="dxa"/>
            <w:tcBorders>
              <w:top w:val="nil"/>
              <w:left w:val="nil"/>
              <w:bottom w:val="nil"/>
              <w:right w:val="nil"/>
            </w:tcBorders>
            <w:noWrap/>
            <w:hideMark/>
          </w:tcPr>
          <w:p w14:paraId="79ACF9D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7BF905E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1B64E25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49.4 (39.9-60.9)</w:t>
            </w:r>
          </w:p>
        </w:tc>
      </w:tr>
      <w:tr w:rsidR="00601A3C" w:rsidRPr="00311360" w14:paraId="380FD38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3E5BAE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F40E0F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702B5B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5E02662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D16C2B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0D397FD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71EA10E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12-17 years</w:t>
            </w:r>
          </w:p>
        </w:tc>
        <w:tc>
          <w:tcPr>
            <w:tcW w:w="1667" w:type="dxa"/>
            <w:tcBorders>
              <w:top w:val="nil"/>
              <w:left w:val="nil"/>
              <w:bottom w:val="nil"/>
              <w:right w:val="nil"/>
            </w:tcBorders>
            <w:noWrap/>
            <w:hideMark/>
          </w:tcPr>
          <w:p w14:paraId="3B9757C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46.2 (35-57.1)</w:t>
            </w:r>
          </w:p>
        </w:tc>
      </w:tr>
      <w:tr w:rsidR="00601A3C" w:rsidRPr="00311360" w14:paraId="070B7D1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23382A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D28A7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3BB54B4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3514A0F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36F8E2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19AD3C0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5E45B2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18-22 years</w:t>
            </w:r>
          </w:p>
        </w:tc>
        <w:tc>
          <w:tcPr>
            <w:tcW w:w="1667" w:type="dxa"/>
            <w:tcBorders>
              <w:top w:val="nil"/>
              <w:left w:val="nil"/>
              <w:bottom w:val="nil"/>
              <w:right w:val="nil"/>
            </w:tcBorders>
            <w:noWrap/>
            <w:hideMark/>
          </w:tcPr>
          <w:p w14:paraId="448A41C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60.7 (51-62.6)</w:t>
            </w:r>
          </w:p>
        </w:tc>
      </w:tr>
      <w:tr w:rsidR="00601A3C" w:rsidRPr="00311360" w14:paraId="7C53043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ECA9B7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1DBC1D3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54B8DAA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52A860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078CAF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550EC76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303E52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Male</w:t>
            </w:r>
          </w:p>
        </w:tc>
        <w:tc>
          <w:tcPr>
            <w:tcW w:w="1667" w:type="dxa"/>
            <w:tcBorders>
              <w:top w:val="nil"/>
              <w:left w:val="nil"/>
              <w:bottom w:val="nil"/>
              <w:right w:val="nil"/>
            </w:tcBorders>
            <w:noWrap/>
            <w:hideMark/>
          </w:tcPr>
          <w:p w14:paraId="377AC7E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45.3 (39.1-54.1)</w:t>
            </w:r>
          </w:p>
        </w:tc>
      </w:tr>
      <w:tr w:rsidR="00601A3C" w:rsidRPr="00311360" w14:paraId="563C0D0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7D5870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75A9D14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0ECFC5A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53DD63C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F492B7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65158F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731294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Female</w:t>
            </w:r>
          </w:p>
        </w:tc>
        <w:tc>
          <w:tcPr>
            <w:tcW w:w="1667" w:type="dxa"/>
            <w:tcBorders>
              <w:top w:val="nil"/>
              <w:left w:val="nil"/>
              <w:bottom w:val="nil"/>
              <w:right w:val="nil"/>
            </w:tcBorders>
            <w:noWrap/>
            <w:hideMark/>
          </w:tcPr>
          <w:p w14:paraId="0408875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57.1 (48.8-62) </w:t>
            </w:r>
          </w:p>
        </w:tc>
      </w:tr>
      <w:tr w:rsidR="00601A3C" w:rsidRPr="00311360" w14:paraId="1735DC4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8CDE21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6D67B74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3EEE91E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616041D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4CA45F8"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1EEB20C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D5512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Chronic pain</w:t>
            </w:r>
          </w:p>
        </w:tc>
        <w:tc>
          <w:tcPr>
            <w:tcW w:w="1667" w:type="dxa"/>
            <w:tcBorders>
              <w:top w:val="nil"/>
              <w:left w:val="nil"/>
              <w:bottom w:val="nil"/>
              <w:right w:val="nil"/>
            </w:tcBorders>
            <w:noWrap/>
            <w:hideMark/>
          </w:tcPr>
          <w:p w14:paraId="03A2CA4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61.5 (60.9-62)</w:t>
            </w:r>
          </w:p>
        </w:tc>
      </w:tr>
      <w:tr w:rsidR="00601A3C" w:rsidRPr="00311360" w14:paraId="1931AF4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8517B2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[6]</w:t>
            </w:r>
          </w:p>
        </w:tc>
        <w:tc>
          <w:tcPr>
            <w:tcW w:w="3516" w:type="dxa"/>
            <w:tcBorders>
              <w:top w:val="nil"/>
              <w:left w:val="nil"/>
              <w:bottom w:val="nil"/>
              <w:right w:val="nil"/>
            </w:tcBorders>
            <w:noWrap/>
            <w:hideMark/>
          </w:tcPr>
          <w:p w14:paraId="38ED25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CC3DBFC"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Vary within and in-between patients*</w:t>
            </w:r>
          </w:p>
        </w:tc>
        <w:tc>
          <w:tcPr>
            <w:tcW w:w="3205" w:type="dxa"/>
            <w:tcBorders>
              <w:top w:val="nil"/>
              <w:left w:val="nil"/>
              <w:bottom w:val="nil"/>
              <w:right w:val="nil"/>
            </w:tcBorders>
            <w:noWrap/>
            <w:hideMark/>
          </w:tcPr>
          <w:p w14:paraId="00DB5FD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AF96AF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1119" w:type="dxa"/>
            <w:tcBorders>
              <w:top w:val="nil"/>
              <w:left w:val="nil"/>
              <w:bottom w:val="nil"/>
              <w:right w:val="nil"/>
            </w:tcBorders>
            <w:noWrap/>
            <w:hideMark/>
          </w:tcPr>
          <w:p w14:paraId="4D88683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5138C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chronic pain</w:t>
            </w:r>
          </w:p>
        </w:tc>
        <w:tc>
          <w:tcPr>
            <w:tcW w:w="1667" w:type="dxa"/>
            <w:tcBorders>
              <w:top w:val="nil"/>
              <w:left w:val="nil"/>
              <w:bottom w:val="nil"/>
              <w:right w:val="nil"/>
            </w:tcBorders>
            <w:noWrap/>
            <w:hideMark/>
          </w:tcPr>
          <w:p w14:paraId="59F4A38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49 (39.9-60) </w:t>
            </w:r>
          </w:p>
        </w:tc>
      </w:tr>
      <w:tr w:rsidR="00601A3C" w:rsidRPr="00311360" w14:paraId="2DE35EA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21E3D1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[7]</w:t>
            </w:r>
          </w:p>
        </w:tc>
        <w:tc>
          <w:tcPr>
            <w:tcW w:w="3516" w:type="dxa"/>
            <w:tcBorders>
              <w:top w:val="nil"/>
              <w:left w:val="nil"/>
              <w:bottom w:val="nil"/>
              <w:right w:val="nil"/>
            </w:tcBorders>
            <w:noWrap/>
            <w:hideMark/>
          </w:tcPr>
          <w:p w14:paraId="7D197BD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55B07F3B"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6F0DE72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369B28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08F2226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4C1FC3C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hospitalizations in 1 year prior</w:t>
            </w:r>
          </w:p>
        </w:tc>
        <w:tc>
          <w:tcPr>
            <w:tcW w:w="1667" w:type="dxa"/>
            <w:tcBorders>
              <w:top w:val="nil"/>
              <w:left w:val="nil"/>
              <w:bottom w:val="nil"/>
              <w:right w:val="nil"/>
            </w:tcBorders>
            <w:noWrap/>
            <w:hideMark/>
          </w:tcPr>
          <w:p w14:paraId="79A79A9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45.3 (35.2–49.7)</w:t>
            </w:r>
          </w:p>
        </w:tc>
      </w:tr>
      <w:tr w:rsidR="00601A3C" w:rsidRPr="00311360" w14:paraId="24BF32B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6B278B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[7]</w:t>
            </w:r>
          </w:p>
        </w:tc>
        <w:tc>
          <w:tcPr>
            <w:tcW w:w="3516" w:type="dxa"/>
            <w:tcBorders>
              <w:top w:val="nil"/>
              <w:left w:val="nil"/>
              <w:bottom w:val="nil"/>
              <w:right w:val="nil"/>
            </w:tcBorders>
            <w:noWrap/>
            <w:hideMark/>
          </w:tcPr>
          <w:p w14:paraId="07CEEF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28CA09D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69E72C8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4A336B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11</w:t>
            </w:r>
          </w:p>
        </w:tc>
        <w:tc>
          <w:tcPr>
            <w:tcW w:w="1119" w:type="dxa"/>
            <w:tcBorders>
              <w:top w:val="nil"/>
              <w:left w:val="nil"/>
              <w:bottom w:val="nil"/>
              <w:right w:val="nil"/>
            </w:tcBorders>
            <w:noWrap/>
            <w:hideMark/>
          </w:tcPr>
          <w:p w14:paraId="6475F85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1CC626B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hospitalizations in 1 year prior</w:t>
            </w:r>
          </w:p>
        </w:tc>
        <w:tc>
          <w:tcPr>
            <w:tcW w:w="1667" w:type="dxa"/>
            <w:tcBorders>
              <w:top w:val="nil"/>
              <w:left w:val="nil"/>
              <w:bottom w:val="nil"/>
              <w:right w:val="nil"/>
            </w:tcBorders>
            <w:noWrap/>
            <w:hideMark/>
          </w:tcPr>
          <w:p w14:paraId="78C7D1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48.8 (35–62.4)</w:t>
            </w:r>
          </w:p>
        </w:tc>
      </w:tr>
      <w:tr w:rsidR="00601A3C" w:rsidRPr="00311360" w14:paraId="295393C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6087EC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[7]</w:t>
            </w:r>
          </w:p>
        </w:tc>
        <w:tc>
          <w:tcPr>
            <w:tcW w:w="3516" w:type="dxa"/>
            <w:tcBorders>
              <w:top w:val="nil"/>
              <w:left w:val="nil"/>
              <w:bottom w:val="nil"/>
              <w:right w:val="nil"/>
            </w:tcBorders>
            <w:noWrap/>
            <w:hideMark/>
          </w:tcPr>
          <w:p w14:paraId="1EF36C6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B92B7C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6A06F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13E1B20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1119" w:type="dxa"/>
            <w:tcBorders>
              <w:top w:val="nil"/>
              <w:left w:val="nil"/>
              <w:bottom w:val="nil"/>
              <w:right w:val="nil"/>
            </w:tcBorders>
            <w:noWrap/>
            <w:hideMark/>
          </w:tcPr>
          <w:p w14:paraId="54768E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347AE4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Hospitalizations &gt; or = 4 in 1 year prior</w:t>
            </w:r>
          </w:p>
        </w:tc>
        <w:tc>
          <w:tcPr>
            <w:tcW w:w="1667" w:type="dxa"/>
            <w:tcBorders>
              <w:top w:val="nil"/>
              <w:left w:val="nil"/>
              <w:bottom w:val="nil"/>
              <w:right w:val="nil"/>
            </w:tcBorders>
            <w:noWrap/>
            <w:hideMark/>
          </w:tcPr>
          <w:p w14:paraId="4FF5F2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61.5 (57.1–63.1) </w:t>
            </w:r>
          </w:p>
        </w:tc>
      </w:tr>
      <w:tr w:rsidR="00601A3C" w:rsidRPr="00311360" w14:paraId="66315C6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659BFF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[8]</w:t>
            </w:r>
          </w:p>
        </w:tc>
        <w:tc>
          <w:tcPr>
            <w:tcW w:w="3516" w:type="dxa"/>
            <w:tcBorders>
              <w:top w:val="nil"/>
              <w:left w:val="nil"/>
              <w:bottom w:val="nil"/>
              <w:right w:val="nil"/>
            </w:tcBorders>
            <w:noWrap/>
            <w:hideMark/>
          </w:tcPr>
          <w:p w14:paraId="3C2746A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9CEEE5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2299EF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067473B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31</w:t>
            </w:r>
          </w:p>
        </w:tc>
        <w:tc>
          <w:tcPr>
            <w:tcW w:w="1119" w:type="dxa"/>
            <w:tcBorders>
              <w:top w:val="nil"/>
              <w:left w:val="nil"/>
              <w:bottom w:val="nil"/>
              <w:right w:val="nil"/>
            </w:tcBorders>
            <w:noWrap/>
            <w:hideMark/>
          </w:tcPr>
          <w:p w14:paraId="3C8894A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EBB2AE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sample</w:t>
            </w:r>
          </w:p>
        </w:tc>
        <w:tc>
          <w:tcPr>
            <w:tcW w:w="1667" w:type="dxa"/>
            <w:tcBorders>
              <w:top w:val="nil"/>
              <w:left w:val="nil"/>
              <w:bottom w:val="nil"/>
              <w:right w:val="nil"/>
            </w:tcBorders>
            <w:noWrap/>
            <w:hideMark/>
          </w:tcPr>
          <w:p w14:paraId="4D6992C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49.4 (39.9-60.9)</w:t>
            </w:r>
          </w:p>
        </w:tc>
      </w:tr>
      <w:tr w:rsidR="00601A3C" w:rsidRPr="00311360" w14:paraId="199D193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EB2890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724082F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2FEC8C3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20CB7E5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39BA5BB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22</w:t>
            </w:r>
          </w:p>
        </w:tc>
        <w:tc>
          <w:tcPr>
            <w:tcW w:w="1119" w:type="dxa"/>
            <w:tcBorders>
              <w:top w:val="nil"/>
              <w:left w:val="nil"/>
              <w:bottom w:val="nil"/>
              <w:right w:val="nil"/>
            </w:tcBorders>
            <w:noWrap/>
            <w:hideMark/>
          </w:tcPr>
          <w:p w14:paraId="3D5E72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B4FD0C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Low adherence to HU (according to MMAS-8)</w:t>
            </w:r>
          </w:p>
        </w:tc>
        <w:tc>
          <w:tcPr>
            <w:tcW w:w="1667" w:type="dxa"/>
            <w:tcBorders>
              <w:top w:val="nil"/>
              <w:left w:val="nil"/>
              <w:bottom w:val="nil"/>
              <w:right w:val="nil"/>
            </w:tcBorders>
            <w:noWrap/>
            <w:hideMark/>
          </w:tcPr>
          <w:p w14:paraId="7008B8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55.5 (45.8–62.2)</w:t>
            </w:r>
          </w:p>
        </w:tc>
      </w:tr>
      <w:tr w:rsidR="00601A3C" w:rsidRPr="00311360" w14:paraId="4B403A0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ADC658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342F1DF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0E9D8299"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BA7D05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FF0929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22</w:t>
            </w:r>
          </w:p>
        </w:tc>
        <w:tc>
          <w:tcPr>
            <w:tcW w:w="1119" w:type="dxa"/>
            <w:tcBorders>
              <w:top w:val="nil"/>
              <w:left w:val="nil"/>
              <w:bottom w:val="nil"/>
              <w:right w:val="nil"/>
            </w:tcBorders>
            <w:noWrap/>
            <w:hideMark/>
          </w:tcPr>
          <w:p w14:paraId="4B35784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D546E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Moderate/high adherence to HU (according to MMAS-8)</w:t>
            </w:r>
          </w:p>
        </w:tc>
        <w:tc>
          <w:tcPr>
            <w:tcW w:w="1667" w:type="dxa"/>
            <w:tcBorders>
              <w:top w:val="nil"/>
              <w:left w:val="nil"/>
              <w:bottom w:val="nil"/>
              <w:right w:val="nil"/>
            </w:tcBorders>
            <w:noWrap/>
            <w:hideMark/>
          </w:tcPr>
          <w:p w14:paraId="0B0EA0E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39.1 (28.3–43.7)</w:t>
            </w:r>
          </w:p>
        </w:tc>
      </w:tr>
      <w:tr w:rsidR="00601A3C" w:rsidRPr="00311360" w14:paraId="17E56C4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9FFE70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694EDD5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18F59A9"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436F5B3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20A6CD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w:t>
            </w:r>
          </w:p>
        </w:tc>
        <w:tc>
          <w:tcPr>
            <w:tcW w:w="1119" w:type="dxa"/>
            <w:tcBorders>
              <w:top w:val="nil"/>
              <w:left w:val="nil"/>
              <w:bottom w:val="nil"/>
              <w:right w:val="nil"/>
            </w:tcBorders>
            <w:noWrap/>
            <w:hideMark/>
          </w:tcPr>
          <w:p w14:paraId="04FE98F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63E6D2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Low HbF % levels &lt;16%</w:t>
            </w:r>
          </w:p>
        </w:tc>
        <w:tc>
          <w:tcPr>
            <w:tcW w:w="1667" w:type="dxa"/>
            <w:tcBorders>
              <w:top w:val="nil"/>
              <w:left w:val="nil"/>
              <w:bottom w:val="nil"/>
              <w:right w:val="nil"/>
            </w:tcBorders>
            <w:noWrap/>
            <w:hideMark/>
          </w:tcPr>
          <w:p w14:paraId="13ED767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52.6 (35–62.7)</w:t>
            </w:r>
          </w:p>
        </w:tc>
      </w:tr>
      <w:tr w:rsidR="00601A3C" w:rsidRPr="00311360" w14:paraId="45B9963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7786FA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425F736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62DA9F7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825684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4E1E853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03EA9BB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5A65003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 HbF % levels &gt; or =16%</w:t>
            </w:r>
          </w:p>
        </w:tc>
        <w:tc>
          <w:tcPr>
            <w:tcW w:w="1667" w:type="dxa"/>
            <w:tcBorders>
              <w:top w:val="nil"/>
              <w:left w:val="nil"/>
              <w:bottom w:val="nil"/>
              <w:right w:val="nil"/>
            </w:tcBorders>
            <w:noWrap/>
            <w:hideMark/>
          </w:tcPr>
          <w:p w14:paraId="6FC723E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47.7 (39.5–58.8)</w:t>
            </w:r>
          </w:p>
        </w:tc>
      </w:tr>
      <w:tr w:rsidR="00601A3C" w:rsidRPr="00311360" w14:paraId="5A02E64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BC5478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5A56B8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BE55D8F"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394319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5E32782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51396EE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36066D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MCV levels &lt;102 fl</w:t>
            </w:r>
          </w:p>
        </w:tc>
        <w:tc>
          <w:tcPr>
            <w:tcW w:w="1667" w:type="dxa"/>
            <w:tcBorders>
              <w:top w:val="nil"/>
              <w:left w:val="nil"/>
              <w:bottom w:val="nil"/>
              <w:right w:val="nil"/>
            </w:tcBorders>
            <w:noWrap/>
            <w:hideMark/>
          </w:tcPr>
          <w:p w14:paraId="4457090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60.5 (50–63.5)</w:t>
            </w:r>
          </w:p>
        </w:tc>
      </w:tr>
      <w:tr w:rsidR="00601A3C" w:rsidRPr="00311360" w14:paraId="694106F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C481DB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[8]</w:t>
            </w:r>
          </w:p>
        </w:tc>
        <w:tc>
          <w:tcPr>
            <w:tcW w:w="3516" w:type="dxa"/>
            <w:tcBorders>
              <w:top w:val="nil"/>
              <w:left w:val="nil"/>
              <w:bottom w:val="nil"/>
              <w:right w:val="nil"/>
            </w:tcBorders>
            <w:noWrap/>
            <w:hideMark/>
          </w:tcPr>
          <w:p w14:paraId="35A9922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557FE37"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BC051F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C15E76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12</w:t>
            </w:r>
          </w:p>
        </w:tc>
        <w:tc>
          <w:tcPr>
            <w:tcW w:w="1119" w:type="dxa"/>
            <w:tcBorders>
              <w:top w:val="nil"/>
              <w:left w:val="nil"/>
              <w:bottom w:val="nil"/>
              <w:right w:val="nil"/>
            </w:tcBorders>
            <w:noWrap/>
            <w:hideMark/>
          </w:tcPr>
          <w:p w14:paraId="6F5AE60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D37A0B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MCV levels &gt; or = 102 fl</w:t>
            </w:r>
          </w:p>
        </w:tc>
        <w:tc>
          <w:tcPr>
            <w:tcW w:w="1667" w:type="dxa"/>
            <w:tcBorders>
              <w:top w:val="nil"/>
              <w:left w:val="nil"/>
              <w:bottom w:val="nil"/>
              <w:right w:val="nil"/>
            </w:tcBorders>
            <w:noWrap/>
            <w:hideMark/>
          </w:tcPr>
          <w:p w14:paraId="2A1E58C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39.5 (31–50.2)</w:t>
            </w:r>
          </w:p>
        </w:tc>
      </w:tr>
      <w:tr w:rsidR="00601A3C" w:rsidRPr="00311360" w14:paraId="2BDB5D6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EB4F37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7EEC1B5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42E23BB7"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C19A43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EBE79F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6C59255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32FA27C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Negative belief</w:t>
            </w:r>
          </w:p>
        </w:tc>
        <w:tc>
          <w:tcPr>
            <w:tcW w:w="1667" w:type="dxa"/>
            <w:tcBorders>
              <w:top w:val="nil"/>
              <w:left w:val="nil"/>
              <w:bottom w:val="nil"/>
              <w:right w:val="nil"/>
            </w:tcBorders>
            <w:noWrap/>
            <w:hideMark/>
          </w:tcPr>
          <w:p w14:paraId="41D5383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53 (44-61) </w:t>
            </w:r>
          </w:p>
        </w:tc>
      </w:tr>
      <w:tr w:rsidR="00601A3C" w:rsidRPr="00311360" w14:paraId="4472F5C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99BA2D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02C4060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3528EDA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E32CE3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7E1E89B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nil"/>
              <w:right w:val="nil"/>
            </w:tcBorders>
            <w:noWrap/>
            <w:hideMark/>
          </w:tcPr>
          <w:p w14:paraId="749735D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67F9174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negative belief</w:t>
            </w:r>
          </w:p>
        </w:tc>
        <w:tc>
          <w:tcPr>
            <w:tcW w:w="1667" w:type="dxa"/>
            <w:tcBorders>
              <w:top w:val="nil"/>
              <w:left w:val="nil"/>
              <w:bottom w:val="nil"/>
              <w:right w:val="nil"/>
            </w:tcBorders>
            <w:noWrap/>
            <w:hideMark/>
          </w:tcPr>
          <w:p w14:paraId="59FFC69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49 (40-61)</w:t>
            </w:r>
          </w:p>
        </w:tc>
      </w:tr>
      <w:tr w:rsidR="00601A3C" w:rsidRPr="00311360" w14:paraId="7E45D58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94BF2D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41AF0AC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733C44E2"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6A2B89D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353BAC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w:t>
            </w:r>
          </w:p>
        </w:tc>
        <w:tc>
          <w:tcPr>
            <w:tcW w:w="1119" w:type="dxa"/>
            <w:tcBorders>
              <w:top w:val="nil"/>
              <w:left w:val="nil"/>
              <w:bottom w:val="nil"/>
              <w:right w:val="nil"/>
            </w:tcBorders>
            <w:noWrap/>
            <w:hideMark/>
          </w:tcPr>
          <w:p w14:paraId="5E31043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197B73F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Recall barrier</w:t>
            </w:r>
          </w:p>
        </w:tc>
        <w:tc>
          <w:tcPr>
            <w:tcW w:w="1667" w:type="dxa"/>
            <w:tcBorders>
              <w:top w:val="nil"/>
              <w:left w:val="nil"/>
              <w:bottom w:val="nil"/>
              <w:right w:val="nil"/>
            </w:tcBorders>
            <w:noWrap/>
            <w:hideMark/>
          </w:tcPr>
          <w:p w14:paraId="301DB21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59 (45-64)</w:t>
            </w:r>
          </w:p>
        </w:tc>
      </w:tr>
      <w:tr w:rsidR="00601A3C" w:rsidRPr="00311360" w14:paraId="57477BE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81D663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7AE76BF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1B2541E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7F5E72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655E063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17</w:t>
            </w:r>
          </w:p>
        </w:tc>
        <w:tc>
          <w:tcPr>
            <w:tcW w:w="1119" w:type="dxa"/>
            <w:tcBorders>
              <w:top w:val="nil"/>
              <w:left w:val="nil"/>
              <w:bottom w:val="nil"/>
              <w:right w:val="nil"/>
            </w:tcBorders>
            <w:noWrap/>
            <w:hideMark/>
          </w:tcPr>
          <w:p w14:paraId="6321F27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285F30F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recall barrier</w:t>
            </w:r>
          </w:p>
        </w:tc>
        <w:tc>
          <w:tcPr>
            <w:tcW w:w="1667" w:type="dxa"/>
            <w:tcBorders>
              <w:top w:val="nil"/>
              <w:left w:val="nil"/>
              <w:bottom w:val="nil"/>
              <w:right w:val="nil"/>
            </w:tcBorders>
            <w:noWrap/>
            <w:hideMark/>
          </w:tcPr>
          <w:p w14:paraId="66E76CD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46 (35-54)</w:t>
            </w:r>
          </w:p>
        </w:tc>
      </w:tr>
      <w:tr w:rsidR="00601A3C" w:rsidRPr="00311360" w14:paraId="6EFD767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C681F4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nil"/>
              <w:right w:val="nil"/>
            </w:tcBorders>
            <w:noWrap/>
            <w:hideMark/>
          </w:tcPr>
          <w:p w14:paraId="7185F8D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nil"/>
              <w:right w:val="nil"/>
            </w:tcBorders>
            <w:noWrap/>
            <w:hideMark/>
          </w:tcPr>
          <w:p w14:paraId="3BA8DDC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nil"/>
              <w:right w:val="nil"/>
            </w:tcBorders>
            <w:noWrap/>
            <w:hideMark/>
          </w:tcPr>
          <w:p w14:paraId="5850C44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nil"/>
              <w:right w:val="nil"/>
            </w:tcBorders>
            <w:noWrap/>
            <w:hideMark/>
          </w:tcPr>
          <w:p w14:paraId="2D86BF5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w:t>
            </w:r>
          </w:p>
        </w:tc>
        <w:tc>
          <w:tcPr>
            <w:tcW w:w="1119" w:type="dxa"/>
            <w:tcBorders>
              <w:top w:val="nil"/>
              <w:left w:val="nil"/>
              <w:bottom w:val="nil"/>
              <w:right w:val="nil"/>
            </w:tcBorders>
            <w:noWrap/>
            <w:hideMark/>
          </w:tcPr>
          <w:p w14:paraId="25676DD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nil"/>
              <w:right w:val="nil"/>
            </w:tcBorders>
            <w:noWrap/>
            <w:hideMark/>
          </w:tcPr>
          <w:p w14:paraId="0BEE51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Access barrier</w:t>
            </w:r>
          </w:p>
        </w:tc>
        <w:tc>
          <w:tcPr>
            <w:tcW w:w="1667" w:type="dxa"/>
            <w:tcBorders>
              <w:top w:val="nil"/>
              <w:left w:val="nil"/>
              <w:bottom w:val="nil"/>
              <w:right w:val="nil"/>
            </w:tcBorders>
            <w:noWrap/>
            <w:hideMark/>
          </w:tcPr>
          <w:p w14:paraId="50A898D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 (44-61)</w:t>
            </w:r>
          </w:p>
        </w:tc>
      </w:tr>
      <w:tr w:rsidR="00601A3C" w:rsidRPr="00311360" w14:paraId="44D78DE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0CB733D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[9]</w:t>
            </w:r>
          </w:p>
        </w:tc>
        <w:tc>
          <w:tcPr>
            <w:tcW w:w="3516" w:type="dxa"/>
            <w:tcBorders>
              <w:top w:val="nil"/>
              <w:left w:val="nil"/>
              <w:bottom w:val="single" w:sz="4" w:space="0" w:color="auto"/>
              <w:right w:val="nil"/>
            </w:tcBorders>
            <w:noWrap/>
            <w:hideMark/>
          </w:tcPr>
          <w:p w14:paraId="6B4D5D6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PROMIS CAT Fatigue domain - Pediatric version and Adult version*</w:t>
            </w:r>
          </w:p>
        </w:tc>
        <w:tc>
          <w:tcPr>
            <w:tcW w:w="1225" w:type="dxa"/>
            <w:tcBorders>
              <w:top w:val="nil"/>
              <w:left w:val="nil"/>
              <w:bottom w:val="single" w:sz="4" w:space="0" w:color="auto"/>
              <w:right w:val="nil"/>
            </w:tcBorders>
            <w:noWrap/>
            <w:hideMark/>
          </w:tcPr>
          <w:p w14:paraId="12053A7F"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w:t>
            </w:r>
          </w:p>
        </w:tc>
        <w:tc>
          <w:tcPr>
            <w:tcW w:w="3205" w:type="dxa"/>
            <w:tcBorders>
              <w:top w:val="nil"/>
              <w:left w:val="nil"/>
              <w:bottom w:val="single" w:sz="4" w:space="0" w:color="auto"/>
              <w:right w:val="nil"/>
            </w:tcBorders>
            <w:noWrap/>
            <w:hideMark/>
          </w:tcPr>
          <w:p w14:paraId="6DA1DA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T-score metric (M = 50, SD = 10), Higher scores indicate greater fatigue</w:t>
            </w:r>
          </w:p>
        </w:tc>
        <w:tc>
          <w:tcPr>
            <w:tcW w:w="851" w:type="dxa"/>
            <w:tcBorders>
              <w:top w:val="nil"/>
              <w:left w:val="nil"/>
              <w:bottom w:val="single" w:sz="4" w:space="0" w:color="auto"/>
              <w:right w:val="nil"/>
            </w:tcBorders>
            <w:noWrap/>
            <w:hideMark/>
          </w:tcPr>
          <w:p w14:paraId="753CBBF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21</w:t>
            </w:r>
          </w:p>
        </w:tc>
        <w:tc>
          <w:tcPr>
            <w:tcW w:w="1119" w:type="dxa"/>
            <w:tcBorders>
              <w:top w:val="nil"/>
              <w:left w:val="nil"/>
              <w:bottom w:val="single" w:sz="4" w:space="0" w:color="auto"/>
              <w:right w:val="nil"/>
            </w:tcBorders>
            <w:noWrap/>
            <w:hideMark/>
          </w:tcPr>
          <w:p w14:paraId="360463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Median (IQR)</w:t>
            </w:r>
          </w:p>
        </w:tc>
        <w:tc>
          <w:tcPr>
            <w:tcW w:w="2467" w:type="dxa"/>
            <w:tcBorders>
              <w:top w:val="nil"/>
              <w:left w:val="nil"/>
              <w:bottom w:val="single" w:sz="4" w:space="0" w:color="auto"/>
              <w:right w:val="nil"/>
            </w:tcBorders>
            <w:noWrap/>
            <w:hideMark/>
          </w:tcPr>
          <w:p w14:paraId="617A498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access barrier</w:t>
            </w:r>
          </w:p>
        </w:tc>
        <w:tc>
          <w:tcPr>
            <w:tcW w:w="1667" w:type="dxa"/>
            <w:tcBorders>
              <w:top w:val="nil"/>
              <w:left w:val="nil"/>
              <w:bottom w:val="single" w:sz="4" w:space="0" w:color="auto"/>
              <w:right w:val="nil"/>
            </w:tcBorders>
            <w:noWrap/>
            <w:hideMark/>
          </w:tcPr>
          <w:p w14:paraId="2B64608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51 (40-61)</w:t>
            </w:r>
          </w:p>
        </w:tc>
      </w:tr>
      <w:tr w:rsidR="00601A3C" w:rsidRPr="00311360" w14:paraId="20651D6A" w14:textId="77777777" w:rsidTr="003F4F9E">
        <w:trPr>
          <w:trHeight w:val="292"/>
        </w:trPr>
        <w:tc>
          <w:tcPr>
            <w:tcW w:w="9030" w:type="dxa"/>
            <w:gridSpan w:val="4"/>
            <w:tcBorders>
              <w:top w:val="single" w:sz="4" w:space="0" w:color="auto"/>
              <w:bottom w:val="single" w:sz="4" w:space="0" w:color="auto"/>
            </w:tcBorders>
            <w:noWrap/>
          </w:tcPr>
          <w:p w14:paraId="1C6CC578"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Brief Fatigue Inventory (BFI)</w:t>
            </w:r>
          </w:p>
        </w:tc>
        <w:tc>
          <w:tcPr>
            <w:tcW w:w="6104" w:type="dxa"/>
            <w:gridSpan w:val="4"/>
            <w:tcBorders>
              <w:top w:val="single" w:sz="4" w:space="0" w:color="auto"/>
              <w:bottom w:val="single" w:sz="4" w:space="0" w:color="auto"/>
            </w:tcBorders>
            <w:noWrap/>
          </w:tcPr>
          <w:p w14:paraId="13E0568D"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p>
        </w:tc>
      </w:tr>
      <w:tr w:rsidR="00601A3C" w:rsidRPr="00311360" w14:paraId="01B138F9" w14:textId="77777777" w:rsidTr="003F4F9E">
        <w:trPr>
          <w:trHeight w:val="292"/>
        </w:trPr>
        <w:tc>
          <w:tcPr>
            <w:tcW w:w="1084" w:type="dxa"/>
            <w:tcBorders>
              <w:top w:val="single" w:sz="4" w:space="0" w:color="auto"/>
              <w:bottom w:val="single" w:sz="4" w:space="0" w:color="auto"/>
            </w:tcBorders>
            <w:noWrap/>
            <w:hideMark/>
          </w:tcPr>
          <w:p w14:paraId="62263C34"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6FE088C7"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13EC3E18"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6916E5AC"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2E75F83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7EC00BB3"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288DDB4C"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6522C374"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688A149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06E3574B"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[3]</w:t>
            </w:r>
          </w:p>
        </w:tc>
        <w:tc>
          <w:tcPr>
            <w:tcW w:w="3516" w:type="dxa"/>
            <w:tcBorders>
              <w:top w:val="single" w:sz="4" w:space="0" w:color="auto"/>
              <w:left w:val="nil"/>
              <w:bottom w:val="nil"/>
              <w:right w:val="nil"/>
            </w:tcBorders>
            <w:noWrap/>
            <w:hideMark/>
          </w:tcPr>
          <w:p w14:paraId="5A98798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single" w:sz="4" w:space="0" w:color="auto"/>
              <w:left w:val="nil"/>
              <w:bottom w:val="nil"/>
              <w:right w:val="nil"/>
            </w:tcBorders>
            <w:noWrap/>
            <w:hideMark/>
          </w:tcPr>
          <w:p w14:paraId="267AA04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single" w:sz="4" w:space="0" w:color="auto"/>
              <w:left w:val="nil"/>
              <w:bottom w:val="nil"/>
              <w:right w:val="nil"/>
            </w:tcBorders>
            <w:noWrap/>
            <w:hideMark/>
          </w:tcPr>
          <w:p w14:paraId="49646EF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single" w:sz="4" w:space="0" w:color="auto"/>
              <w:left w:val="nil"/>
              <w:bottom w:val="nil"/>
              <w:right w:val="nil"/>
            </w:tcBorders>
            <w:noWrap/>
            <w:hideMark/>
          </w:tcPr>
          <w:p w14:paraId="2D02783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119" w:type="dxa"/>
            <w:tcBorders>
              <w:top w:val="single" w:sz="4" w:space="0" w:color="auto"/>
              <w:left w:val="nil"/>
              <w:bottom w:val="nil"/>
              <w:right w:val="nil"/>
            </w:tcBorders>
            <w:noWrap/>
            <w:hideMark/>
          </w:tcPr>
          <w:p w14:paraId="52C99D9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2467" w:type="dxa"/>
            <w:tcBorders>
              <w:top w:val="single" w:sz="4" w:space="0" w:color="auto"/>
              <w:left w:val="nil"/>
              <w:bottom w:val="nil"/>
              <w:right w:val="nil"/>
            </w:tcBorders>
            <w:noWrap/>
            <w:hideMark/>
          </w:tcPr>
          <w:p w14:paraId="1BAF364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667" w:type="dxa"/>
            <w:tcBorders>
              <w:top w:val="single" w:sz="4" w:space="0" w:color="auto"/>
              <w:left w:val="nil"/>
              <w:bottom w:val="nil"/>
              <w:right w:val="nil"/>
            </w:tcBorders>
            <w:noWrap/>
            <w:hideMark/>
          </w:tcPr>
          <w:p w14:paraId="2BC2BAE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r>
      <w:tr w:rsidR="00601A3C" w:rsidRPr="00311360" w14:paraId="521B713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4443C9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18D664D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nil"/>
              <w:left w:val="nil"/>
              <w:bottom w:val="nil"/>
              <w:right w:val="nil"/>
            </w:tcBorders>
            <w:noWrap/>
            <w:hideMark/>
          </w:tcPr>
          <w:p w14:paraId="73E79E7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10*</w:t>
            </w:r>
          </w:p>
        </w:tc>
        <w:tc>
          <w:tcPr>
            <w:tcW w:w="3205" w:type="dxa"/>
            <w:tcBorders>
              <w:top w:val="nil"/>
              <w:left w:val="nil"/>
              <w:bottom w:val="nil"/>
              <w:right w:val="nil"/>
            </w:tcBorders>
            <w:noWrap/>
            <w:hideMark/>
          </w:tcPr>
          <w:p w14:paraId="17B6251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nil"/>
              <w:right w:val="nil"/>
            </w:tcBorders>
            <w:noWrap/>
            <w:hideMark/>
          </w:tcPr>
          <w:p w14:paraId="41B9237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7691823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73D3B7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 Total</w:t>
            </w:r>
          </w:p>
        </w:tc>
        <w:tc>
          <w:tcPr>
            <w:tcW w:w="1667" w:type="dxa"/>
            <w:tcBorders>
              <w:top w:val="nil"/>
              <w:left w:val="nil"/>
              <w:bottom w:val="nil"/>
              <w:right w:val="nil"/>
            </w:tcBorders>
            <w:noWrap/>
            <w:hideMark/>
          </w:tcPr>
          <w:p w14:paraId="13201D9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4.30 (2.16)</w:t>
            </w:r>
          </w:p>
        </w:tc>
      </w:tr>
      <w:tr w:rsidR="00601A3C" w:rsidRPr="00311360" w14:paraId="733B897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1D2F22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14A1356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nil"/>
              <w:left w:val="nil"/>
              <w:bottom w:val="nil"/>
              <w:right w:val="nil"/>
            </w:tcBorders>
            <w:noWrap/>
            <w:hideMark/>
          </w:tcPr>
          <w:p w14:paraId="0789E1A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10*</w:t>
            </w:r>
          </w:p>
        </w:tc>
        <w:tc>
          <w:tcPr>
            <w:tcW w:w="3205" w:type="dxa"/>
            <w:tcBorders>
              <w:top w:val="nil"/>
              <w:left w:val="nil"/>
              <w:bottom w:val="nil"/>
              <w:right w:val="nil"/>
            </w:tcBorders>
            <w:noWrap/>
            <w:hideMark/>
          </w:tcPr>
          <w:p w14:paraId="4FA351A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nil"/>
              <w:right w:val="nil"/>
            </w:tcBorders>
            <w:noWrap/>
            <w:hideMark/>
          </w:tcPr>
          <w:p w14:paraId="477F9F0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0603931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22F069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Now</w:t>
            </w:r>
          </w:p>
        </w:tc>
        <w:tc>
          <w:tcPr>
            <w:tcW w:w="1667" w:type="dxa"/>
            <w:tcBorders>
              <w:top w:val="nil"/>
              <w:left w:val="nil"/>
              <w:bottom w:val="nil"/>
              <w:right w:val="nil"/>
            </w:tcBorders>
            <w:hideMark/>
          </w:tcPr>
          <w:p w14:paraId="711CA6E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3.83 (2.52)</w:t>
            </w:r>
          </w:p>
        </w:tc>
      </w:tr>
      <w:tr w:rsidR="00601A3C" w:rsidRPr="00311360" w14:paraId="1F10D88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E147D6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031BD20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nil"/>
              <w:left w:val="nil"/>
              <w:bottom w:val="nil"/>
              <w:right w:val="nil"/>
            </w:tcBorders>
            <w:noWrap/>
            <w:hideMark/>
          </w:tcPr>
          <w:p w14:paraId="5D5528D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10*</w:t>
            </w:r>
          </w:p>
        </w:tc>
        <w:tc>
          <w:tcPr>
            <w:tcW w:w="3205" w:type="dxa"/>
            <w:tcBorders>
              <w:top w:val="nil"/>
              <w:left w:val="nil"/>
              <w:bottom w:val="nil"/>
              <w:right w:val="nil"/>
            </w:tcBorders>
            <w:noWrap/>
            <w:hideMark/>
          </w:tcPr>
          <w:p w14:paraId="270B9E5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nil"/>
              <w:right w:val="nil"/>
            </w:tcBorders>
            <w:noWrap/>
            <w:hideMark/>
          </w:tcPr>
          <w:p w14:paraId="03C633D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65C0915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79440D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Usual fatigue during the past 24h</w:t>
            </w:r>
          </w:p>
        </w:tc>
        <w:tc>
          <w:tcPr>
            <w:tcW w:w="1667" w:type="dxa"/>
            <w:tcBorders>
              <w:top w:val="nil"/>
              <w:left w:val="nil"/>
              <w:bottom w:val="nil"/>
              <w:right w:val="nil"/>
            </w:tcBorders>
            <w:noWrap/>
            <w:hideMark/>
          </w:tcPr>
          <w:p w14:paraId="7D89806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4.10 (2.63)</w:t>
            </w:r>
          </w:p>
        </w:tc>
      </w:tr>
      <w:tr w:rsidR="00601A3C" w:rsidRPr="00311360" w14:paraId="2A1D18B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44E669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[4]</w:t>
            </w:r>
          </w:p>
        </w:tc>
        <w:tc>
          <w:tcPr>
            <w:tcW w:w="3516" w:type="dxa"/>
            <w:tcBorders>
              <w:top w:val="nil"/>
              <w:left w:val="nil"/>
              <w:bottom w:val="nil"/>
              <w:right w:val="nil"/>
            </w:tcBorders>
            <w:noWrap/>
            <w:hideMark/>
          </w:tcPr>
          <w:p w14:paraId="2EC187C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nil"/>
              <w:left w:val="nil"/>
              <w:bottom w:val="nil"/>
              <w:right w:val="nil"/>
            </w:tcBorders>
            <w:noWrap/>
            <w:hideMark/>
          </w:tcPr>
          <w:p w14:paraId="518241CB"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10*</w:t>
            </w:r>
          </w:p>
        </w:tc>
        <w:tc>
          <w:tcPr>
            <w:tcW w:w="3205" w:type="dxa"/>
            <w:tcBorders>
              <w:top w:val="nil"/>
              <w:left w:val="nil"/>
              <w:bottom w:val="nil"/>
              <w:right w:val="nil"/>
            </w:tcBorders>
            <w:noWrap/>
            <w:hideMark/>
          </w:tcPr>
          <w:p w14:paraId="0D22EF8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nil"/>
              <w:right w:val="nil"/>
            </w:tcBorders>
            <w:noWrap/>
            <w:hideMark/>
          </w:tcPr>
          <w:p w14:paraId="104CAFC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6900C1B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D150B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Worst fatigue during the past 24h</w:t>
            </w:r>
          </w:p>
        </w:tc>
        <w:tc>
          <w:tcPr>
            <w:tcW w:w="1667" w:type="dxa"/>
            <w:tcBorders>
              <w:top w:val="nil"/>
              <w:left w:val="nil"/>
              <w:bottom w:val="nil"/>
              <w:right w:val="nil"/>
            </w:tcBorders>
            <w:noWrap/>
            <w:hideMark/>
          </w:tcPr>
          <w:p w14:paraId="0B6B300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5.32 (2.97)</w:t>
            </w:r>
          </w:p>
        </w:tc>
      </w:tr>
      <w:tr w:rsidR="00601A3C" w:rsidRPr="00311360" w14:paraId="2B8412CA"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948E39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3C50E9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BFI</w:t>
            </w:r>
          </w:p>
        </w:tc>
        <w:tc>
          <w:tcPr>
            <w:tcW w:w="1225" w:type="dxa"/>
            <w:tcBorders>
              <w:top w:val="nil"/>
              <w:left w:val="nil"/>
              <w:bottom w:val="nil"/>
              <w:right w:val="nil"/>
            </w:tcBorders>
            <w:noWrap/>
            <w:hideMark/>
          </w:tcPr>
          <w:p w14:paraId="07171FC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10*</w:t>
            </w:r>
          </w:p>
        </w:tc>
        <w:tc>
          <w:tcPr>
            <w:tcW w:w="3205" w:type="dxa"/>
            <w:tcBorders>
              <w:top w:val="nil"/>
              <w:left w:val="nil"/>
              <w:bottom w:val="nil"/>
              <w:right w:val="nil"/>
            </w:tcBorders>
            <w:noWrap/>
            <w:hideMark/>
          </w:tcPr>
          <w:p w14:paraId="1D2B362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nil"/>
              <w:right w:val="nil"/>
            </w:tcBorders>
            <w:noWrap/>
            <w:hideMark/>
          </w:tcPr>
          <w:p w14:paraId="1DC9C26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603488E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A7577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Interference of fatigue</w:t>
            </w:r>
          </w:p>
        </w:tc>
        <w:tc>
          <w:tcPr>
            <w:tcW w:w="1667" w:type="dxa"/>
            <w:tcBorders>
              <w:top w:val="nil"/>
              <w:left w:val="nil"/>
              <w:bottom w:val="nil"/>
              <w:right w:val="nil"/>
            </w:tcBorders>
            <w:noWrap/>
            <w:hideMark/>
          </w:tcPr>
          <w:p w14:paraId="6775C14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3.96 (2.38)</w:t>
            </w:r>
          </w:p>
        </w:tc>
      </w:tr>
      <w:tr w:rsidR="00601A3C" w:rsidRPr="00311360" w14:paraId="358C062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04D194F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[21]</w:t>
            </w:r>
          </w:p>
        </w:tc>
        <w:tc>
          <w:tcPr>
            <w:tcW w:w="3516" w:type="dxa"/>
            <w:tcBorders>
              <w:top w:val="nil"/>
              <w:left w:val="nil"/>
              <w:bottom w:val="single" w:sz="4" w:space="0" w:color="auto"/>
              <w:right w:val="nil"/>
            </w:tcBorders>
            <w:noWrap/>
            <w:hideMark/>
          </w:tcPr>
          <w:p w14:paraId="774DA44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The Fatigue Severity Subscale of the Brief Fatigue Inventory (BFI)*</w:t>
            </w:r>
          </w:p>
        </w:tc>
        <w:tc>
          <w:tcPr>
            <w:tcW w:w="1225" w:type="dxa"/>
            <w:tcBorders>
              <w:top w:val="nil"/>
              <w:left w:val="nil"/>
              <w:bottom w:val="single" w:sz="4" w:space="0" w:color="auto"/>
              <w:right w:val="nil"/>
            </w:tcBorders>
            <w:noWrap/>
            <w:hideMark/>
          </w:tcPr>
          <w:p w14:paraId="78A4D12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w:t>
            </w:r>
          </w:p>
        </w:tc>
        <w:tc>
          <w:tcPr>
            <w:tcW w:w="3205" w:type="dxa"/>
            <w:tcBorders>
              <w:top w:val="nil"/>
              <w:left w:val="nil"/>
              <w:bottom w:val="single" w:sz="4" w:space="0" w:color="auto"/>
              <w:right w:val="nil"/>
            </w:tcBorders>
            <w:noWrap/>
            <w:hideMark/>
          </w:tcPr>
          <w:p w14:paraId="65F87B0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 Higher scores indicating greater fatigue, cut-off not specified*</w:t>
            </w:r>
          </w:p>
        </w:tc>
        <w:tc>
          <w:tcPr>
            <w:tcW w:w="851" w:type="dxa"/>
            <w:tcBorders>
              <w:top w:val="nil"/>
              <w:left w:val="nil"/>
              <w:bottom w:val="single" w:sz="4" w:space="0" w:color="auto"/>
              <w:right w:val="nil"/>
            </w:tcBorders>
            <w:noWrap/>
            <w:hideMark/>
          </w:tcPr>
          <w:p w14:paraId="08951F8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single" w:sz="4" w:space="0" w:color="auto"/>
              <w:right w:val="nil"/>
            </w:tcBorders>
            <w:noWrap/>
            <w:hideMark/>
          </w:tcPr>
          <w:p w14:paraId="5BE833C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single" w:sz="4" w:space="0" w:color="auto"/>
              <w:right w:val="nil"/>
            </w:tcBorders>
            <w:noWrap/>
            <w:hideMark/>
          </w:tcPr>
          <w:p w14:paraId="7617EF3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w:t>
            </w:r>
          </w:p>
        </w:tc>
        <w:tc>
          <w:tcPr>
            <w:tcW w:w="1667" w:type="dxa"/>
            <w:tcBorders>
              <w:top w:val="nil"/>
              <w:left w:val="nil"/>
              <w:bottom w:val="single" w:sz="4" w:space="0" w:color="auto"/>
              <w:right w:val="nil"/>
            </w:tcBorders>
            <w:noWrap/>
            <w:hideMark/>
          </w:tcPr>
          <w:p w14:paraId="0F406C6B" w14:textId="77777777" w:rsidR="00601A3C" w:rsidRPr="00311360" w:rsidRDefault="00601A3C" w:rsidP="003F4F9E">
            <w:pPr>
              <w:ind w:firstLine="0"/>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5.32 (2.74)</w:t>
            </w:r>
          </w:p>
        </w:tc>
      </w:tr>
      <w:tr w:rsidR="00601A3C" w:rsidRPr="00311360" w14:paraId="782342A5" w14:textId="77777777" w:rsidTr="003F4F9E">
        <w:trPr>
          <w:trHeight w:val="292"/>
        </w:trPr>
        <w:tc>
          <w:tcPr>
            <w:tcW w:w="9030" w:type="dxa"/>
            <w:gridSpan w:val="4"/>
            <w:tcBorders>
              <w:top w:val="single" w:sz="4" w:space="0" w:color="auto"/>
              <w:bottom w:val="single" w:sz="4" w:space="0" w:color="auto"/>
            </w:tcBorders>
            <w:noWrap/>
          </w:tcPr>
          <w:p w14:paraId="57D42835"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Fatigue Severity Scale (FSS)</w:t>
            </w:r>
          </w:p>
        </w:tc>
        <w:tc>
          <w:tcPr>
            <w:tcW w:w="6104" w:type="dxa"/>
            <w:gridSpan w:val="4"/>
            <w:tcBorders>
              <w:top w:val="single" w:sz="4" w:space="0" w:color="auto"/>
              <w:bottom w:val="single" w:sz="4" w:space="0" w:color="auto"/>
            </w:tcBorders>
            <w:noWrap/>
          </w:tcPr>
          <w:p w14:paraId="01175BA4"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Reported scores</w:t>
            </w:r>
          </w:p>
        </w:tc>
      </w:tr>
      <w:tr w:rsidR="00601A3C" w:rsidRPr="00311360" w14:paraId="53C71D7C" w14:textId="77777777" w:rsidTr="003F4F9E">
        <w:trPr>
          <w:trHeight w:val="292"/>
        </w:trPr>
        <w:tc>
          <w:tcPr>
            <w:tcW w:w="1084" w:type="dxa"/>
            <w:tcBorders>
              <w:top w:val="single" w:sz="4" w:space="0" w:color="auto"/>
              <w:bottom w:val="single" w:sz="4" w:space="0" w:color="auto"/>
            </w:tcBorders>
            <w:noWrap/>
            <w:hideMark/>
          </w:tcPr>
          <w:p w14:paraId="7BC0AA40"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29505DCD"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0B2B4164"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15784A7C"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42CE3084"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7B281E01"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4D13F55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11B7D084"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71CA8BB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18C30D7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w:t>
            </w:r>
          </w:p>
        </w:tc>
        <w:tc>
          <w:tcPr>
            <w:tcW w:w="3516" w:type="dxa"/>
            <w:tcBorders>
              <w:top w:val="single" w:sz="4" w:space="0" w:color="auto"/>
              <w:left w:val="nil"/>
              <w:bottom w:val="nil"/>
              <w:right w:val="nil"/>
            </w:tcBorders>
            <w:noWrap/>
            <w:hideMark/>
          </w:tcPr>
          <w:p w14:paraId="0DE86BE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single" w:sz="4" w:space="0" w:color="auto"/>
              <w:left w:val="nil"/>
              <w:bottom w:val="nil"/>
              <w:right w:val="nil"/>
            </w:tcBorders>
            <w:noWrap/>
            <w:hideMark/>
          </w:tcPr>
          <w:p w14:paraId="287FE59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single" w:sz="4" w:space="0" w:color="auto"/>
              <w:left w:val="nil"/>
              <w:bottom w:val="nil"/>
              <w:right w:val="nil"/>
            </w:tcBorders>
            <w:noWrap/>
            <w:hideMark/>
          </w:tcPr>
          <w:p w14:paraId="4D98A56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"The higher and lower scores from 36 indicated the patients with and without signs of fatigue, respectively"</w:t>
            </w:r>
          </w:p>
        </w:tc>
        <w:tc>
          <w:tcPr>
            <w:tcW w:w="851" w:type="dxa"/>
            <w:tcBorders>
              <w:top w:val="single" w:sz="4" w:space="0" w:color="auto"/>
              <w:left w:val="nil"/>
              <w:bottom w:val="nil"/>
              <w:right w:val="nil"/>
            </w:tcBorders>
            <w:noWrap/>
            <w:hideMark/>
          </w:tcPr>
          <w:p w14:paraId="740F4E4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97</w:t>
            </w:r>
          </w:p>
        </w:tc>
        <w:tc>
          <w:tcPr>
            <w:tcW w:w="1119" w:type="dxa"/>
            <w:tcBorders>
              <w:top w:val="single" w:sz="4" w:space="0" w:color="auto"/>
              <w:left w:val="nil"/>
              <w:bottom w:val="nil"/>
              <w:right w:val="nil"/>
            </w:tcBorders>
            <w:noWrap/>
            <w:hideMark/>
          </w:tcPr>
          <w:p w14:paraId="0A3B6B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single" w:sz="4" w:space="0" w:color="auto"/>
              <w:left w:val="nil"/>
              <w:bottom w:val="nil"/>
              <w:right w:val="nil"/>
            </w:tcBorders>
            <w:noWrap/>
            <w:hideMark/>
          </w:tcPr>
          <w:p w14:paraId="248CDA0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w:t>
            </w:r>
          </w:p>
        </w:tc>
        <w:tc>
          <w:tcPr>
            <w:tcW w:w="1667" w:type="dxa"/>
            <w:tcBorders>
              <w:top w:val="single" w:sz="4" w:space="0" w:color="auto"/>
              <w:left w:val="nil"/>
              <w:bottom w:val="nil"/>
              <w:right w:val="nil"/>
            </w:tcBorders>
            <w:noWrap/>
            <w:hideMark/>
          </w:tcPr>
          <w:p w14:paraId="4A95D99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38.56 (14.88)</w:t>
            </w:r>
          </w:p>
        </w:tc>
      </w:tr>
      <w:tr w:rsidR="00601A3C" w:rsidRPr="00311360" w14:paraId="3F0B382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25FCFD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w:t>
            </w:r>
          </w:p>
        </w:tc>
        <w:tc>
          <w:tcPr>
            <w:tcW w:w="3516" w:type="dxa"/>
            <w:tcBorders>
              <w:top w:val="nil"/>
              <w:left w:val="nil"/>
              <w:bottom w:val="nil"/>
              <w:right w:val="nil"/>
            </w:tcBorders>
            <w:noWrap/>
            <w:hideMark/>
          </w:tcPr>
          <w:p w14:paraId="30B5407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3476515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3A1B9E7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"The higher and lower scores from 36 indicated the patients with and without signs of fatigue, respectively"</w:t>
            </w:r>
          </w:p>
        </w:tc>
        <w:tc>
          <w:tcPr>
            <w:tcW w:w="851" w:type="dxa"/>
            <w:tcBorders>
              <w:top w:val="nil"/>
              <w:left w:val="nil"/>
              <w:bottom w:val="nil"/>
              <w:right w:val="nil"/>
            </w:tcBorders>
            <w:noWrap/>
            <w:hideMark/>
          </w:tcPr>
          <w:p w14:paraId="509A507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34</w:t>
            </w:r>
          </w:p>
        </w:tc>
        <w:tc>
          <w:tcPr>
            <w:tcW w:w="1119" w:type="dxa"/>
            <w:tcBorders>
              <w:top w:val="nil"/>
              <w:left w:val="nil"/>
              <w:bottom w:val="nil"/>
              <w:right w:val="nil"/>
            </w:tcBorders>
            <w:noWrap/>
            <w:hideMark/>
          </w:tcPr>
          <w:p w14:paraId="4B0D78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Number (%)</w:t>
            </w:r>
          </w:p>
        </w:tc>
        <w:tc>
          <w:tcPr>
            <w:tcW w:w="2467" w:type="dxa"/>
            <w:tcBorders>
              <w:top w:val="nil"/>
              <w:left w:val="nil"/>
              <w:bottom w:val="nil"/>
              <w:right w:val="nil"/>
            </w:tcBorders>
            <w:noWrap/>
            <w:hideMark/>
          </w:tcPr>
          <w:p w14:paraId="5ED700E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signs of fatigue (score &lt;36)</w:t>
            </w:r>
          </w:p>
        </w:tc>
        <w:tc>
          <w:tcPr>
            <w:tcW w:w="1667" w:type="dxa"/>
            <w:tcBorders>
              <w:top w:val="nil"/>
              <w:left w:val="nil"/>
              <w:bottom w:val="nil"/>
              <w:right w:val="nil"/>
            </w:tcBorders>
            <w:noWrap/>
            <w:hideMark/>
          </w:tcPr>
          <w:p w14:paraId="794AA0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34 (35.1)</w:t>
            </w:r>
          </w:p>
        </w:tc>
      </w:tr>
      <w:tr w:rsidR="00601A3C" w:rsidRPr="00311360" w14:paraId="3E89357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C75E43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w:t>
            </w:r>
          </w:p>
        </w:tc>
        <w:tc>
          <w:tcPr>
            <w:tcW w:w="3516" w:type="dxa"/>
            <w:tcBorders>
              <w:top w:val="nil"/>
              <w:left w:val="nil"/>
              <w:bottom w:val="nil"/>
              <w:right w:val="nil"/>
            </w:tcBorders>
            <w:noWrap/>
            <w:hideMark/>
          </w:tcPr>
          <w:p w14:paraId="41C2019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4AC3698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45B5177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"The higher and lower scores from 36 indicated the patients with and without signs of fatigue, respectively"</w:t>
            </w:r>
          </w:p>
        </w:tc>
        <w:tc>
          <w:tcPr>
            <w:tcW w:w="851" w:type="dxa"/>
            <w:tcBorders>
              <w:top w:val="nil"/>
              <w:left w:val="nil"/>
              <w:bottom w:val="nil"/>
              <w:right w:val="nil"/>
            </w:tcBorders>
            <w:noWrap/>
            <w:hideMark/>
          </w:tcPr>
          <w:p w14:paraId="4F51465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63</w:t>
            </w:r>
          </w:p>
        </w:tc>
        <w:tc>
          <w:tcPr>
            <w:tcW w:w="1119" w:type="dxa"/>
            <w:tcBorders>
              <w:top w:val="nil"/>
              <w:left w:val="nil"/>
              <w:bottom w:val="nil"/>
              <w:right w:val="nil"/>
            </w:tcBorders>
            <w:noWrap/>
            <w:hideMark/>
          </w:tcPr>
          <w:p w14:paraId="7C04F80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Number (%)</w:t>
            </w:r>
          </w:p>
        </w:tc>
        <w:tc>
          <w:tcPr>
            <w:tcW w:w="2467" w:type="dxa"/>
            <w:tcBorders>
              <w:top w:val="nil"/>
              <w:left w:val="nil"/>
              <w:bottom w:val="nil"/>
              <w:right w:val="nil"/>
            </w:tcBorders>
            <w:noWrap/>
            <w:hideMark/>
          </w:tcPr>
          <w:p w14:paraId="65AB549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Signs of fatigue (score &gt;36)</w:t>
            </w:r>
          </w:p>
        </w:tc>
        <w:tc>
          <w:tcPr>
            <w:tcW w:w="1667" w:type="dxa"/>
            <w:tcBorders>
              <w:top w:val="nil"/>
              <w:left w:val="nil"/>
              <w:bottom w:val="nil"/>
              <w:right w:val="nil"/>
            </w:tcBorders>
            <w:noWrap/>
            <w:hideMark/>
          </w:tcPr>
          <w:p w14:paraId="78D92C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63 (64.9)</w:t>
            </w:r>
          </w:p>
        </w:tc>
      </w:tr>
      <w:tr w:rsidR="00601A3C" w:rsidRPr="00311360" w14:paraId="4AC2DD8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0D441F0"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 *</w:t>
            </w:r>
          </w:p>
        </w:tc>
        <w:tc>
          <w:tcPr>
            <w:tcW w:w="3516" w:type="dxa"/>
            <w:tcBorders>
              <w:top w:val="nil"/>
              <w:left w:val="nil"/>
              <w:bottom w:val="nil"/>
              <w:right w:val="nil"/>
            </w:tcBorders>
            <w:noWrap/>
            <w:hideMark/>
          </w:tcPr>
          <w:p w14:paraId="59F260C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42770B1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6BF1E4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"Those with a score of 36 and higher were considered to have symptoms of fatigue; those with scores less than 36 were considered to have no signs of fatigue"</w:t>
            </w:r>
          </w:p>
        </w:tc>
        <w:tc>
          <w:tcPr>
            <w:tcW w:w="851" w:type="dxa"/>
            <w:tcBorders>
              <w:top w:val="nil"/>
              <w:left w:val="nil"/>
              <w:bottom w:val="nil"/>
              <w:right w:val="nil"/>
            </w:tcBorders>
            <w:noWrap/>
            <w:hideMark/>
          </w:tcPr>
          <w:p w14:paraId="39E065D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w:t>
            </w:r>
          </w:p>
        </w:tc>
        <w:tc>
          <w:tcPr>
            <w:tcW w:w="1119" w:type="dxa"/>
            <w:tcBorders>
              <w:top w:val="nil"/>
              <w:left w:val="nil"/>
              <w:bottom w:val="nil"/>
              <w:right w:val="nil"/>
            </w:tcBorders>
            <w:noWrap/>
            <w:hideMark/>
          </w:tcPr>
          <w:p w14:paraId="70B00B2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CA992E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Baseline Final Sample</w:t>
            </w:r>
          </w:p>
        </w:tc>
        <w:tc>
          <w:tcPr>
            <w:tcW w:w="1667" w:type="dxa"/>
            <w:tcBorders>
              <w:top w:val="nil"/>
              <w:left w:val="nil"/>
              <w:bottom w:val="nil"/>
              <w:right w:val="nil"/>
            </w:tcBorders>
            <w:noWrap/>
            <w:hideMark/>
          </w:tcPr>
          <w:p w14:paraId="007605A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36.47 (13.33)</w:t>
            </w:r>
          </w:p>
        </w:tc>
      </w:tr>
      <w:tr w:rsidR="00601A3C" w:rsidRPr="00311360" w14:paraId="2D92ED7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0B9A7C4"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 *</w:t>
            </w:r>
          </w:p>
        </w:tc>
        <w:tc>
          <w:tcPr>
            <w:tcW w:w="3516" w:type="dxa"/>
            <w:tcBorders>
              <w:top w:val="nil"/>
              <w:left w:val="nil"/>
              <w:bottom w:val="nil"/>
              <w:right w:val="nil"/>
            </w:tcBorders>
            <w:noWrap/>
            <w:hideMark/>
          </w:tcPr>
          <w:p w14:paraId="5D65C4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2438C1B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306CD2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"Those with a score of 36 and higher were considered to have symptoms of fatigue; those with scores less than 36 were considered to have no signs of fatigue"</w:t>
            </w:r>
          </w:p>
        </w:tc>
        <w:tc>
          <w:tcPr>
            <w:tcW w:w="851" w:type="dxa"/>
            <w:tcBorders>
              <w:top w:val="nil"/>
              <w:left w:val="nil"/>
              <w:bottom w:val="nil"/>
              <w:right w:val="nil"/>
            </w:tcBorders>
            <w:noWrap/>
            <w:hideMark/>
          </w:tcPr>
          <w:p w14:paraId="59C9530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29</w:t>
            </w:r>
          </w:p>
        </w:tc>
        <w:tc>
          <w:tcPr>
            <w:tcW w:w="1119" w:type="dxa"/>
            <w:tcBorders>
              <w:top w:val="nil"/>
              <w:left w:val="nil"/>
              <w:bottom w:val="nil"/>
              <w:right w:val="nil"/>
            </w:tcBorders>
            <w:noWrap/>
            <w:hideMark/>
          </w:tcPr>
          <w:p w14:paraId="1B8440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BA8E84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Dropouts</w:t>
            </w:r>
          </w:p>
        </w:tc>
        <w:tc>
          <w:tcPr>
            <w:tcW w:w="1667" w:type="dxa"/>
            <w:tcBorders>
              <w:top w:val="nil"/>
              <w:left w:val="nil"/>
              <w:bottom w:val="nil"/>
              <w:right w:val="nil"/>
            </w:tcBorders>
            <w:noWrap/>
            <w:hideMark/>
          </w:tcPr>
          <w:p w14:paraId="59E47CC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44.86 (11.79)</w:t>
            </w:r>
          </w:p>
        </w:tc>
      </w:tr>
      <w:tr w:rsidR="00601A3C" w:rsidRPr="00311360" w14:paraId="2F056AD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8AC3FD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w:t>
            </w:r>
          </w:p>
        </w:tc>
        <w:tc>
          <w:tcPr>
            <w:tcW w:w="3516" w:type="dxa"/>
            <w:tcBorders>
              <w:top w:val="nil"/>
              <w:left w:val="nil"/>
              <w:bottom w:val="nil"/>
              <w:right w:val="nil"/>
            </w:tcBorders>
            <w:noWrap/>
            <w:hideMark/>
          </w:tcPr>
          <w:p w14:paraId="031A575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2494EFC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00BFA35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"Those with a score of 36 and higher were considered to have symptoms of fatigue; those with scores less than 36 were considered to have no signs of fatigue"</w:t>
            </w:r>
          </w:p>
        </w:tc>
        <w:tc>
          <w:tcPr>
            <w:tcW w:w="851" w:type="dxa"/>
            <w:tcBorders>
              <w:top w:val="nil"/>
              <w:left w:val="nil"/>
              <w:bottom w:val="nil"/>
              <w:right w:val="nil"/>
            </w:tcBorders>
            <w:noWrap/>
            <w:hideMark/>
          </w:tcPr>
          <w:p w14:paraId="52E9859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w:t>
            </w:r>
          </w:p>
        </w:tc>
        <w:tc>
          <w:tcPr>
            <w:tcW w:w="1119" w:type="dxa"/>
            <w:tcBorders>
              <w:top w:val="nil"/>
              <w:left w:val="nil"/>
              <w:bottom w:val="nil"/>
              <w:right w:val="nil"/>
            </w:tcBorders>
            <w:noWrap/>
            <w:hideMark/>
          </w:tcPr>
          <w:p w14:paraId="63B5BA0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DAFA11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36 weeks later (12 weeks of intervention + 24 weeks of follow-up)</w:t>
            </w:r>
          </w:p>
        </w:tc>
        <w:tc>
          <w:tcPr>
            <w:tcW w:w="1667" w:type="dxa"/>
            <w:tcBorders>
              <w:top w:val="nil"/>
              <w:left w:val="nil"/>
              <w:bottom w:val="nil"/>
              <w:right w:val="nil"/>
            </w:tcBorders>
            <w:noWrap/>
            <w:hideMark/>
          </w:tcPr>
          <w:p w14:paraId="65C4192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18.5 (13.19)</w:t>
            </w:r>
          </w:p>
        </w:tc>
      </w:tr>
      <w:tr w:rsidR="00601A3C" w:rsidRPr="00311360" w14:paraId="03B4000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DE0C87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w:t>
            </w:r>
          </w:p>
        </w:tc>
        <w:tc>
          <w:tcPr>
            <w:tcW w:w="3516" w:type="dxa"/>
            <w:tcBorders>
              <w:top w:val="nil"/>
              <w:left w:val="nil"/>
              <w:bottom w:val="nil"/>
              <w:right w:val="nil"/>
            </w:tcBorders>
            <w:noWrap/>
            <w:hideMark/>
          </w:tcPr>
          <w:p w14:paraId="337781E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nil"/>
              <w:right w:val="nil"/>
            </w:tcBorders>
            <w:noWrap/>
            <w:hideMark/>
          </w:tcPr>
          <w:p w14:paraId="0AC0555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nil"/>
              <w:right w:val="nil"/>
            </w:tcBorders>
            <w:noWrap/>
            <w:hideMark/>
          </w:tcPr>
          <w:p w14:paraId="0F95AD5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Cut-off = 36, "Those with a score of 36 and higher were considered to have </w:t>
            </w:r>
            <w:r w:rsidRPr="00311360">
              <w:rPr>
                <w:rFonts w:asciiTheme="minorHAnsi" w:eastAsia="Times New Roman" w:hAnsiTheme="minorHAnsi"/>
                <w:color w:val="000000"/>
                <w:sz w:val="18"/>
                <w:szCs w:val="18"/>
              </w:rPr>
              <w:lastRenderedPageBreak/>
              <w:t>symptoms of fatigue; those with scores less than 36 were considered to have no signs of fatigue"</w:t>
            </w:r>
          </w:p>
        </w:tc>
        <w:tc>
          <w:tcPr>
            <w:tcW w:w="851" w:type="dxa"/>
            <w:tcBorders>
              <w:top w:val="nil"/>
              <w:left w:val="nil"/>
              <w:bottom w:val="nil"/>
              <w:right w:val="nil"/>
            </w:tcBorders>
            <w:noWrap/>
            <w:hideMark/>
          </w:tcPr>
          <w:p w14:paraId="7C279CD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lastRenderedPageBreak/>
              <w:t>23</w:t>
            </w:r>
          </w:p>
        </w:tc>
        <w:tc>
          <w:tcPr>
            <w:tcW w:w="1119" w:type="dxa"/>
            <w:tcBorders>
              <w:top w:val="nil"/>
              <w:left w:val="nil"/>
              <w:bottom w:val="nil"/>
              <w:right w:val="nil"/>
            </w:tcBorders>
            <w:noWrap/>
            <w:hideMark/>
          </w:tcPr>
          <w:p w14:paraId="16B829A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Number (%)</w:t>
            </w:r>
          </w:p>
        </w:tc>
        <w:tc>
          <w:tcPr>
            <w:tcW w:w="2467" w:type="dxa"/>
            <w:tcBorders>
              <w:top w:val="nil"/>
              <w:left w:val="nil"/>
              <w:bottom w:val="nil"/>
              <w:right w:val="nil"/>
            </w:tcBorders>
            <w:noWrap/>
            <w:hideMark/>
          </w:tcPr>
          <w:p w14:paraId="32231E8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No signs of fatigue (score &lt;36)</w:t>
            </w:r>
          </w:p>
        </w:tc>
        <w:tc>
          <w:tcPr>
            <w:tcW w:w="1667" w:type="dxa"/>
            <w:tcBorders>
              <w:top w:val="nil"/>
              <w:left w:val="nil"/>
              <w:bottom w:val="nil"/>
              <w:right w:val="nil"/>
            </w:tcBorders>
            <w:noWrap/>
            <w:hideMark/>
          </w:tcPr>
          <w:p w14:paraId="0856C44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23 (43.4)</w:t>
            </w:r>
          </w:p>
        </w:tc>
      </w:tr>
      <w:tr w:rsidR="00601A3C" w:rsidRPr="00311360" w14:paraId="4C38C7D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2B72D80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w:t>
            </w:r>
          </w:p>
        </w:tc>
        <w:tc>
          <w:tcPr>
            <w:tcW w:w="3516" w:type="dxa"/>
            <w:tcBorders>
              <w:top w:val="nil"/>
              <w:left w:val="nil"/>
              <w:bottom w:val="single" w:sz="4" w:space="0" w:color="auto"/>
              <w:right w:val="nil"/>
            </w:tcBorders>
            <w:noWrap/>
            <w:hideMark/>
          </w:tcPr>
          <w:p w14:paraId="6FD64E3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Fatigue Severity Scale (FSS)</w:t>
            </w:r>
          </w:p>
        </w:tc>
        <w:tc>
          <w:tcPr>
            <w:tcW w:w="1225" w:type="dxa"/>
            <w:tcBorders>
              <w:top w:val="nil"/>
              <w:left w:val="nil"/>
              <w:bottom w:val="single" w:sz="4" w:space="0" w:color="auto"/>
              <w:right w:val="nil"/>
            </w:tcBorders>
            <w:noWrap/>
            <w:hideMark/>
          </w:tcPr>
          <w:p w14:paraId="0B82C33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w:t>
            </w:r>
          </w:p>
        </w:tc>
        <w:tc>
          <w:tcPr>
            <w:tcW w:w="3205" w:type="dxa"/>
            <w:tcBorders>
              <w:top w:val="nil"/>
              <w:left w:val="nil"/>
              <w:bottom w:val="single" w:sz="4" w:space="0" w:color="auto"/>
              <w:right w:val="nil"/>
            </w:tcBorders>
            <w:noWrap/>
            <w:hideMark/>
          </w:tcPr>
          <w:p w14:paraId="3287A9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Cut-off = 36, "Those with a score of 36 and higher were considered to have symptoms of fatigue; those with scores less than 36 were considered to have no signs of fatigue"</w:t>
            </w:r>
          </w:p>
        </w:tc>
        <w:tc>
          <w:tcPr>
            <w:tcW w:w="851" w:type="dxa"/>
            <w:tcBorders>
              <w:top w:val="nil"/>
              <w:left w:val="nil"/>
              <w:bottom w:val="single" w:sz="4" w:space="0" w:color="auto"/>
              <w:right w:val="nil"/>
            </w:tcBorders>
            <w:noWrap/>
            <w:hideMark/>
          </w:tcPr>
          <w:p w14:paraId="1981B77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30</w:t>
            </w:r>
          </w:p>
        </w:tc>
        <w:tc>
          <w:tcPr>
            <w:tcW w:w="1119" w:type="dxa"/>
            <w:tcBorders>
              <w:top w:val="nil"/>
              <w:left w:val="nil"/>
              <w:bottom w:val="single" w:sz="4" w:space="0" w:color="auto"/>
              <w:right w:val="nil"/>
            </w:tcBorders>
            <w:noWrap/>
            <w:hideMark/>
          </w:tcPr>
          <w:p w14:paraId="2067E6C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Number (%)</w:t>
            </w:r>
          </w:p>
        </w:tc>
        <w:tc>
          <w:tcPr>
            <w:tcW w:w="2467" w:type="dxa"/>
            <w:tcBorders>
              <w:top w:val="nil"/>
              <w:left w:val="nil"/>
              <w:bottom w:val="single" w:sz="4" w:space="0" w:color="auto"/>
              <w:right w:val="nil"/>
            </w:tcBorders>
            <w:noWrap/>
            <w:hideMark/>
          </w:tcPr>
          <w:p w14:paraId="4D0D7A5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Signs of fatigue (score &gt;36)</w:t>
            </w:r>
          </w:p>
        </w:tc>
        <w:tc>
          <w:tcPr>
            <w:tcW w:w="1667" w:type="dxa"/>
            <w:tcBorders>
              <w:top w:val="nil"/>
              <w:left w:val="nil"/>
              <w:bottom w:val="single" w:sz="4" w:space="0" w:color="auto"/>
              <w:right w:val="nil"/>
            </w:tcBorders>
            <w:noWrap/>
            <w:hideMark/>
          </w:tcPr>
          <w:p w14:paraId="191B6D3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30 (56.6)</w:t>
            </w:r>
          </w:p>
        </w:tc>
      </w:tr>
      <w:tr w:rsidR="00601A3C" w:rsidRPr="00311360" w14:paraId="6CBDB94C" w14:textId="77777777" w:rsidTr="003F4F9E">
        <w:trPr>
          <w:trHeight w:val="292"/>
        </w:trPr>
        <w:tc>
          <w:tcPr>
            <w:tcW w:w="9030" w:type="dxa"/>
            <w:gridSpan w:val="4"/>
            <w:tcBorders>
              <w:top w:val="single" w:sz="4" w:space="0" w:color="auto"/>
              <w:bottom w:val="single" w:sz="4" w:space="0" w:color="auto"/>
            </w:tcBorders>
            <w:noWrap/>
          </w:tcPr>
          <w:p w14:paraId="39586C09" w14:textId="77777777" w:rsidR="00601A3C" w:rsidRPr="00143F0E" w:rsidRDefault="00601A3C" w:rsidP="003F4F9E">
            <w:pPr>
              <w:ind w:firstLine="0"/>
              <w:jc w:val="center"/>
              <w:textAlignment w:val="auto"/>
              <w:rPr>
                <w:rFonts w:asciiTheme="minorHAnsi" w:eastAsia="Times New Roman" w:hAnsiTheme="minorHAnsi"/>
                <w:b/>
                <w:bCs/>
                <w:color w:val="000000"/>
                <w:sz w:val="18"/>
                <w:szCs w:val="18"/>
                <w:lang w:val="fr-FR"/>
              </w:rPr>
            </w:pPr>
            <w:r w:rsidRPr="00143F0E">
              <w:rPr>
                <w:rFonts w:asciiTheme="minorHAnsi" w:eastAsia="Times New Roman" w:hAnsiTheme="minorHAnsi"/>
                <w:b/>
                <w:bCs/>
                <w:color w:val="000000"/>
                <w:sz w:val="18"/>
                <w:szCs w:val="18"/>
                <w:lang w:val="fr-FR"/>
              </w:rPr>
              <w:t>Multi-dimensional Fatigue Inventory (MFI)</w:t>
            </w:r>
          </w:p>
        </w:tc>
        <w:tc>
          <w:tcPr>
            <w:tcW w:w="6104" w:type="dxa"/>
            <w:gridSpan w:val="4"/>
            <w:tcBorders>
              <w:top w:val="single" w:sz="4" w:space="0" w:color="auto"/>
              <w:bottom w:val="single" w:sz="4" w:space="0" w:color="auto"/>
            </w:tcBorders>
            <w:noWrap/>
          </w:tcPr>
          <w:p w14:paraId="10356DB0"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Reported scores</w:t>
            </w:r>
          </w:p>
        </w:tc>
      </w:tr>
      <w:tr w:rsidR="00601A3C" w:rsidRPr="00311360" w14:paraId="6B96076B" w14:textId="77777777" w:rsidTr="003F4F9E">
        <w:trPr>
          <w:trHeight w:val="292"/>
        </w:trPr>
        <w:tc>
          <w:tcPr>
            <w:tcW w:w="1084" w:type="dxa"/>
            <w:tcBorders>
              <w:top w:val="single" w:sz="4" w:space="0" w:color="auto"/>
              <w:bottom w:val="single" w:sz="4" w:space="0" w:color="auto"/>
            </w:tcBorders>
            <w:noWrap/>
            <w:hideMark/>
          </w:tcPr>
          <w:p w14:paraId="457A99F0"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0B705373"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6F3E0C4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3A6A3E7C"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18EBFF87"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30B6A7C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6A4F2694"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7987D8D3"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3A454E8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75A77BF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[28]</w:t>
            </w:r>
          </w:p>
        </w:tc>
        <w:tc>
          <w:tcPr>
            <w:tcW w:w="3516" w:type="dxa"/>
            <w:tcBorders>
              <w:top w:val="single" w:sz="4" w:space="0" w:color="auto"/>
              <w:left w:val="nil"/>
              <w:bottom w:val="nil"/>
              <w:right w:val="nil"/>
            </w:tcBorders>
            <w:noWrap/>
            <w:hideMark/>
          </w:tcPr>
          <w:p w14:paraId="354AD84B" w14:textId="77777777" w:rsidR="00601A3C" w:rsidRPr="00143F0E" w:rsidRDefault="00601A3C" w:rsidP="003F4F9E">
            <w:pPr>
              <w:ind w:firstLine="0"/>
              <w:jc w:val="left"/>
              <w:textAlignment w:val="auto"/>
              <w:rPr>
                <w:rFonts w:asciiTheme="minorHAnsi" w:eastAsia="Times New Roman" w:hAnsiTheme="minorHAnsi"/>
                <w:color w:val="000000"/>
                <w:sz w:val="18"/>
                <w:szCs w:val="18"/>
                <w:lang w:val="fr-FR"/>
              </w:rPr>
            </w:pPr>
            <w:r w:rsidRPr="00143F0E">
              <w:rPr>
                <w:rFonts w:asciiTheme="minorHAnsi" w:eastAsia="Times New Roman" w:hAnsiTheme="minorHAnsi"/>
                <w:color w:val="000000"/>
                <w:sz w:val="18"/>
                <w:szCs w:val="18"/>
                <w:lang w:val="fr-FR"/>
              </w:rPr>
              <w:t>Multi-dimensional Fatigue Inventory (MFI)</w:t>
            </w:r>
          </w:p>
        </w:tc>
        <w:tc>
          <w:tcPr>
            <w:tcW w:w="1225" w:type="dxa"/>
            <w:tcBorders>
              <w:top w:val="single" w:sz="4" w:space="0" w:color="auto"/>
              <w:left w:val="nil"/>
              <w:bottom w:val="nil"/>
              <w:right w:val="nil"/>
            </w:tcBorders>
            <w:noWrap/>
            <w:hideMark/>
          </w:tcPr>
          <w:p w14:paraId="135885F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single" w:sz="4" w:space="0" w:color="auto"/>
              <w:left w:val="nil"/>
              <w:bottom w:val="nil"/>
              <w:right w:val="nil"/>
            </w:tcBorders>
            <w:noWrap/>
            <w:hideMark/>
          </w:tcPr>
          <w:p w14:paraId="461760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 xml:space="preserve">Value range: 0-100, </w:t>
            </w:r>
          </w:p>
        </w:tc>
        <w:tc>
          <w:tcPr>
            <w:tcW w:w="851" w:type="dxa"/>
            <w:tcBorders>
              <w:top w:val="single" w:sz="4" w:space="0" w:color="auto"/>
              <w:left w:val="nil"/>
              <w:bottom w:val="nil"/>
              <w:right w:val="nil"/>
            </w:tcBorders>
            <w:noWrap/>
            <w:hideMark/>
          </w:tcPr>
          <w:p w14:paraId="09DBAC7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w:t>
            </w:r>
          </w:p>
        </w:tc>
        <w:tc>
          <w:tcPr>
            <w:tcW w:w="1119" w:type="dxa"/>
            <w:tcBorders>
              <w:top w:val="single" w:sz="4" w:space="0" w:color="auto"/>
              <w:left w:val="nil"/>
              <w:bottom w:val="nil"/>
              <w:right w:val="nil"/>
            </w:tcBorders>
            <w:noWrap/>
            <w:hideMark/>
          </w:tcPr>
          <w:p w14:paraId="4B74FE4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single" w:sz="4" w:space="0" w:color="auto"/>
              <w:left w:val="nil"/>
              <w:bottom w:val="nil"/>
              <w:right w:val="nil"/>
            </w:tcBorders>
            <w:noWrap/>
            <w:hideMark/>
          </w:tcPr>
          <w:p w14:paraId="624C56A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Syndrome 1 diagnosed in Traditional Chinese Medicine (TCM #1)</w:t>
            </w:r>
          </w:p>
        </w:tc>
        <w:tc>
          <w:tcPr>
            <w:tcW w:w="1667" w:type="dxa"/>
            <w:tcBorders>
              <w:top w:val="single" w:sz="4" w:space="0" w:color="auto"/>
              <w:left w:val="nil"/>
              <w:bottom w:val="nil"/>
              <w:right w:val="nil"/>
            </w:tcBorders>
            <w:noWrap/>
            <w:hideMark/>
          </w:tcPr>
          <w:p w14:paraId="25A4B1C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45.58 (9.395)</w:t>
            </w:r>
          </w:p>
        </w:tc>
      </w:tr>
      <w:tr w:rsidR="00601A3C" w:rsidRPr="00311360" w14:paraId="6B198F9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FE34B9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[28]</w:t>
            </w:r>
          </w:p>
        </w:tc>
        <w:tc>
          <w:tcPr>
            <w:tcW w:w="3516" w:type="dxa"/>
            <w:tcBorders>
              <w:top w:val="nil"/>
              <w:left w:val="nil"/>
              <w:bottom w:val="nil"/>
              <w:right w:val="nil"/>
            </w:tcBorders>
            <w:noWrap/>
            <w:hideMark/>
          </w:tcPr>
          <w:p w14:paraId="1DD7CDED" w14:textId="77777777" w:rsidR="00601A3C" w:rsidRPr="00143F0E" w:rsidRDefault="00601A3C" w:rsidP="003F4F9E">
            <w:pPr>
              <w:ind w:firstLine="0"/>
              <w:jc w:val="left"/>
              <w:textAlignment w:val="auto"/>
              <w:rPr>
                <w:rFonts w:asciiTheme="minorHAnsi" w:eastAsia="Times New Roman" w:hAnsiTheme="minorHAnsi"/>
                <w:color w:val="000000"/>
                <w:sz w:val="18"/>
                <w:szCs w:val="18"/>
                <w:lang w:val="fr-FR"/>
              </w:rPr>
            </w:pPr>
            <w:r w:rsidRPr="00143F0E">
              <w:rPr>
                <w:rFonts w:asciiTheme="minorHAnsi" w:eastAsia="Times New Roman" w:hAnsiTheme="minorHAnsi"/>
                <w:color w:val="000000"/>
                <w:sz w:val="18"/>
                <w:szCs w:val="18"/>
                <w:lang w:val="fr-FR"/>
              </w:rPr>
              <w:t>Multi-dimensional Fatigue Inventory (MFI)</w:t>
            </w:r>
          </w:p>
        </w:tc>
        <w:tc>
          <w:tcPr>
            <w:tcW w:w="1225" w:type="dxa"/>
            <w:tcBorders>
              <w:top w:val="nil"/>
              <w:left w:val="nil"/>
              <w:bottom w:val="nil"/>
              <w:right w:val="nil"/>
            </w:tcBorders>
            <w:noWrap/>
            <w:hideMark/>
          </w:tcPr>
          <w:p w14:paraId="7B03D06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5C5F721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Value range: 0-100, no cut-off specified*</w:t>
            </w:r>
          </w:p>
        </w:tc>
        <w:tc>
          <w:tcPr>
            <w:tcW w:w="851" w:type="dxa"/>
            <w:tcBorders>
              <w:top w:val="nil"/>
              <w:left w:val="nil"/>
              <w:bottom w:val="nil"/>
              <w:right w:val="nil"/>
            </w:tcBorders>
            <w:noWrap/>
            <w:hideMark/>
          </w:tcPr>
          <w:p w14:paraId="54A982E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20</w:t>
            </w:r>
          </w:p>
        </w:tc>
        <w:tc>
          <w:tcPr>
            <w:tcW w:w="1119" w:type="dxa"/>
            <w:tcBorders>
              <w:top w:val="nil"/>
              <w:left w:val="nil"/>
              <w:bottom w:val="nil"/>
              <w:right w:val="nil"/>
            </w:tcBorders>
            <w:noWrap/>
            <w:hideMark/>
          </w:tcPr>
          <w:p w14:paraId="060F8C8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D8E916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Syndrome 2 diagnosed in Traditional Chinese Medicine (TCM #2)</w:t>
            </w:r>
          </w:p>
        </w:tc>
        <w:tc>
          <w:tcPr>
            <w:tcW w:w="1667" w:type="dxa"/>
            <w:tcBorders>
              <w:top w:val="nil"/>
              <w:left w:val="nil"/>
              <w:bottom w:val="nil"/>
              <w:right w:val="nil"/>
            </w:tcBorders>
            <w:noWrap/>
            <w:hideMark/>
          </w:tcPr>
          <w:p w14:paraId="016DC4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56.00 (19.73)</w:t>
            </w:r>
          </w:p>
        </w:tc>
      </w:tr>
      <w:tr w:rsidR="00601A3C" w:rsidRPr="00311360" w14:paraId="6A2C6BC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4EA75DB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[28]</w:t>
            </w:r>
          </w:p>
        </w:tc>
        <w:tc>
          <w:tcPr>
            <w:tcW w:w="3516" w:type="dxa"/>
            <w:tcBorders>
              <w:top w:val="nil"/>
              <w:left w:val="nil"/>
              <w:bottom w:val="single" w:sz="4" w:space="0" w:color="auto"/>
              <w:right w:val="nil"/>
            </w:tcBorders>
            <w:noWrap/>
            <w:hideMark/>
          </w:tcPr>
          <w:p w14:paraId="05C224A6" w14:textId="77777777" w:rsidR="00601A3C" w:rsidRPr="00143F0E" w:rsidRDefault="00601A3C" w:rsidP="003F4F9E">
            <w:pPr>
              <w:ind w:firstLine="0"/>
              <w:jc w:val="left"/>
              <w:textAlignment w:val="auto"/>
              <w:rPr>
                <w:rFonts w:asciiTheme="minorHAnsi" w:eastAsia="Times New Roman" w:hAnsiTheme="minorHAnsi"/>
                <w:color w:val="000000"/>
                <w:sz w:val="18"/>
                <w:szCs w:val="18"/>
                <w:lang w:val="fr-FR"/>
              </w:rPr>
            </w:pPr>
            <w:r w:rsidRPr="00143F0E">
              <w:rPr>
                <w:rFonts w:asciiTheme="minorHAnsi" w:eastAsia="Times New Roman" w:hAnsiTheme="minorHAnsi"/>
                <w:color w:val="000000"/>
                <w:sz w:val="18"/>
                <w:szCs w:val="18"/>
                <w:lang w:val="fr-FR"/>
              </w:rPr>
              <w:t>Multi-dimensional Fatigue Inventory (MFI)</w:t>
            </w:r>
          </w:p>
        </w:tc>
        <w:tc>
          <w:tcPr>
            <w:tcW w:w="1225" w:type="dxa"/>
            <w:tcBorders>
              <w:top w:val="nil"/>
              <w:left w:val="nil"/>
              <w:bottom w:val="single" w:sz="4" w:space="0" w:color="auto"/>
              <w:right w:val="nil"/>
            </w:tcBorders>
            <w:noWrap/>
            <w:hideMark/>
          </w:tcPr>
          <w:p w14:paraId="0404A38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single" w:sz="4" w:space="0" w:color="auto"/>
              <w:right w:val="nil"/>
            </w:tcBorders>
            <w:noWrap/>
            <w:hideMark/>
          </w:tcPr>
          <w:p w14:paraId="41019CB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Value range: 0-100, no cut-off specified*</w:t>
            </w:r>
          </w:p>
        </w:tc>
        <w:tc>
          <w:tcPr>
            <w:tcW w:w="851" w:type="dxa"/>
            <w:tcBorders>
              <w:top w:val="nil"/>
              <w:left w:val="nil"/>
              <w:bottom w:val="single" w:sz="4" w:space="0" w:color="auto"/>
              <w:right w:val="nil"/>
            </w:tcBorders>
            <w:noWrap/>
            <w:hideMark/>
          </w:tcPr>
          <w:p w14:paraId="75E55D2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19</w:t>
            </w:r>
          </w:p>
        </w:tc>
        <w:tc>
          <w:tcPr>
            <w:tcW w:w="1119" w:type="dxa"/>
            <w:tcBorders>
              <w:top w:val="nil"/>
              <w:left w:val="nil"/>
              <w:bottom w:val="single" w:sz="4" w:space="0" w:color="auto"/>
              <w:right w:val="nil"/>
            </w:tcBorders>
            <w:noWrap/>
            <w:hideMark/>
          </w:tcPr>
          <w:p w14:paraId="7B32E6F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single" w:sz="4" w:space="0" w:color="auto"/>
              <w:right w:val="nil"/>
            </w:tcBorders>
            <w:noWrap/>
            <w:hideMark/>
          </w:tcPr>
          <w:p w14:paraId="6AD2CD0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Syndrome 3 diagnosed in Traditional Chinese Medicine (TCM #3)</w:t>
            </w:r>
          </w:p>
        </w:tc>
        <w:tc>
          <w:tcPr>
            <w:tcW w:w="1667" w:type="dxa"/>
            <w:tcBorders>
              <w:top w:val="nil"/>
              <w:left w:val="nil"/>
              <w:bottom w:val="single" w:sz="4" w:space="0" w:color="auto"/>
              <w:right w:val="nil"/>
            </w:tcBorders>
            <w:noWrap/>
            <w:hideMark/>
          </w:tcPr>
          <w:p w14:paraId="3410237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61.60 (15.29)</w:t>
            </w:r>
          </w:p>
        </w:tc>
      </w:tr>
      <w:tr w:rsidR="00601A3C" w:rsidRPr="00311360" w14:paraId="51FDE4B6" w14:textId="77777777" w:rsidTr="003F4F9E">
        <w:trPr>
          <w:trHeight w:val="292"/>
        </w:trPr>
        <w:tc>
          <w:tcPr>
            <w:tcW w:w="9030" w:type="dxa"/>
            <w:gridSpan w:val="4"/>
            <w:tcBorders>
              <w:top w:val="single" w:sz="4" w:space="0" w:color="auto"/>
              <w:bottom w:val="single" w:sz="4" w:space="0" w:color="auto"/>
            </w:tcBorders>
            <w:noWrap/>
          </w:tcPr>
          <w:p w14:paraId="4530C229"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Multidimensional Fatigue Symptom Inventory-Short Form (MFSI-SF)</w:t>
            </w:r>
          </w:p>
        </w:tc>
        <w:tc>
          <w:tcPr>
            <w:tcW w:w="6104" w:type="dxa"/>
            <w:gridSpan w:val="4"/>
            <w:tcBorders>
              <w:top w:val="single" w:sz="4" w:space="0" w:color="auto"/>
              <w:bottom w:val="single" w:sz="4" w:space="0" w:color="auto"/>
            </w:tcBorders>
            <w:noWrap/>
          </w:tcPr>
          <w:p w14:paraId="7A957030"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Reported scores</w:t>
            </w:r>
          </w:p>
        </w:tc>
      </w:tr>
      <w:tr w:rsidR="00601A3C" w:rsidRPr="00311360" w14:paraId="244EA13F" w14:textId="77777777" w:rsidTr="003F4F9E">
        <w:trPr>
          <w:trHeight w:val="292"/>
        </w:trPr>
        <w:tc>
          <w:tcPr>
            <w:tcW w:w="1084" w:type="dxa"/>
            <w:tcBorders>
              <w:top w:val="single" w:sz="4" w:space="0" w:color="auto"/>
              <w:bottom w:val="single" w:sz="4" w:space="0" w:color="auto"/>
            </w:tcBorders>
            <w:noWrap/>
            <w:hideMark/>
          </w:tcPr>
          <w:p w14:paraId="143BFCF3"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5C63C028"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79CF9C1D"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2CA4FFB8"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50F300FF"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157A179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07E7FDB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69FCDA4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56E9EE8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778CC45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[3]</w:t>
            </w:r>
          </w:p>
        </w:tc>
        <w:tc>
          <w:tcPr>
            <w:tcW w:w="3516" w:type="dxa"/>
            <w:tcBorders>
              <w:top w:val="single" w:sz="4" w:space="0" w:color="auto"/>
              <w:left w:val="nil"/>
              <w:bottom w:val="nil"/>
              <w:right w:val="nil"/>
            </w:tcBorders>
            <w:noWrap/>
            <w:hideMark/>
          </w:tcPr>
          <w:p w14:paraId="6E55A20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single" w:sz="4" w:space="0" w:color="auto"/>
              <w:left w:val="nil"/>
              <w:bottom w:val="nil"/>
              <w:right w:val="nil"/>
            </w:tcBorders>
            <w:noWrap/>
            <w:hideMark/>
          </w:tcPr>
          <w:p w14:paraId="663712E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30</w:t>
            </w:r>
          </w:p>
        </w:tc>
        <w:tc>
          <w:tcPr>
            <w:tcW w:w="3205" w:type="dxa"/>
            <w:tcBorders>
              <w:top w:val="single" w:sz="4" w:space="0" w:color="auto"/>
              <w:left w:val="nil"/>
              <w:bottom w:val="nil"/>
              <w:right w:val="nil"/>
            </w:tcBorders>
            <w:noWrap/>
            <w:hideMark/>
          </w:tcPr>
          <w:p w14:paraId="69DD390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24-86*, Higher scores indicating greater fatigue</w:t>
            </w:r>
          </w:p>
        </w:tc>
        <w:tc>
          <w:tcPr>
            <w:tcW w:w="851" w:type="dxa"/>
            <w:tcBorders>
              <w:top w:val="single" w:sz="4" w:space="0" w:color="auto"/>
              <w:left w:val="nil"/>
              <w:bottom w:val="nil"/>
              <w:right w:val="nil"/>
            </w:tcBorders>
            <w:noWrap/>
            <w:hideMark/>
          </w:tcPr>
          <w:p w14:paraId="66E2A1B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119" w:type="dxa"/>
            <w:tcBorders>
              <w:top w:val="single" w:sz="4" w:space="0" w:color="auto"/>
              <w:left w:val="nil"/>
              <w:bottom w:val="nil"/>
              <w:right w:val="nil"/>
            </w:tcBorders>
            <w:noWrap/>
            <w:hideMark/>
          </w:tcPr>
          <w:p w14:paraId="1F626B8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2467" w:type="dxa"/>
            <w:tcBorders>
              <w:top w:val="single" w:sz="4" w:space="0" w:color="auto"/>
              <w:left w:val="nil"/>
              <w:bottom w:val="nil"/>
              <w:right w:val="nil"/>
            </w:tcBorders>
            <w:noWrap/>
            <w:hideMark/>
          </w:tcPr>
          <w:p w14:paraId="1DC30A0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1667" w:type="dxa"/>
            <w:tcBorders>
              <w:top w:val="single" w:sz="4" w:space="0" w:color="auto"/>
              <w:left w:val="nil"/>
              <w:bottom w:val="nil"/>
              <w:right w:val="nil"/>
            </w:tcBorders>
            <w:noWrap/>
            <w:hideMark/>
          </w:tcPr>
          <w:p w14:paraId="5E64AA6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r>
      <w:tr w:rsidR="00601A3C" w:rsidRPr="00311360" w14:paraId="0E9419D3"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771C62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12CCB19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nil"/>
              <w:right w:val="nil"/>
            </w:tcBorders>
            <w:noWrap/>
            <w:hideMark/>
          </w:tcPr>
          <w:p w14:paraId="51C5063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30</w:t>
            </w:r>
          </w:p>
        </w:tc>
        <w:tc>
          <w:tcPr>
            <w:tcW w:w="3205" w:type="dxa"/>
            <w:tcBorders>
              <w:top w:val="nil"/>
              <w:left w:val="nil"/>
              <w:bottom w:val="nil"/>
              <w:right w:val="nil"/>
            </w:tcBorders>
            <w:noWrap/>
            <w:hideMark/>
          </w:tcPr>
          <w:p w14:paraId="0E8CD74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nil"/>
              <w:right w:val="nil"/>
            </w:tcBorders>
            <w:noWrap/>
            <w:hideMark/>
          </w:tcPr>
          <w:p w14:paraId="4C2ABFF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1F12468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B28C24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MFSI-SF total</w:t>
            </w:r>
          </w:p>
        </w:tc>
        <w:tc>
          <w:tcPr>
            <w:tcW w:w="1667" w:type="dxa"/>
            <w:tcBorders>
              <w:top w:val="nil"/>
              <w:left w:val="nil"/>
              <w:bottom w:val="nil"/>
              <w:right w:val="nil"/>
            </w:tcBorders>
            <w:hideMark/>
          </w:tcPr>
          <w:p w14:paraId="05B1BC5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14.89 (20.3)</w:t>
            </w:r>
          </w:p>
        </w:tc>
      </w:tr>
      <w:tr w:rsidR="00601A3C" w:rsidRPr="00311360" w14:paraId="57389E6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2AF658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7DD7D15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nil"/>
              <w:right w:val="nil"/>
            </w:tcBorders>
            <w:noWrap/>
            <w:hideMark/>
          </w:tcPr>
          <w:p w14:paraId="5B88331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131C72F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nil"/>
              <w:right w:val="nil"/>
            </w:tcBorders>
            <w:noWrap/>
            <w:hideMark/>
          </w:tcPr>
          <w:p w14:paraId="45741CE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12852D8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A30273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w:t>
            </w:r>
          </w:p>
        </w:tc>
        <w:tc>
          <w:tcPr>
            <w:tcW w:w="1667" w:type="dxa"/>
            <w:tcBorders>
              <w:top w:val="nil"/>
              <w:left w:val="nil"/>
              <w:bottom w:val="nil"/>
              <w:right w:val="nil"/>
            </w:tcBorders>
            <w:noWrap/>
            <w:hideMark/>
          </w:tcPr>
          <w:p w14:paraId="445DA2B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9.13 (5.7)</w:t>
            </w:r>
          </w:p>
        </w:tc>
      </w:tr>
      <w:tr w:rsidR="00601A3C" w:rsidRPr="00311360" w14:paraId="012453B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22281C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70DA9D3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nil"/>
              <w:right w:val="nil"/>
            </w:tcBorders>
            <w:noWrap/>
            <w:hideMark/>
          </w:tcPr>
          <w:p w14:paraId="0DCF327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60CF91B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nil"/>
              <w:right w:val="nil"/>
            </w:tcBorders>
            <w:noWrap/>
            <w:hideMark/>
          </w:tcPr>
          <w:p w14:paraId="1616D45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04DC7E1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9DE47E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Emotional Fatigue</w:t>
            </w:r>
          </w:p>
        </w:tc>
        <w:tc>
          <w:tcPr>
            <w:tcW w:w="1667" w:type="dxa"/>
            <w:tcBorders>
              <w:top w:val="nil"/>
              <w:left w:val="nil"/>
              <w:bottom w:val="nil"/>
              <w:right w:val="nil"/>
            </w:tcBorders>
            <w:noWrap/>
            <w:hideMark/>
          </w:tcPr>
          <w:p w14:paraId="7F79DD1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6.83 (5.6)</w:t>
            </w:r>
          </w:p>
        </w:tc>
      </w:tr>
      <w:tr w:rsidR="00601A3C" w:rsidRPr="00311360" w14:paraId="423EAE4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9AD481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37B43AD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nil"/>
              <w:right w:val="nil"/>
            </w:tcBorders>
            <w:noWrap/>
            <w:hideMark/>
          </w:tcPr>
          <w:p w14:paraId="1841C876"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2EB40A7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nil"/>
              <w:right w:val="nil"/>
            </w:tcBorders>
            <w:noWrap/>
            <w:hideMark/>
          </w:tcPr>
          <w:p w14:paraId="4C03636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390877C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4E6CFB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Physical Fatigue</w:t>
            </w:r>
          </w:p>
        </w:tc>
        <w:tc>
          <w:tcPr>
            <w:tcW w:w="1667" w:type="dxa"/>
            <w:tcBorders>
              <w:top w:val="nil"/>
              <w:left w:val="nil"/>
              <w:bottom w:val="nil"/>
              <w:right w:val="nil"/>
            </w:tcBorders>
            <w:noWrap/>
            <w:hideMark/>
          </w:tcPr>
          <w:p w14:paraId="75BBD74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4.75 (4.8)</w:t>
            </w:r>
          </w:p>
        </w:tc>
      </w:tr>
      <w:tr w:rsidR="00601A3C" w:rsidRPr="00311360" w14:paraId="405CB1A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9B10B2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nil"/>
              <w:right w:val="nil"/>
            </w:tcBorders>
            <w:noWrap/>
            <w:hideMark/>
          </w:tcPr>
          <w:p w14:paraId="1805887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nil"/>
              <w:right w:val="nil"/>
            </w:tcBorders>
            <w:noWrap/>
            <w:hideMark/>
          </w:tcPr>
          <w:p w14:paraId="27515184"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75B0FA5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nil"/>
              <w:right w:val="nil"/>
            </w:tcBorders>
            <w:noWrap/>
            <w:hideMark/>
          </w:tcPr>
          <w:p w14:paraId="218096B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nil"/>
              <w:right w:val="nil"/>
            </w:tcBorders>
            <w:noWrap/>
            <w:hideMark/>
          </w:tcPr>
          <w:p w14:paraId="5D231D2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723761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Mental Fatigue</w:t>
            </w:r>
          </w:p>
        </w:tc>
        <w:tc>
          <w:tcPr>
            <w:tcW w:w="1667" w:type="dxa"/>
            <w:tcBorders>
              <w:top w:val="nil"/>
              <w:left w:val="nil"/>
              <w:bottom w:val="nil"/>
              <w:right w:val="nil"/>
            </w:tcBorders>
            <w:noWrap/>
            <w:hideMark/>
          </w:tcPr>
          <w:p w14:paraId="1675CD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5.52 (4.9)</w:t>
            </w:r>
          </w:p>
        </w:tc>
      </w:tr>
      <w:tr w:rsidR="00601A3C" w:rsidRPr="00311360" w14:paraId="44EE53C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3F19574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[4]</w:t>
            </w:r>
          </w:p>
        </w:tc>
        <w:tc>
          <w:tcPr>
            <w:tcW w:w="3516" w:type="dxa"/>
            <w:tcBorders>
              <w:top w:val="nil"/>
              <w:left w:val="nil"/>
              <w:bottom w:val="single" w:sz="4" w:space="0" w:color="auto"/>
              <w:right w:val="nil"/>
            </w:tcBorders>
            <w:noWrap/>
            <w:hideMark/>
          </w:tcPr>
          <w:p w14:paraId="4A35E3F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Multidimensional Fatigue Symptom Inventory-Short Form (MFSI-SF)</w:t>
            </w:r>
          </w:p>
        </w:tc>
        <w:tc>
          <w:tcPr>
            <w:tcW w:w="1225" w:type="dxa"/>
            <w:tcBorders>
              <w:top w:val="nil"/>
              <w:left w:val="nil"/>
              <w:bottom w:val="single" w:sz="4" w:space="0" w:color="auto"/>
              <w:right w:val="nil"/>
            </w:tcBorders>
            <w:noWrap/>
            <w:hideMark/>
          </w:tcPr>
          <w:p w14:paraId="10770B7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single" w:sz="4" w:space="0" w:color="auto"/>
              <w:right w:val="nil"/>
            </w:tcBorders>
            <w:noWrap/>
            <w:hideMark/>
          </w:tcPr>
          <w:p w14:paraId="41FEB4E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-24 to 86*</w:t>
            </w:r>
          </w:p>
        </w:tc>
        <w:tc>
          <w:tcPr>
            <w:tcW w:w="851" w:type="dxa"/>
            <w:tcBorders>
              <w:top w:val="nil"/>
              <w:left w:val="nil"/>
              <w:bottom w:val="single" w:sz="4" w:space="0" w:color="auto"/>
              <w:right w:val="nil"/>
            </w:tcBorders>
            <w:noWrap/>
            <w:hideMark/>
          </w:tcPr>
          <w:p w14:paraId="6370083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w:t>
            </w:r>
          </w:p>
        </w:tc>
        <w:tc>
          <w:tcPr>
            <w:tcW w:w="1119" w:type="dxa"/>
            <w:tcBorders>
              <w:top w:val="nil"/>
              <w:left w:val="nil"/>
              <w:bottom w:val="single" w:sz="4" w:space="0" w:color="auto"/>
              <w:right w:val="nil"/>
            </w:tcBorders>
            <w:noWrap/>
            <w:hideMark/>
          </w:tcPr>
          <w:p w14:paraId="5BF82C8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single" w:sz="4" w:space="0" w:color="auto"/>
              <w:right w:val="nil"/>
            </w:tcBorders>
            <w:noWrap/>
            <w:hideMark/>
          </w:tcPr>
          <w:p w14:paraId="5AD1FFC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Vigor</w:t>
            </w:r>
          </w:p>
        </w:tc>
        <w:tc>
          <w:tcPr>
            <w:tcW w:w="1667" w:type="dxa"/>
            <w:tcBorders>
              <w:top w:val="nil"/>
              <w:left w:val="nil"/>
              <w:bottom w:val="single" w:sz="4" w:space="0" w:color="auto"/>
              <w:right w:val="nil"/>
            </w:tcBorders>
            <w:noWrap/>
            <w:hideMark/>
          </w:tcPr>
          <w:p w14:paraId="454D63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11.35 (5.4)</w:t>
            </w:r>
          </w:p>
        </w:tc>
      </w:tr>
      <w:tr w:rsidR="00601A3C" w:rsidRPr="00311360" w14:paraId="6E63BFF6" w14:textId="77777777" w:rsidTr="003F4F9E">
        <w:trPr>
          <w:trHeight w:val="292"/>
        </w:trPr>
        <w:tc>
          <w:tcPr>
            <w:tcW w:w="9030" w:type="dxa"/>
            <w:gridSpan w:val="4"/>
            <w:tcBorders>
              <w:top w:val="single" w:sz="4" w:space="0" w:color="auto"/>
              <w:bottom w:val="single" w:sz="4" w:space="0" w:color="auto"/>
            </w:tcBorders>
            <w:noWrap/>
          </w:tcPr>
          <w:p w14:paraId="060FE670"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Pediatric Quality of Life Multidimensional Fatigue Scale (PedsQL™ MFS)</w:t>
            </w:r>
          </w:p>
        </w:tc>
        <w:tc>
          <w:tcPr>
            <w:tcW w:w="6104" w:type="dxa"/>
            <w:gridSpan w:val="4"/>
            <w:tcBorders>
              <w:top w:val="single" w:sz="4" w:space="0" w:color="auto"/>
              <w:bottom w:val="single" w:sz="4" w:space="0" w:color="auto"/>
            </w:tcBorders>
            <w:noWrap/>
          </w:tcPr>
          <w:p w14:paraId="2B080991" w14:textId="77777777" w:rsidR="00601A3C" w:rsidRPr="00311360" w:rsidRDefault="00601A3C" w:rsidP="003F4F9E">
            <w:pPr>
              <w:ind w:firstLine="0"/>
              <w:jc w:val="center"/>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Reported scores</w:t>
            </w:r>
          </w:p>
        </w:tc>
      </w:tr>
      <w:tr w:rsidR="00601A3C" w:rsidRPr="00311360" w14:paraId="44FA3903" w14:textId="77777777" w:rsidTr="003F4F9E">
        <w:trPr>
          <w:trHeight w:val="292"/>
        </w:trPr>
        <w:tc>
          <w:tcPr>
            <w:tcW w:w="1084" w:type="dxa"/>
            <w:tcBorders>
              <w:top w:val="single" w:sz="4" w:space="0" w:color="auto"/>
              <w:bottom w:val="single" w:sz="4" w:space="0" w:color="auto"/>
            </w:tcBorders>
            <w:noWrap/>
            <w:hideMark/>
          </w:tcPr>
          <w:p w14:paraId="03C83ABB" w14:textId="77777777" w:rsidR="00601A3C" w:rsidRPr="00311360" w:rsidRDefault="00601A3C" w:rsidP="003F4F9E">
            <w:pPr>
              <w:ind w:firstLine="0"/>
              <w:jc w:val="left"/>
              <w:textAlignment w:val="auto"/>
              <w:rPr>
                <w:rFonts w:asciiTheme="minorHAnsi" w:eastAsia="Times New Roman" w:hAnsiTheme="minorHAnsi"/>
                <w:i/>
                <w:iCs/>
                <w:sz w:val="18"/>
                <w:szCs w:val="18"/>
              </w:rPr>
            </w:pPr>
            <w:r w:rsidRPr="00311360">
              <w:rPr>
                <w:rFonts w:asciiTheme="minorHAnsi" w:eastAsia="Times New Roman" w:hAnsiTheme="minorHAnsi"/>
                <w:i/>
                <w:iCs/>
                <w:sz w:val="18"/>
                <w:szCs w:val="18"/>
              </w:rPr>
              <w:t>Reference</w:t>
            </w:r>
          </w:p>
        </w:tc>
        <w:tc>
          <w:tcPr>
            <w:tcW w:w="3516" w:type="dxa"/>
            <w:tcBorders>
              <w:top w:val="single" w:sz="4" w:space="0" w:color="auto"/>
              <w:bottom w:val="single" w:sz="4" w:space="0" w:color="auto"/>
            </w:tcBorders>
            <w:noWrap/>
            <w:hideMark/>
          </w:tcPr>
          <w:p w14:paraId="3381BCE0"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Type</w:t>
            </w:r>
          </w:p>
        </w:tc>
        <w:tc>
          <w:tcPr>
            <w:tcW w:w="1225" w:type="dxa"/>
            <w:tcBorders>
              <w:top w:val="single" w:sz="4" w:space="0" w:color="auto"/>
              <w:bottom w:val="single" w:sz="4" w:space="0" w:color="auto"/>
            </w:tcBorders>
            <w:noWrap/>
            <w:hideMark/>
          </w:tcPr>
          <w:p w14:paraId="1337A5E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Nb of items</w:t>
            </w:r>
          </w:p>
        </w:tc>
        <w:tc>
          <w:tcPr>
            <w:tcW w:w="3205" w:type="dxa"/>
            <w:tcBorders>
              <w:top w:val="single" w:sz="4" w:space="0" w:color="auto"/>
              <w:bottom w:val="single" w:sz="4" w:space="0" w:color="auto"/>
            </w:tcBorders>
            <w:noWrap/>
            <w:hideMark/>
          </w:tcPr>
          <w:p w14:paraId="58E4888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Interpretation/Cut-off/Calibration</w:t>
            </w:r>
          </w:p>
        </w:tc>
        <w:tc>
          <w:tcPr>
            <w:tcW w:w="851" w:type="dxa"/>
            <w:tcBorders>
              <w:top w:val="single" w:sz="4" w:space="0" w:color="auto"/>
              <w:bottom w:val="single" w:sz="4" w:space="0" w:color="auto"/>
            </w:tcBorders>
            <w:noWrap/>
            <w:hideMark/>
          </w:tcPr>
          <w:p w14:paraId="52567550"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N total</w:t>
            </w:r>
          </w:p>
        </w:tc>
        <w:tc>
          <w:tcPr>
            <w:tcW w:w="1119" w:type="dxa"/>
            <w:tcBorders>
              <w:top w:val="single" w:sz="4" w:space="0" w:color="auto"/>
              <w:bottom w:val="single" w:sz="4" w:space="0" w:color="auto"/>
            </w:tcBorders>
            <w:noWrap/>
            <w:hideMark/>
          </w:tcPr>
          <w:p w14:paraId="59DF68D6"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Report type</w:t>
            </w:r>
          </w:p>
        </w:tc>
        <w:tc>
          <w:tcPr>
            <w:tcW w:w="2467" w:type="dxa"/>
            <w:tcBorders>
              <w:top w:val="single" w:sz="4" w:space="0" w:color="auto"/>
              <w:bottom w:val="single" w:sz="4" w:space="0" w:color="auto"/>
            </w:tcBorders>
            <w:noWrap/>
            <w:hideMark/>
          </w:tcPr>
          <w:p w14:paraId="6AC5AD5C"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 condition</w:t>
            </w:r>
          </w:p>
        </w:tc>
        <w:tc>
          <w:tcPr>
            <w:tcW w:w="1667" w:type="dxa"/>
            <w:tcBorders>
              <w:top w:val="single" w:sz="4" w:space="0" w:color="auto"/>
              <w:bottom w:val="single" w:sz="4" w:space="0" w:color="auto"/>
            </w:tcBorders>
            <w:noWrap/>
            <w:hideMark/>
          </w:tcPr>
          <w:p w14:paraId="3C989789" w14:textId="77777777" w:rsidR="00601A3C" w:rsidRPr="00311360" w:rsidRDefault="00601A3C" w:rsidP="003F4F9E">
            <w:pPr>
              <w:ind w:firstLine="0"/>
              <w:jc w:val="center"/>
              <w:textAlignment w:val="auto"/>
              <w:rPr>
                <w:rFonts w:asciiTheme="minorHAnsi" w:eastAsia="Times New Roman" w:hAnsiTheme="minorHAnsi"/>
                <w:i/>
                <w:iCs/>
                <w:color w:val="000000"/>
                <w:sz w:val="18"/>
                <w:szCs w:val="18"/>
              </w:rPr>
            </w:pPr>
            <w:r w:rsidRPr="00311360">
              <w:rPr>
                <w:rFonts w:asciiTheme="minorHAnsi" w:eastAsia="Times New Roman" w:hAnsiTheme="minorHAnsi"/>
                <w:i/>
                <w:iCs/>
                <w:color w:val="000000"/>
                <w:sz w:val="18"/>
                <w:szCs w:val="18"/>
              </w:rPr>
              <w:t>Score</w:t>
            </w:r>
          </w:p>
        </w:tc>
      </w:tr>
      <w:tr w:rsidR="00601A3C" w:rsidRPr="00311360" w14:paraId="02C8361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single" w:sz="4" w:space="0" w:color="auto"/>
              <w:left w:val="nil"/>
              <w:bottom w:val="nil"/>
              <w:right w:val="nil"/>
            </w:tcBorders>
            <w:noWrap/>
            <w:hideMark/>
          </w:tcPr>
          <w:p w14:paraId="4E6A048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[5]</w:t>
            </w:r>
          </w:p>
        </w:tc>
        <w:tc>
          <w:tcPr>
            <w:tcW w:w="3516" w:type="dxa"/>
            <w:tcBorders>
              <w:top w:val="single" w:sz="4" w:space="0" w:color="auto"/>
              <w:left w:val="nil"/>
              <w:bottom w:val="nil"/>
              <w:right w:val="nil"/>
            </w:tcBorders>
            <w:noWrap/>
            <w:hideMark/>
          </w:tcPr>
          <w:p w14:paraId="543D74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single" w:sz="4" w:space="0" w:color="auto"/>
              <w:left w:val="nil"/>
              <w:bottom w:val="nil"/>
              <w:right w:val="nil"/>
            </w:tcBorders>
            <w:noWrap/>
            <w:hideMark/>
          </w:tcPr>
          <w:p w14:paraId="54AF40E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single" w:sz="4" w:space="0" w:color="auto"/>
              <w:left w:val="nil"/>
              <w:bottom w:val="nil"/>
              <w:right w:val="nil"/>
            </w:tcBorders>
            <w:noWrap/>
            <w:hideMark/>
          </w:tcPr>
          <w:p w14:paraId="625A2C58"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single" w:sz="4" w:space="0" w:color="auto"/>
              <w:left w:val="nil"/>
              <w:bottom w:val="nil"/>
              <w:right w:val="nil"/>
            </w:tcBorders>
            <w:noWrap/>
            <w:hideMark/>
          </w:tcPr>
          <w:p w14:paraId="386415E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32</w:t>
            </w:r>
          </w:p>
        </w:tc>
        <w:tc>
          <w:tcPr>
            <w:tcW w:w="1119" w:type="dxa"/>
            <w:tcBorders>
              <w:top w:val="single" w:sz="4" w:space="0" w:color="auto"/>
              <w:left w:val="nil"/>
              <w:bottom w:val="nil"/>
              <w:right w:val="nil"/>
            </w:tcBorders>
            <w:noWrap/>
            <w:hideMark/>
          </w:tcPr>
          <w:p w14:paraId="72A9AC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single" w:sz="4" w:space="0" w:color="auto"/>
              <w:left w:val="nil"/>
              <w:bottom w:val="nil"/>
              <w:right w:val="nil"/>
            </w:tcBorders>
            <w:noWrap/>
            <w:hideMark/>
          </w:tcPr>
          <w:p w14:paraId="723ADDE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Summary Fatigue (child report)</w:t>
            </w:r>
          </w:p>
        </w:tc>
        <w:tc>
          <w:tcPr>
            <w:tcW w:w="1667" w:type="dxa"/>
            <w:tcBorders>
              <w:top w:val="single" w:sz="4" w:space="0" w:color="auto"/>
              <w:left w:val="nil"/>
              <w:bottom w:val="nil"/>
              <w:right w:val="nil"/>
            </w:tcBorders>
            <w:noWrap/>
            <w:hideMark/>
          </w:tcPr>
          <w:p w14:paraId="575F6C3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67.5 (20.0)</w:t>
            </w:r>
          </w:p>
        </w:tc>
      </w:tr>
      <w:tr w:rsidR="00601A3C" w:rsidRPr="00311360" w14:paraId="255E100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5D06A6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[5]</w:t>
            </w:r>
          </w:p>
        </w:tc>
        <w:tc>
          <w:tcPr>
            <w:tcW w:w="3516" w:type="dxa"/>
            <w:tcBorders>
              <w:top w:val="nil"/>
              <w:left w:val="nil"/>
              <w:bottom w:val="nil"/>
              <w:right w:val="nil"/>
            </w:tcBorders>
            <w:noWrap/>
            <w:hideMark/>
          </w:tcPr>
          <w:p w14:paraId="378E9490"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73E62A0E"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5FE861CE"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70FD0C7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32</w:t>
            </w:r>
          </w:p>
        </w:tc>
        <w:tc>
          <w:tcPr>
            <w:tcW w:w="1119" w:type="dxa"/>
            <w:tcBorders>
              <w:top w:val="nil"/>
              <w:left w:val="nil"/>
              <w:bottom w:val="nil"/>
              <w:right w:val="nil"/>
            </w:tcBorders>
            <w:noWrap/>
            <w:hideMark/>
          </w:tcPr>
          <w:p w14:paraId="36D3983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6E82E99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 (child report)</w:t>
            </w:r>
          </w:p>
        </w:tc>
        <w:tc>
          <w:tcPr>
            <w:tcW w:w="1667" w:type="dxa"/>
            <w:tcBorders>
              <w:top w:val="nil"/>
              <w:left w:val="nil"/>
              <w:bottom w:val="nil"/>
              <w:right w:val="nil"/>
            </w:tcBorders>
            <w:noWrap/>
            <w:hideMark/>
          </w:tcPr>
          <w:p w14:paraId="2F492D5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72.7 (21.3)</w:t>
            </w:r>
          </w:p>
        </w:tc>
      </w:tr>
      <w:tr w:rsidR="00601A3C" w:rsidRPr="00311360" w14:paraId="3036FE4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49A45D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[5]</w:t>
            </w:r>
          </w:p>
        </w:tc>
        <w:tc>
          <w:tcPr>
            <w:tcW w:w="3516" w:type="dxa"/>
            <w:tcBorders>
              <w:top w:val="nil"/>
              <w:left w:val="nil"/>
              <w:bottom w:val="nil"/>
              <w:right w:val="nil"/>
            </w:tcBorders>
            <w:noWrap/>
            <w:hideMark/>
          </w:tcPr>
          <w:p w14:paraId="4D77479D"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7403367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3A4C4FD0"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1C9EB26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32</w:t>
            </w:r>
          </w:p>
        </w:tc>
        <w:tc>
          <w:tcPr>
            <w:tcW w:w="1119" w:type="dxa"/>
            <w:tcBorders>
              <w:top w:val="nil"/>
              <w:left w:val="nil"/>
              <w:bottom w:val="nil"/>
              <w:right w:val="nil"/>
            </w:tcBorders>
            <w:noWrap/>
            <w:hideMark/>
          </w:tcPr>
          <w:p w14:paraId="0F2F237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E6F497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Sleep/Rest Fatigue (child report)</w:t>
            </w:r>
          </w:p>
        </w:tc>
        <w:tc>
          <w:tcPr>
            <w:tcW w:w="1667" w:type="dxa"/>
            <w:tcBorders>
              <w:top w:val="nil"/>
              <w:left w:val="nil"/>
              <w:bottom w:val="nil"/>
              <w:right w:val="nil"/>
            </w:tcBorders>
            <w:noWrap/>
            <w:hideMark/>
          </w:tcPr>
          <w:p w14:paraId="2E633D6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61.43 (23.3)</w:t>
            </w:r>
          </w:p>
        </w:tc>
      </w:tr>
      <w:tr w:rsidR="00601A3C" w:rsidRPr="00311360" w14:paraId="22E6B65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8C567D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[5]</w:t>
            </w:r>
          </w:p>
        </w:tc>
        <w:tc>
          <w:tcPr>
            <w:tcW w:w="3516" w:type="dxa"/>
            <w:tcBorders>
              <w:top w:val="nil"/>
              <w:left w:val="nil"/>
              <w:bottom w:val="nil"/>
              <w:right w:val="nil"/>
            </w:tcBorders>
            <w:noWrap/>
            <w:hideMark/>
          </w:tcPr>
          <w:p w14:paraId="582DADF2"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6B770D01"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513AD560"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5918A10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32</w:t>
            </w:r>
          </w:p>
        </w:tc>
        <w:tc>
          <w:tcPr>
            <w:tcW w:w="1119" w:type="dxa"/>
            <w:tcBorders>
              <w:top w:val="nil"/>
              <w:left w:val="nil"/>
              <w:bottom w:val="nil"/>
              <w:right w:val="nil"/>
            </w:tcBorders>
            <w:noWrap/>
            <w:hideMark/>
          </w:tcPr>
          <w:p w14:paraId="20E5C17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93BAFC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Cognitive Fatigue (child report)</w:t>
            </w:r>
          </w:p>
        </w:tc>
        <w:tc>
          <w:tcPr>
            <w:tcW w:w="1667" w:type="dxa"/>
            <w:tcBorders>
              <w:top w:val="nil"/>
              <w:left w:val="nil"/>
              <w:bottom w:val="nil"/>
              <w:right w:val="nil"/>
            </w:tcBorders>
            <w:noWrap/>
            <w:hideMark/>
          </w:tcPr>
          <w:p w14:paraId="71D2111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68.0 (26.8)</w:t>
            </w:r>
          </w:p>
        </w:tc>
      </w:tr>
      <w:tr w:rsidR="00601A3C" w:rsidRPr="00311360" w14:paraId="35882C0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7EDDB6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[13]</w:t>
            </w:r>
          </w:p>
        </w:tc>
        <w:tc>
          <w:tcPr>
            <w:tcW w:w="3516" w:type="dxa"/>
            <w:tcBorders>
              <w:top w:val="nil"/>
              <w:left w:val="nil"/>
              <w:bottom w:val="nil"/>
              <w:right w:val="nil"/>
            </w:tcBorders>
            <w:noWrap/>
            <w:hideMark/>
          </w:tcPr>
          <w:p w14:paraId="4B0605C8"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4118B8ED"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18</w:t>
            </w:r>
          </w:p>
        </w:tc>
        <w:tc>
          <w:tcPr>
            <w:tcW w:w="3205" w:type="dxa"/>
            <w:tcBorders>
              <w:top w:val="nil"/>
              <w:left w:val="nil"/>
              <w:bottom w:val="nil"/>
              <w:right w:val="nil"/>
            </w:tcBorders>
            <w:noWrap/>
            <w:hideMark/>
          </w:tcPr>
          <w:p w14:paraId="6C7B2BD2"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4C4CFB5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1393</w:t>
            </w:r>
          </w:p>
        </w:tc>
        <w:tc>
          <w:tcPr>
            <w:tcW w:w="1119" w:type="dxa"/>
            <w:tcBorders>
              <w:top w:val="nil"/>
              <w:left w:val="nil"/>
              <w:bottom w:val="nil"/>
              <w:right w:val="nil"/>
            </w:tcBorders>
            <w:noWrap/>
            <w:hideMark/>
          </w:tcPr>
          <w:p w14:paraId="40523F2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E4D5DC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Fatigue (child report)</w:t>
            </w:r>
          </w:p>
        </w:tc>
        <w:tc>
          <w:tcPr>
            <w:tcW w:w="1667" w:type="dxa"/>
            <w:tcBorders>
              <w:top w:val="nil"/>
              <w:left w:val="nil"/>
              <w:bottom w:val="nil"/>
              <w:right w:val="nil"/>
            </w:tcBorders>
            <w:noWrap/>
            <w:hideMark/>
          </w:tcPr>
          <w:p w14:paraId="6913BEB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69.04 (18.11)</w:t>
            </w:r>
          </w:p>
        </w:tc>
      </w:tr>
      <w:tr w:rsidR="00601A3C" w:rsidRPr="00311360" w14:paraId="26F7E7A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40DCF3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[13]</w:t>
            </w:r>
          </w:p>
        </w:tc>
        <w:tc>
          <w:tcPr>
            <w:tcW w:w="3516" w:type="dxa"/>
            <w:tcBorders>
              <w:top w:val="nil"/>
              <w:left w:val="nil"/>
              <w:bottom w:val="nil"/>
              <w:right w:val="nil"/>
            </w:tcBorders>
            <w:noWrap/>
            <w:hideMark/>
          </w:tcPr>
          <w:p w14:paraId="60D2BC61"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0F91C1D0"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65C5039B"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5228303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1392</w:t>
            </w:r>
          </w:p>
        </w:tc>
        <w:tc>
          <w:tcPr>
            <w:tcW w:w="1119" w:type="dxa"/>
            <w:tcBorders>
              <w:top w:val="nil"/>
              <w:left w:val="nil"/>
              <w:bottom w:val="nil"/>
              <w:right w:val="nil"/>
            </w:tcBorders>
            <w:noWrap/>
            <w:hideMark/>
          </w:tcPr>
          <w:p w14:paraId="6ACF99A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9479C4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 (child report)</w:t>
            </w:r>
          </w:p>
        </w:tc>
        <w:tc>
          <w:tcPr>
            <w:tcW w:w="1667" w:type="dxa"/>
            <w:tcBorders>
              <w:top w:val="nil"/>
              <w:left w:val="nil"/>
              <w:bottom w:val="nil"/>
              <w:right w:val="nil"/>
            </w:tcBorders>
            <w:noWrap/>
            <w:hideMark/>
          </w:tcPr>
          <w:p w14:paraId="0B43113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72.96 (20.24)</w:t>
            </w:r>
          </w:p>
        </w:tc>
      </w:tr>
      <w:tr w:rsidR="00601A3C" w:rsidRPr="00311360" w14:paraId="5680CC4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F7FFEB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[13]</w:t>
            </w:r>
          </w:p>
        </w:tc>
        <w:tc>
          <w:tcPr>
            <w:tcW w:w="3516" w:type="dxa"/>
            <w:tcBorders>
              <w:top w:val="nil"/>
              <w:left w:val="nil"/>
              <w:bottom w:val="nil"/>
              <w:right w:val="nil"/>
            </w:tcBorders>
            <w:noWrap/>
            <w:hideMark/>
          </w:tcPr>
          <w:p w14:paraId="3C5B79AA"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1C5737AA"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58FF447B"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53F306B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1391</w:t>
            </w:r>
          </w:p>
        </w:tc>
        <w:tc>
          <w:tcPr>
            <w:tcW w:w="1119" w:type="dxa"/>
            <w:tcBorders>
              <w:top w:val="nil"/>
              <w:left w:val="nil"/>
              <w:bottom w:val="nil"/>
              <w:right w:val="nil"/>
            </w:tcBorders>
            <w:noWrap/>
            <w:hideMark/>
          </w:tcPr>
          <w:p w14:paraId="2D5560C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F6E01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Sleep/Rest Fatigue (child report)</w:t>
            </w:r>
          </w:p>
        </w:tc>
        <w:tc>
          <w:tcPr>
            <w:tcW w:w="1667" w:type="dxa"/>
            <w:tcBorders>
              <w:top w:val="nil"/>
              <w:left w:val="nil"/>
              <w:bottom w:val="nil"/>
              <w:right w:val="nil"/>
            </w:tcBorders>
            <w:noWrap/>
            <w:hideMark/>
          </w:tcPr>
          <w:p w14:paraId="7A3175C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64.87 (21.60)</w:t>
            </w:r>
          </w:p>
        </w:tc>
      </w:tr>
      <w:tr w:rsidR="00601A3C" w:rsidRPr="00311360" w14:paraId="7D77F5D8"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629B06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[13]</w:t>
            </w:r>
          </w:p>
        </w:tc>
        <w:tc>
          <w:tcPr>
            <w:tcW w:w="3516" w:type="dxa"/>
            <w:tcBorders>
              <w:top w:val="nil"/>
              <w:left w:val="nil"/>
              <w:bottom w:val="nil"/>
              <w:right w:val="nil"/>
            </w:tcBorders>
            <w:noWrap/>
            <w:hideMark/>
          </w:tcPr>
          <w:p w14:paraId="28618636"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PedsQL™ MFS</w:t>
            </w:r>
          </w:p>
        </w:tc>
        <w:tc>
          <w:tcPr>
            <w:tcW w:w="1225" w:type="dxa"/>
            <w:tcBorders>
              <w:top w:val="nil"/>
              <w:left w:val="nil"/>
              <w:bottom w:val="nil"/>
              <w:right w:val="nil"/>
            </w:tcBorders>
            <w:noWrap/>
            <w:hideMark/>
          </w:tcPr>
          <w:p w14:paraId="406685D5" w14:textId="77777777" w:rsidR="00601A3C" w:rsidRPr="00311360" w:rsidRDefault="00601A3C" w:rsidP="003F4F9E">
            <w:pPr>
              <w:ind w:firstLine="0"/>
              <w:jc w:val="center"/>
              <w:textAlignment w:val="auto"/>
              <w:rPr>
                <w:rFonts w:asciiTheme="minorHAnsi" w:eastAsia="Times New Roman" w:hAnsiTheme="minorHAnsi"/>
                <w:sz w:val="18"/>
                <w:szCs w:val="18"/>
              </w:rPr>
            </w:pPr>
            <w:r w:rsidRPr="00311360">
              <w:rPr>
                <w:rFonts w:asciiTheme="minorHAnsi" w:eastAsia="Times New Roman" w:hAnsiTheme="minorHAnsi"/>
                <w:sz w:val="18"/>
                <w:szCs w:val="18"/>
              </w:rPr>
              <w:t>6</w:t>
            </w:r>
          </w:p>
        </w:tc>
        <w:tc>
          <w:tcPr>
            <w:tcW w:w="3205" w:type="dxa"/>
            <w:tcBorders>
              <w:top w:val="nil"/>
              <w:left w:val="nil"/>
              <w:bottom w:val="nil"/>
              <w:right w:val="nil"/>
            </w:tcBorders>
            <w:noWrap/>
            <w:hideMark/>
          </w:tcPr>
          <w:p w14:paraId="38290968" w14:textId="77777777" w:rsidR="00601A3C" w:rsidRPr="00311360" w:rsidRDefault="00601A3C" w:rsidP="003F4F9E">
            <w:pPr>
              <w:ind w:firstLine="0"/>
              <w:jc w:val="left"/>
              <w:textAlignment w:val="auto"/>
              <w:rPr>
                <w:rFonts w:asciiTheme="minorHAnsi" w:eastAsia="Times New Roman" w:hAnsiTheme="minorHAnsi"/>
                <w:sz w:val="18"/>
                <w:szCs w:val="18"/>
              </w:rPr>
            </w:pPr>
            <w:r w:rsidRPr="00311360">
              <w:rPr>
                <w:rFonts w:asciiTheme="minorHAnsi" w:eastAsia="Times New Roman" w:hAnsiTheme="minorHAnsi"/>
                <w:sz w:val="18"/>
                <w:szCs w:val="18"/>
              </w:rPr>
              <w:t>Potential range (min-max): 0-100, Lower scores indicating more fatigue</w:t>
            </w:r>
          </w:p>
        </w:tc>
        <w:tc>
          <w:tcPr>
            <w:tcW w:w="851" w:type="dxa"/>
            <w:tcBorders>
              <w:top w:val="nil"/>
              <w:left w:val="nil"/>
              <w:bottom w:val="nil"/>
              <w:right w:val="nil"/>
            </w:tcBorders>
            <w:noWrap/>
            <w:hideMark/>
          </w:tcPr>
          <w:p w14:paraId="195AAA2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1390</w:t>
            </w:r>
          </w:p>
        </w:tc>
        <w:tc>
          <w:tcPr>
            <w:tcW w:w="1119" w:type="dxa"/>
            <w:tcBorders>
              <w:top w:val="nil"/>
              <w:left w:val="nil"/>
              <w:bottom w:val="nil"/>
              <w:right w:val="nil"/>
            </w:tcBorders>
            <w:noWrap/>
            <w:hideMark/>
          </w:tcPr>
          <w:p w14:paraId="463D9B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484D80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Cognitive Fatigue (child report)</w:t>
            </w:r>
          </w:p>
        </w:tc>
        <w:tc>
          <w:tcPr>
            <w:tcW w:w="1667" w:type="dxa"/>
            <w:tcBorders>
              <w:top w:val="nil"/>
              <w:left w:val="nil"/>
              <w:bottom w:val="nil"/>
              <w:right w:val="nil"/>
            </w:tcBorders>
            <w:noWrap/>
            <w:hideMark/>
          </w:tcPr>
          <w:p w14:paraId="37601E5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69.33 (23.97)</w:t>
            </w:r>
          </w:p>
        </w:tc>
      </w:tr>
      <w:tr w:rsidR="00601A3C" w:rsidRPr="00311360" w14:paraId="4CF32D0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E1F594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13B1C64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26113E0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7E858C5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6467260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157</w:t>
            </w:r>
          </w:p>
        </w:tc>
        <w:tc>
          <w:tcPr>
            <w:tcW w:w="1119" w:type="dxa"/>
            <w:tcBorders>
              <w:top w:val="nil"/>
              <w:left w:val="nil"/>
              <w:bottom w:val="nil"/>
              <w:right w:val="nil"/>
            </w:tcBorders>
            <w:noWrap/>
            <w:hideMark/>
          </w:tcPr>
          <w:p w14:paraId="642B9F3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8878FF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ED Visit - Total Fatigue (child report)</w:t>
            </w:r>
          </w:p>
        </w:tc>
        <w:tc>
          <w:tcPr>
            <w:tcW w:w="1667" w:type="dxa"/>
            <w:tcBorders>
              <w:top w:val="nil"/>
              <w:left w:val="nil"/>
              <w:bottom w:val="nil"/>
              <w:right w:val="nil"/>
            </w:tcBorders>
            <w:noWrap/>
            <w:hideMark/>
          </w:tcPr>
          <w:p w14:paraId="03AADD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53.8 (18.53)</w:t>
            </w:r>
          </w:p>
        </w:tc>
      </w:tr>
      <w:tr w:rsidR="00601A3C" w:rsidRPr="00311360" w14:paraId="13EBA23B"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814770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34266A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40CCFA1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2A303D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12D6635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158</w:t>
            </w:r>
          </w:p>
        </w:tc>
        <w:tc>
          <w:tcPr>
            <w:tcW w:w="1119" w:type="dxa"/>
            <w:tcBorders>
              <w:top w:val="nil"/>
              <w:left w:val="nil"/>
              <w:bottom w:val="nil"/>
              <w:right w:val="nil"/>
            </w:tcBorders>
            <w:noWrap/>
            <w:hideMark/>
          </w:tcPr>
          <w:p w14:paraId="45AE929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553B9B3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ED Visit - General Fatigue (child report)</w:t>
            </w:r>
          </w:p>
        </w:tc>
        <w:tc>
          <w:tcPr>
            <w:tcW w:w="1667" w:type="dxa"/>
            <w:tcBorders>
              <w:top w:val="nil"/>
              <w:left w:val="nil"/>
              <w:bottom w:val="nil"/>
              <w:right w:val="nil"/>
            </w:tcBorders>
            <w:noWrap/>
            <w:hideMark/>
          </w:tcPr>
          <w:p w14:paraId="6ABDF1A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52.0 (22.20)</w:t>
            </w:r>
          </w:p>
        </w:tc>
      </w:tr>
      <w:tr w:rsidR="00601A3C" w:rsidRPr="00311360" w14:paraId="0D51075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1BB64C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1D15509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5C0F90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671E9BB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1C49C12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157</w:t>
            </w:r>
          </w:p>
        </w:tc>
        <w:tc>
          <w:tcPr>
            <w:tcW w:w="1119" w:type="dxa"/>
            <w:tcBorders>
              <w:top w:val="nil"/>
              <w:left w:val="nil"/>
              <w:bottom w:val="nil"/>
              <w:right w:val="nil"/>
            </w:tcBorders>
            <w:noWrap/>
            <w:hideMark/>
          </w:tcPr>
          <w:p w14:paraId="5484F6E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0C00B2B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ED Visit - Sleep/Rest Fatigue (child report)</w:t>
            </w:r>
          </w:p>
        </w:tc>
        <w:tc>
          <w:tcPr>
            <w:tcW w:w="1667" w:type="dxa"/>
            <w:tcBorders>
              <w:top w:val="nil"/>
              <w:left w:val="nil"/>
              <w:bottom w:val="nil"/>
              <w:right w:val="nil"/>
            </w:tcBorders>
            <w:noWrap/>
            <w:hideMark/>
          </w:tcPr>
          <w:p w14:paraId="11D401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48.6 (20.65)</w:t>
            </w:r>
          </w:p>
        </w:tc>
      </w:tr>
      <w:tr w:rsidR="00601A3C" w:rsidRPr="00311360" w14:paraId="296C58F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894597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6E3A276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4806017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29731FD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4099BE1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155</w:t>
            </w:r>
          </w:p>
        </w:tc>
        <w:tc>
          <w:tcPr>
            <w:tcW w:w="1119" w:type="dxa"/>
            <w:tcBorders>
              <w:top w:val="nil"/>
              <w:left w:val="nil"/>
              <w:bottom w:val="nil"/>
              <w:right w:val="nil"/>
            </w:tcBorders>
            <w:noWrap/>
            <w:hideMark/>
          </w:tcPr>
          <w:p w14:paraId="651D842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8633D7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ED Visit - Cognitive Fatigue (child report)</w:t>
            </w:r>
          </w:p>
        </w:tc>
        <w:tc>
          <w:tcPr>
            <w:tcW w:w="1667" w:type="dxa"/>
            <w:tcBorders>
              <w:top w:val="nil"/>
              <w:left w:val="nil"/>
              <w:bottom w:val="nil"/>
              <w:right w:val="nil"/>
            </w:tcBorders>
            <w:noWrap/>
            <w:hideMark/>
          </w:tcPr>
          <w:p w14:paraId="523A80C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60.3 (26.29)</w:t>
            </w:r>
          </w:p>
        </w:tc>
      </w:tr>
      <w:tr w:rsidR="00601A3C" w:rsidRPr="00311360" w14:paraId="7ED8FA0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C9DFEC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14440C9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11A3866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4966C6F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06EC1DD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134</w:t>
            </w:r>
          </w:p>
        </w:tc>
        <w:tc>
          <w:tcPr>
            <w:tcW w:w="1119" w:type="dxa"/>
            <w:tcBorders>
              <w:top w:val="nil"/>
              <w:left w:val="nil"/>
              <w:bottom w:val="nil"/>
              <w:right w:val="nil"/>
            </w:tcBorders>
            <w:noWrap/>
            <w:hideMark/>
          </w:tcPr>
          <w:p w14:paraId="2B41A3B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1032587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 week - Total Fatigue (child report)</w:t>
            </w:r>
          </w:p>
        </w:tc>
        <w:tc>
          <w:tcPr>
            <w:tcW w:w="1667" w:type="dxa"/>
            <w:tcBorders>
              <w:top w:val="nil"/>
              <w:left w:val="nil"/>
              <w:bottom w:val="nil"/>
              <w:right w:val="nil"/>
            </w:tcBorders>
            <w:noWrap/>
            <w:hideMark/>
          </w:tcPr>
          <w:p w14:paraId="7678441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61.0</w:t>
            </w:r>
          </w:p>
        </w:tc>
      </w:tr>
      <w:tr w:rsidR="00601A3C" w:rsidRPr="00311360" w14:paraId="26DC30D4"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4FD9A83"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701D930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399EE5B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FDF535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558D948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135</w:t>
            </w:r>
          </w:p>
        </w:tc>
        <w:tc>
          <w:tcPr>
            <w:tcW w:w="1119" w:type="dxa"/>
            <w:tcBorders>
              <w:top w:val="nil"/>
              <w:left w:val="nil"/>
              <w:bottom w:val="nil"/>
              <w:right w:val="nil"/>
            </w:tcBorders>
            <w:noWrap/>
            <w:hideMark/>
          </w:tcPr>
          <w:p w14:paraId="33883AB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0C423EE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 week - General Fatigue (child report)</w:t>
            </w:r>
          </w:p>
        </w:tc>
        <w:tc>
          <w:tcPr>
            <w:tcW w:w="1667" w:type="dxa"/>
            <w:tcBorders>
              <w:top w:val="nil"/>
              <w:left w:val="nil"/>
              <w:bottom w:val="nil"/>
              <w:right w:val="nil"/>
            </w:tcBorders>
            <w:noWrap/>
            <w:hideMark/>
          </w:tcPr>
          <w:p w14:paraId="6472E58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60.0</w:t>
            </w:r>
          </w:p>
        </w:tc>
      </w:tr>
      <w:tr w:rsidR="00601A3C" w:rsidRPr="00311360" w14:paraId="1983755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84A051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7AB30A0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4195200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0FAE39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03FA0E6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134</w:t>
            </w:r>
          </w:p>
        </w:tc>
        <w:tc>
          <w:tcPr>
            <w:tcW w:w="1119" w:type="dxa"/>
            <w:tcBorders>
              <w:top w:val="nil"/>
              <w:left w:val="nil"/>
              <w:bottom w:val="nil"/>
              <w:right w:val="nil"/>
            </w:tcBorders>
            <w:noWrap/>
            <w:hideMark/>
          </w:tcPr>
          <w:p w14:paraId="2B06F9C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45AA27C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 week - Sleep/Rest Fatigue (child report)</w:t>
            </w:r>
          </w:p>
        </w:tc>
        <w:tc>
          <w:tcPr>
            <w:tcW w:w="1667" w:type="dxa"/>
            <w:tcBorders>
              <w:top w:val="nil"/>
              <w:left w:val="nil"/>
              <w:bottom w:val="nil"/>
              <w:right w:val="nil"/>
            </w:tcBorders>
            <w:noWrap/>
            <w:hideMark/>
          </w:tcPr>
          <w:p w14:paraId="2BC401B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57.1</w:t>
            </w:r>
          </w:p>
        </w:tc>
      </w:tr>
      <w:tr w:rsidR="00601A3C" w:rsidRPr="00311360" w14:paraId="01551ED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33987F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3121BDC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767AA48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5A07C1F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76A7F2D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132</w:t>
            </w:r>
          </w:p>
        </w:tc>
        <w:tc>
          <w:tcPr>
            <w:tcW w:w="1119" w:type="dxa"/>
            <w:tcBorders>
              <w:top w:val="nil"/>
              <w:left w:val="nil"/>
              <w:bottom w:val="nil"/>
              <w:right w:val="nil"/>
            </w:tcBorders>
            <w:noWrap/>
            <w:hideMark/>
          </w:tcPr>
          <w:p w14:paraId="241B4BF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463D148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 week - Cognitive Fatigue (child report)</w:t>
            </w:r>
          </w:p>
        </w:tc>
        <w:tc>
          <w:tcPr>
            <w:tcW w:w="1667" w:type="dxa"/>
            <w:tcBorders>
              <w:top w:val="nil"/>
              <w:left w:val="nil"/>
              <w:bottom w:val="nil"/>
              <w:right w:val="nil"/>
            </w:tcBorders>
            <w:noWrap/>
            <w:hideMark/>
          </w:tcPr>
          <w:p w14:paraId="3049267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65.2</w:t>
            </w:r>
          </w:p>
        </w:tc>
      </w:tr>
      <w:tr w:rsidR="00601A3C" w:rsidRPr="00311360" w14:paraId="1FB12008"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98BCFE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43B3AF8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F62A95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67071E6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172677A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144</w:t>
            </w:r>
          </w:p>
        </w:tc>
        <w:tc>
          <w:tcPr>
            <w:tcW w:w="1119" w:type="dxa"/>
            <w:tcBorders>
              <w:top w:val="nil"/>
              <w:left w:val="nil"/>
              <w:bottom w:val="nil"/>
              <w:right w:val="nil"/>
            </w:tcBorders>
            <w:noWrap/>
            <w:hideMark/>
          </w:tcPr>
          <w:p w14:paraId="39C88BB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5DA4F41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months - Total Fatigue (child report)</w:t>
            </w:r>
          </w:p>
        </w:tc>
        <w:tc>
          <w:tcPr>
            <w:tcW w:w="1667" w:type="dxa"/>
            <w:tcBorders>
              <w:top w:val="nil"/>
              <w:left w:val="nil"/>
              <w:bottom w:val="nil"/>
              <w:right w:val="nil"/>
            </w:tcBorders>
            <w:noWrap/>
            <w:hideMark/>
          </w:tcPr>
          <w:p w14:paraId="1C345BC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62.1</w:t>
            </w:r>
          </w:p>
        </w:tc>
      </w:tr>
      <w:tr w:rsidR="00601A3C" w:rsidRPr="00311360" w14:paraId="38525B8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926A4B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0A8A5AE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78CDEF8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0F6B4DA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228E2B3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145</w:t>
            </w:r>
          </w:p>
        </w:tc>
        <w:tc>
          <w:tcPr>
            <w:tcW w:w="1119" w:type="dxa"/>
            <w:tcBorders>
              <w:top w:val="nil"/>
              <w:left w:val="nil"/>
              <w:bottom w:val="nil"/>
              <w:right w:val="nil"/>
            </w:tcBorders>
            <w:noWrap/>
            <w:hideMark/>
          </w:tcPr>
          <w:p w14:paraId="431D0EB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4CCA304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months - General Fatigue (child report)</w:t>
            </w:r>
          </w:p>
        </w:tc>
        <w:tc>
          <w:tcPr>
            <w:tcW w:w="1667" w:type="dxa"/>
            <w:tcBorders>
              <w:top w:val="nil"/>
              <w:left w:val="nil"/>
              <w:bottom w:val="nil"/>
              <w:right w:val="nil"/>
            </w:tcBorders>
            <w:noWrap/>
            <w:hideMark/>
          </w:tcPr>
          <w:p w14:paraId="03AA538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64.0</w:t>
            </w:r>
          </w:p>
        </w:tc>
      </w:tr>
      <w:tr w:rsidR="00601A3C" w:rsidRPr="00311360" w14:paraId="762FC4B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A8EE1F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667FFEA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759F7EE"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3189516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7C05DF5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144</w:t>
            </w:r>
          </w:p>
        </w:tc>
        <w:tc>
          <w:tcPr>
            <w:tcW w:w="1119" w:type="dxa"/>
            <w:tcBorders>
              <w:top w:val="nil"/>
              <w:left w:val="nil"/>
              <w:bottom w:val="nil"/>
              <w:right w:val="nil"/>
            </w:tcBorders>
            <w:noWrap/>
            <w:hideMark/>
          </w:tcPr>
          <w:p w14:paraId="085632E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6DEA713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months - Sleep/Rest Fatigue (child report)</w:t>
            </w:r>
          </w:p>
        </w:tc>
        <w:tc>
          <w:tcPr>
            <w:tcW w:w="1667" w:type="dxa"/>
            <w:tcBorders>
              <w:top w:val="nil"/>
              <w:left w:val="nil"/>
              <w:bottom w:val="nil"/>
              <w:right w:val="nil"/>
            </w:tcBorders>
            <w:noWrap/>
            <w:hideMark/>
          </w:tcPr>
          <w:p w14:paraId="56076EB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59.2</w:t>
            </w:r>
          </w:p>
        </w:tc>
      </w:tr>
      <w:tr w:rsidR="00601A3C" w:rsidRPr="00311360" w14:paraId="0AC683D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1997C1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[23]</w:t>
            </w:r>
          </w:p>
        </w:tc>
        <w:tc>
          <w:tcPr>
            <w:tcW w:w="3516" w:type="dxa"/>
            <w:tcBorders>
              <w:top w:val="nil"/>
              <w:left w:val="nil"/>
              <w:bottom w:val="nil"/>
              <w:right w:val="nil"/>
            </w:tcBorders>
            <w:noWrap/>
            <w:hideMark/>
          </w:tcPr>
          <w:p w14:paraId="183A446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0E5F69F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7D7182F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06BB4F0D"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142</w:t>
            </w:r>
          </w:p>
        </w:tc>
        <w:tc>
          <w:tcPr>
            <w:tcW w:w="1119" w:type="dxa"/>
            <w:tcBorders>
              <w:top w:val="nil"/>
              <w:left w:val="nil"/>
              <w:bottom w:val="nil"/>
              <w:right w:val="nil"/>
            </w:tcBorders>
            <w:noWrap/>
            <w:hideMark/>
          </w:tcPr>
          <w:p w14:paraId="5AD4541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w:t>
            </w:r>
          </w:p>
        </w:tc>
        <w:tc>
          <w:tcPr>
            <w:tcW w:w="2467" w:type="dxa"/>
            <w:tcBorders>
              <w:top w:val="nil"/>
              <w:left w:val="nil"/>
              <w:bottom w:val="nil"/>
              <w:right w:val="nil"/>
            </w:tcBorders>
            <w:noWrap/>
            <w:hideMark/>
          </w:tcPr>
          <w:p w14:paraId="1EAB53F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 months - Cognitive Fatigue (child report)</w:t>
            </w:r>
          </w:p>
        </w:tc>
        <w:tc>
          <w:tcPr>
            <w:tcW w:w="1667" w:type="dxa"/>
            <w:tcBorders>
              <w:top w:val="nil"/>
              <w:left w:val="nil"/>
              <w:bottom w:val="nil"/>
              <w:right w:val="nil"/>
            </w:tcBorders>
            <w:noWrap/>
            <w:hideMark/>
          </w:tcPr>
          <w:p w14:paraId="2DC21C5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63.2</w:t>
            </w:r>
          </w:p>
        </w:tc>
      </w:tr>
      <w:tr w:rsidR="00601A3C" w:rsidRPr="00311360" w14:paraId="29F27DF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CBB713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lastRenderedPageBreak/>
              <w:t>[24]</w:t>
            </w:r>
          </w:p>
        </w:tc>
        <w:tc>
          <w:tcPr>
            <w:tcW w:w="3516" w:type="dxa"/>
            <w:tcBorders>
              <w:top w:val="nil"/>
              <w:left w:val="nil"/>
              <w:bottom w:val="nil"/>
              <w:right w:val="nil"/>
            </w:tcBorders>
            <w:noWrap/>
            <w:hideMark/>
          </w:tcPr>
          <w:p w14:paraId="3DF4379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D0523D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293E0C9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4C74AF07"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240</w:t>
            </w:r>
          </w:p>
        </w:tc>
        <w:tc>
          <w:tcPr>
            <w:tcW w:w="1119" w:type="dxa"/>
            <w:tcBorders>
              <w:top w:val="nil"/>
              <w:left w:val="nil"/>
              <w:bottom w:val="nil"/>
              <w:right w:val="nil"/>
            </w:tcBorders>
            <w:noWrap/>
            <w:hideMark/>
          </w:tcPr>
          <w:p w14:paraId="336B7AA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D4D541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Fatigue (child report)</w:t>
            </w:r>
          </w:p>
        </w:tc>
        <w:tc>
          <w:tcPr>
            <w:tcW w:w="1667" w:type="dxa"/>
            <w:tcBorders>
              <w:top w:val="nil"/>
              <w:left w:val="nil"/>
              <w:bottom w:val="nil"/>
              <w:right w:val="nil"/>
            </w:tcBorders>
            <w:noWrap/>
            <w:hideMark/>
          </w:tcPr>
          <w:p w14:paraId="5A9F3C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61.1 (19.8)</w:t>
            </w:r>
          </w:p>
        </w:tc>
      </w:tr>
      <w:tr w:rsidR="00601A3C" w:rsidRPr="00311360" w14:paraId="315CF447"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6D722FA"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1665BE2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83C457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B40DC2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224A0D9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240</w:t>
            </w:r>
          </w:p>
        </w:tc>
        <w:tc>
          <w:tcPr>
            <w:tcW w:w="1119" w:type="dxa"/>
            <w:tcBorders>
              <w:top w:val="nil"/>
              <w:left w:val="nil"/>
              <w:bottom w:val="nil"/>
              <w:right w:val="nil"/>
            </w:tcBorders>
            <w:noWrap/>
            <w:hideMark/>
          </w:tcPr>
          <w:p w14:paraId="0DF95D9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289032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 (child report)</w:t>
            </w:r>
          </w:p>
        </w:tc>
        <w:tc>
          <w:tcPr>
            <w:tcW w:w="1667" w:type="dxa"/>
            <w:tcBorders>
              <w:top w:val="nil"/>
              <w:left w:val="nil"/>
              <w:bottom w:val="nil"/>
              <w:right w:val="nil"/>
            </w:tcBorders>
            <w:noWrap/>
            <w:hideMark/>
          </w:tcPr>
          <w:p w14:paraId="4D4A2AE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65.4 (22.7)</w:t>
            </w:r>
          </w:p>
        </w:tc>
      </w:tr>
      <w:tr w:rsidR="00601A3C" w:rsidRPr="00311360" w14:paraId="33B6B68A"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614142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5B55ACC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00D31AC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3DB60F4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0C74838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240</w:t>
            </w:r>
          </w:p>
        </w:tc>
        <w:tc>
          <w:tcPr>
            <w:tcW w:w="1119" w:type="dxa"/>
            <w:tcBorders>
              <w:top w:val="nil"/>
              <w:left w:val="nil"/>
              <w:bottom w:val="nil"/>
              <w:right w:val="nil"/>
            </w:tcBorders>
            <w:noWrap/>
            <w:hideMark/>
          </w:tcPr>
          <w:p w14:paraId="6CE7104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768A17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Sleep/Rest Fatigue (child report)</w:t>
            </w:r>
          </w:p>
        </w:tc>
        <w:tc>
          <w:tcPr>
            <w:tcW w:w="1667" w:type="dxa"/>
            <w:tcBorders>
              <w:top w:val="nil"/>
              <w:left w:val="nil"/>
              <w:bottom w:val="nil"/>
              <w:right w:val="nil"/>
            </w:tcBorders>
            <w:noWrap/>
            <w:hideMark/>
          </w:tcPr>
          <w:p w14:paraId="0407A0F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58.2 (23.3)</w:t>
            </w:r>
          </w:p>
        </w:tc>
      </w:tr>
      <w:tr w:rsidR="00601A3C" w:rsidRPr="00311360" w14:paraId="43094D6D"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385965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36E44E2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6F973F3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861871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708829E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240</w:t>
            </w:r>
          </w:p>
        </w:tc>
        <w:tc>
          <w:tcPr>
            <w:tcW w:w="1119" w:type="dxa"/>
            <w:tcBorders>
              <w:top w:val="nil"/>
              <w:left w:val="nil"/>
              <w:bottom w:val="nil"/>
              <w:right w:val="nil"/>
            </w:tcBorders>
            <w:noWrap/>
            <w:hideMark/>
          </w:tcPr>
          <w:p w14:paraId="32BDB8F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36D175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Cognitive Fatigue (child report)</w:t>
            </w:r>
          </w:p>
        </w:tc>
        <w:tc>
          <w:tcPr>
            <w:tcW w:w="1667" w:type="dxa"/>
            <w:tcBorders>
              <w:top w:val="nil"/>
              <w:left w:val="nil"/>
              <w:bottom w:val="nil"/>
              <w:right w:val="nil"/>
            </w:tcBorders>
            <w:noWrap/>
            <w:hideMark/>
          </w:tcPr>
          <w:p w14:paraId="7B2484D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59.8 (24.4)</w:t>
            </w:r>
          </w:p>
        </w:tc>
      </w:tr>
      <w:tr w:rsidR="00601A3C" w:rsidRPr="00311360" w14:paraId="176BAF0E"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6EC2B4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3D455D7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291EB4A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1A056D7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5D465A2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104</w:t>
            </w:r>
          </w:p>
        </w:tc>
        <w:tc>
          <w:tcPr>
            <w:tcW w:w="1119" w:type="dxa"/>
            <w:tcBorders>
              <w:top w:val="nil"/>
              <w:left w:val="nil"/>
              <w:bottom w:val="nil"/>
              <w:right w:val="nil"/>
            </w:tcBorders>
            <w:noWrap/>
            <w:hideMark/>
          </w:tcPr>
          <w:p w14:paraId="6EFD932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1102810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Severe SCD - Total Fatigue (child report)</w:t>
            </w:r>
          </w:p>
        </w:tc>
        <w:tc>
          <w:tcPr>
            <w:tcW w:w="1667" w:type="dxa"/>
            <w:tcBorders>
              <w:top w:val="nil"/>
              <w:left w:val="nil"/>
              <w:bottom w:val="nil"/>
              <w:right w:val="nil"/>
            </w:tcBorders>
            <w:noWrap/>
            <w:hideMark/>
          </w:tcPr>
          <w:p w14:paraId="281DB9B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59.8 (21.4)</w:t>
            </w:r>
          </w:p>
        </w:tc>
      </w:tr>
      <w:tr w:rsidR="00601A3C" w:rsidRPr="00311360" w14:paraId="29978019"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9275752"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154DB73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617A64F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2F80231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61CFB8A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104</w:t>
            </w:r>
          </w:p>
        </w:tc>
        <w:tc>
          <w:tcPr>
            <w:tcW w:w="1119" w:type="dxa"/>
            <w:tcBorders>
              <w:top w:val="nil"/>
              <w:left w:val="nil"/>
              <w:bottom w:val="nil"/>
              <w:right w:val="nil"/>
            </w:tcBorders>
            <w:noWrap/>
            <w:hideMark/>
          </w:tcPr>
          <w:p w14:paraId="78EC6D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135CC5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Severe SCD - General Fatigue (child report)</w:t>
            </w:r>
          </w:p>
        </w:tc>
        <w:tc>
          <w:tcPr>
            <w:tcW w:w="1667" w:type="dxa"/>
            <w:tcBorders>
              <w:top w:val="nil"/>
              <w:left w:val="nil"/>
              <w:bottom w:val="nil"/>
              <w:right w:val="nil"/>
            </w:tcBorders>
            <w:noWrap/>
            <w:hideMark/>
          </w:tcPr>
          <w:p w14:paraId="27EC26C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63.4 (24.9)</w:t>
            </w:r>
          </w:p>
        </w:tc>
      </w:tr>
      <w:tr w:rsidR="00601A3C" w:rsidRPr="00311360" w14:paraId="04EFC8D6"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41A0B9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663B3E6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09D6B9A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0D9C541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4153DBB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104</w:t>
            </w:r>
          </w:p>
        </w:tc>
        <w:tc>
          <w:tcPr>
            <w:tcW w:w="1119" w:type="dxa"/>
            <w:tcBorders>
              <w:top w:val="nil"/>
              <w:left w:val="nil"/>
              <w:bottom w:val="nil"/>
              <w:right w:val="nil"/>
            </w:tcBorders>
            <w:noWrap/>
            <w:hideMark/>
          </w:tcPr>
          <w:p w14:paraId="491FD22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64CD9BC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Severe SCD - Sleep/Rest Fatigue (child report)</w:t>
            </w:r>
          </w:p>
        </w:tc>
        <w:tc>
          <w:tcPr>
            <w:tcW w:w="1667" w:type="dxa"/>
            <w:tcBorders>
              <w:top w:val="nil"/>
              <w:left w:val="nil"/>
              <w:bottom w:val="nil"/>
              <w:right w:val="nil"/>
            </w:tcBorders>
            <w:noWrap/>
            <w:hideMark/>
          </w:tcPr>
          <w:p w14:paraId="3EDED07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58.3 (22.3)</w:t>
            </w:r>
          </w:p>
        </w:tc>
      </w:tr>
      <w:tr w:rsidR="00601A3C" w:rsidRPr="00311360" w14:paraId="34602A6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DF87349"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3F6BA48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1F94271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1AB5DF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76419031"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104</w:t>
            </w:r>
          </w:p>
        </w:tc>
        <w:tc>
          <w:tcPr>
            <w:tcW w:w="1119" w:type="dxa"/>
            <w:tcBorders>
              <w:top w:val="nil"/>
              <w:left w:val="nil"/>
              <w:bottom w:val="nil"/>
              <w:right w:val="nil"/>
            </w:tcBorders>
            <w:noWrap/>
            <w:hideMark/>
          </w:tcPr>
          <w:p w14:paraId="4C45AD7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81CD69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Severe SCD - Cognitive Fatigue (child report)</w:t>
            </w:r>
          </w:p>
        </w:tc>
        <w:tc>
          <w:tcPr>
            <w:tcW w:w="1667" w:type="dxa"/>
            <w:tcBorders>
              <w:top w:val="nil"/>
              <w:left w:val="nil"/>
              <w:bottom w:val="nil"/>
              <w:right w:val="nil"/>
            </w:tcBorders>
            <w:noWrap/>
            <w:hideMark/>
          </w:tcPr>
          <w:p w14:paraId="756164A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57.9 (25.4)</w:t>
            </w:r>
          </w:p>
        </w:tc>
      </w:tr>
      <w:tr w:rsidR="00601A3C" w:rsidRPr="00311360" w14:paraId="2D1E7E4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8484886"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38132DF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2D77582"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3205" w:type="dxa"/>
            <w:tcBorders>
              <w:top w:val="nil"/>
              <w:left w:val="nil"/>
              <w:bottom w:val="nil"/>
              <w:right w:val="nil"/>
            </w:tcBorders>
            <w:noWrap/>
            <w:hideMark/>
          </w:tcPr>
          <w:p w14:paraId="2EC3E41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2C11A3A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136</w:t>
            </w:r>
          </w:p>
        </w:tc>
        <w:tc>
          <w:tcPr>
            <w:tcW w:w="1119" w:type="dxa"/>
            <w:tcBorders>
              <w:top w:val="nil"/>
              <w:left w:val="nil"/>
              <w:bottom w:val="nil"/>
              <w:right w:val="nil"/>
            </w:tcBorders>
            <w:noWrap/>
            <w:hideMark/>
          </w:tcPr>
          <w:p w14:paraId="3BC086C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63FF47D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Mild SCD - Total Fatigue (child report)</w:t>
            </w:r>
          </w:p>
        </w:tc>
        <w:tc>
          <w:tcPr>
            <w:tcW w:w="1667" w:type="dxa"/>
            <w:tcBorders>
              <w:top w:val="nil"/>
              <w:left w:val="nil"/>
              <w:bottom w:val="nil"/>
              <w:right w:val="nil"/>
            </w:tcBorders>
            <w:noWrap/>
            <w:hideMark/>
          </w:tcPr>
          <w:p w14:paraId="53743B9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62.1 (18.5)</w:t>
            </w:r>
          </w:p>
        </w:tc>
      </w:tr>
      <w:tr w:rsidR="00601A3C" w:rsidRPr="00311360" w14:paraId="25E6CA78"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05DE1CCB"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35034C6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5A97994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04E14FE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52C23EF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136</w:t>
            </w:r>
          </w:p>
        </w:tc>
        <w:tc>
          <w:tcPr>
            <w:tcW w:w="1119" w:type="dxa"/>
            <w:tcBorders>
              <w:top w:val="nil"/>
              <w:left w:val="nil"/>
              <w:bottom w:val="nil"/>
              <w:right w:val="nil"/>
            </w:tcBorders>
            <w:noWrap/>
            <w:hideMark/>
          </w:tcPr>
          <w:p w14:paraId="00F61D2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7CC8A34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Mild SCD - General Fatigue (child report)</w:t>
            </w:r>
          </w:p>
        </w:tc>
        <w:tc>
          <w:tcPr>
            <w:tcW w:w="1667" w:type="dxa"/>
            <w:tcBorders>
              <w:top w:val="nil"/>
              <w:left w:val="nil"/>
              <w:bottom w:val="nil"/>
              <w:right w:val="nil"/>
            </w:tcBorders>
            <w:noWrap/>
            <w:hideMark/>
          </w:tcPr>
          <w:p w14:paraId="382CB34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66.9 (21.0)</w:t>
            </w:r>
          </w:p>
        </w:tc>
      </w:tr>
      <w:tr w:rsidR="00601A3C" w:rsidRPr="00311360" w14:paraId="5917B2DC"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21F213FE"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5EF5CC2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16A65FB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07B3D8D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19934BC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136</w:t>
            </w:r>
          </w:p>
        </w:tc>
        <w:tc>
          <w:tcPr>
            <w:tcW w:w="1119" w:type="dxa"/>
            <w:tcBorders>
              <w:top w:val="nil"/>
              <w:left w:val="nil"/>
              <w:bottom w:val="nil"/>
              <w:right w:val="nil"/>
            </w:tcBorders>
            <w:noWrap/>
            <w:hideMark/>
          </w:tcPr>
          <w:p w14:paraId="42CF2C0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20D8990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Mild SCD - Sleep/Rest Fatigue (child report)</w:t>
            </w:r>
          </w:p>
        </w:tc>
        <w:tc>
          <w:tcPr>
            <w:tcW w:w="1667" w:type="dxa"/>
            <w:tcBorders>
              <w:top w:val="nil"/>
              <w:left w:val="nil"/>
              <w:bottom w:val="nil"/>
              <w:right w:val="nil"/>
            </w:tcBorders>
            <w:noWrap/>
            <w:hideMark/>
          </w:tcPr>
          <w:p w14:paraId="307379E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58.1 (24.1)</w:t>
            </w:r>
          </w:p>
        </w:tc>
      </w:tr>
      <w:tr w:rsidR="00601A3C" w:rsidRPr="00311360" w14:paraId="2790868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D358101"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[24]</w:t>
            </w:r>
          </w:p>
        </w:tc>
        <w:tc>
          <w:tcPr>
            <w:tcW w:w="3516" w:type="dxa"/>
            <w:tcBorders>
              <w:top w:val="nil"/>
              <w:left w:val="nil"/>
              <w:bottom w:val="nil"/>
              <w:right w:val="nil"/>
            </w:tcBorders>
            <w:noWrap/>
            <w:hideMark/>
          </w:tcPr>
          <w:p w14:paraId="08A2F07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6DEFA453"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D7FEC9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Higher scores indicating better HRQOL (lower fatigue symptoms)</w:t>
            </w:r>
          </w:p>
        </w:tc>
        <w:tc>
          <w:tcPr>
            <w:tcW w:w="851" w:type="dxa"/>
            <w:tcBorders>
              <w:top w:val="nil"/>
              <w:left w:val="nil"/>
              <w:bottom w:val="nil"/>
              <w:right w:val="nil"/>
            </w:tcBorders>
            <w:noWrap/>
            <w:hideMark/>
          </w:tcPr>
          <w:p w14:paraId="4FA4B1E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136</w:t>
            </w:r>
          </w:p>
        </w:tc>
        <w:tc>
          <w:tcPr>
            <w:tcW w:w="1119" w:type="dxa"/>
            <w:tcBorders>
              <w:top w:val="nil"/>
              <w:left w:val="nil"/>
              <w:bottom w:val="nil"/>
              <w:right w:val="nil"/>
            </w:tcBorders>
            <w:noWrap/>
            <w:hideMark/>
          </w:tcPr>
          <w:p w14:paraId="7C48C7B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0F22ECE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Mild SCD - Cognitive Fatigue (child report)</w:t>
            </w:r>
          </w:p>
        </w:tc>
        <w:tc>
          <w:tcPr>
            <w:tcW w:w="1667" w:type="dxa"/>
            <w:tcBorders>
              <w:top w:val="nil"/>
              <w:left w:val="nil"/>
              <w:bottom w:val="nil"/>
              <w:right w:val="nil"/>
            </w:tcBorders>
            <w:noWrap/>
            <w:hideMark/>
          </w:tcPr>
          <w:p w14:paraId="49E66A8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61.3 (23.6)</w:t>
            </w:r>
          </w:p>
        </w:tc>
      </w:tr>
      <w:tr w:rsidR="00601A3C" w:rsidRPr="00311360" w14:paraId="4273FBF5"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6E8563DF"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[25]</w:t>
            </w:r>
          </w:p>
        </w:tc>
        <w:tc>
          <w:tcPr>
            <w:tcW w:w="3516" w:type="dxa"/>
            <w:tcBorders>
              <w:top w:val="nil"/>
              <w:left w:val="nil"/>
              <w:bottom w:val="nil"/>
              <w:right w:val="nil"/>
            </w:tcBorders>
            <w:noWrap/>
            <w:hideMark/>
          </w:tcPr>
          <w:p w14:paraId="0E554DC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7994ED1B"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615918A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32136B40"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1119" w:type="dxa"/>
            <w:tcBorders>
              <w:top w:val="nil"/>
              <w:left w:val="nil"/>
              <w:bottom w:val="nil"/>
              <w:right w:val="nil"/>
            </w:tcBorders>
            <w:noWrap/>
            <w:hideMark/>
          </w:tcPr>
          <w:p w14:paraId="2E06530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3AB6EF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 (participant report)</w:t>
            </w:r>
          </w:p>
        </w:tc>
        <w:tc>
          <w:tcPr>
            <w:tcW w:w="1667" w:type="dxa"/>
            <w:tcBorders>
              <w:top w:val="nil"/>
              <w:left w:val="nil"/>
              <w:bottom w:val="nil"/>
              <w:right w:val="nil"/>
            </w:tcBorders>
            <w:noWrap/>
            <w:hideMark/>
          </w:tcPr>
          <w:p w14:paraId="22CD8BAC"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61.0 (19.0)</w:t>
            </w:r>
          </w:p>
        </w:tc>
      </w:tr>
      <w:tr w:rsidR="00601A3C" w:rsidRPr="00311360" w14:paraId="1F9C92C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7695C1DD"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[25]</w:t>
            </w:r>
          </w:p>
        </w:tc>
        <w:tc>
          <w:tcPr>
            <w:tcW w:w="3516" w:type="dxa"/>
            <w:tcBorders>
              <w:top w:val="nil"/>
              <w:left w:val="nil"/>
              <w:bottom w:val="nil"/>
              <w:right w:val="nil"/>
            </w:tcBorders>
            <w:noWrap/>
            <w:hideMark/>
          </w:tcPr>
          <w:p w14:paraId="6A3B2FA6"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7B9FD096"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3D12102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7902F6E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1119" w:type="dxa"/>
            <w:tcBorders>
              <w:top w:val="nil"/>
              <w:left w:val="nil"/>
              <w:bottom w:val="nil"/>
              <w:right w:val="nil"/>
            </w:tcBorders>
            <w:noWrap/>
            <w:hideMark/>
          </w:tcPr>
          <w:p w14:paraId="01C68EA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395B600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Sleep/Rest Fatigue (participant report)</w:t>
            </w:r>
          </w:p>
        </w:tc>
        <w:tc>
          <w:tcPr>
            <w:tcW w:w="1667" w:type="dxa"/>
            <w:tcBorders>
              <w:top w:val="nil"/>
              <w:left w:val="nil"/>
              <w:bottom w:val="nil"/>
              <w:right w:val="nil"/>
            </w:tcBorders>
            <w:noWrap/>
            <w:hideMark/>
          </w:tcPr>
          <w:p w14:paraId="017FD1B4"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52.2 (22.7)</w:t>
            </w:r>
          </w:p>
        </w:tc>
      </w:tr>
      <w:tr w:rsidR="00601A3C" w:rsidRPr="00311360" w14:paraId="3FC63488"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54B6979B"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[25]</w:t>
            </w:r>
          </w:p>
        </w:tc>
        <w:tc>
          <w:tcPr>
            <w:tcW w:w="3516" w:type="dxa"/>
            <w:tcBorders>
              <w:top w:val="nil"/>
              <w:left w:val="nil"/>
              <w:bottom w:val="nil"/>
              <w:right w:val="nil"/>
            </w:tcBorders>
            <w:noWrap/>
            <w:hideMark/>
          </w:tcPr>
          <w:p w14:paraId="7BE3021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4ED325C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w:t>
            </w:r>
          </w:p>
        </w:tc>
        <w:tc>
          <w:tcPr>
            <w:tcW w:w="3205" w:type="dxa"/>
            <w:tcBorders>
              <w:top w:val="nil"/>
              <w:left w:val="nil"/>
              <w:bottom w:val="nil"/>
              <w:right w:val="nil"/>
            </w:tcBorders>
            <w:noWrap/>
            <w:hideMark/>
          </w:tcPr>
          <w:p w14:paraId="155D612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3A657D9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18</w:t>
            </w:r>
          </w:p>
        </w:tc>
        <w:tc>
          <w:tcPr>
            <w:tcW w:w="1119" w:type="dxa"/>
            <w:tcBorders>
              <w:top w:val="nil"/>
              <w:left w:val="nil"/>
              <w:bottom w:val="nil"/>
              <w:right w:val="nil"/>
            </w:tcBorders>
            <w:noWrap/>
            <w:hideMark/>
          </w:tcPr>
          <w:p w14:paraId="62901B4A"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4D73D56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Cognitive Fatigue (participant report)</w:t>
            </w:r>
          </w:p>
        </w:tc>
        <w:tc>
          <w:tcPr>
            <w:tcW w:w="1667" w:type="dxa"/>
            <w:tcBorders>
              <w:top w:val="nil"/>
              <w:left w:val="nil"/>
              <w:bottom w:val="nil"/>
              <w:right w:val="nil"/>
            </w:tcBorders>
            <w:noWrap/>
            <w:hideMark/>
          </w:tcPr>
          <w:p w14:paraId="6FCDA88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52.9 (22.4)</w:t>
            </w:r>
          </w:p>
        </w:tc>
      </w:tr>
      <w:tr w:rsidR="00601A3C" w:rsidRPr="00311360" w14:paraId="17F46C40"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31DA0CF7"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[26]</w:t>
            </w:r>
          </w:p>
        </w:tc>
        <w:tc>
          <w:tcPr>
            <w:tcW w:w="3516" w:type="dxa"/>
            <w:tcBorders>
              <w:top w:val="nil"/>
              <w:left w:val="nil"/>
              <w:bottom w:val="nil"/>
              <w:right w:val="nil"/>
            </w:tcBorders>
            <w:noWrap/>
            <w:hideMark/>
          </w:tcPr>
          <w:p w14:paraId="1530251E"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730CAB04"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48099E5B"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Higher scores indicating lower fatigue</w:t>
            </w:r>
          </w:p>
        </w:tc>
        <w:tc>
          <w:tcPr>
            <w:tcW w:w="851" w:type="dxa"/>
            <w:tcBorders>
              <w:top w:val="nil"/>
              <w:left w:val="nil"/>
              <w:bottom w:val="nil"/>
              <w:right w:val="nil"/>
            </w:tcBorders>
            <w:noWrap/>
            <w:hideMark/>
          </w:tcPr>
          <w:p w14:paraId="340CE41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106</w:t>
            </w:r>
          </w:p>
        </w:tc>
        <w:tc>
          <w:tcPr>
            <w:tcW w:w="1119" w:type="dxa"/>
            <w:tcBorders>
              <w:top w:val="nil"/>
              <w:left w:val="nil"/>
              <w:bottom w:val="nil"/>
              <w:right w:val="nil"/>
            </w:tcBorders>
            <w:noWrap/>
            <w:hideMark/>
          </w:tcPr>
          <w:p w14:paraId="6D976128"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w:t>
            </w:r>
          </w:p>
        </w:tc>
        <w:tc>
          <w:tcPr>
            <w:tcW w:w="2467" w:type="dxa"/>
            <w:tcBorders>
              <w:top w:val="nil"/>
              <w:left w:val="nil"/>
              <w:bottom w:val="nil"/>
              <w:right w:val="nil"/>
            </w:tcBorders>
            <w:noWrap/>
            <w:hideMark/>
          </w:tcPr>
          <w:p w14:paraId="63771FB5"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Fatigue (self-report)</w:t>
            </w:r>
          </w:p>
        </w:tc>
        <w:tc>
          <w:tcPr>
            <w:tcW w:w="1667" w:type="dxa"/>
            <w:tcBorders>
              <w:top w:val="nil"/>
              <w:left w:val="nil"/>
              <w:bottom w:val="nil"/>
              <w:right w:val="nil"/>
            </w:tcBorders>
            <w:noWrap/>
            <w:hideMark/>
          </w:tcPr>
          <w:p w14:paraId="6C085D69"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64 (18.1)</w:t>
            </w:r>
          </w:p>
        </w:tc>
      </w:tr>
      <w:tr w:rsidR="00601A3C" w:rsidRPr="00311360" w14:paraId="31A2B5DF"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16E98455"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[27]</w:t>
            </w:r>
          </w:p>
        </w:tc>
        <w:tc>
          <w:tcPr>
            <w:tcW w:w="3516" w:type="dxa"/>
            <w:tcBorders>
              <w:top w:val="nil"/>
              <w:left w:val="nil"/>
              <w:bottom w:val="nil"/>
              <w:right w:val="nil"/>
            </w:tcBorders>
            <w:noWrap/>
            <w:hideMark/>
          </w:tcPr>
          <w:p w14:paraId="17866362"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199F6A6A"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13C226B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1A5536BF"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38</w:t>
            </w:r>
          </w:p>
        </w:tc>
        <w:tc>
          <w:tcPr>
            <w:tcW w:w="1119" w:type="dxa"/>
            <w:tcBorders>
              <w:top w:val="nil"/>
              <w:left w:val="nil"/>
              <w:bottom w:val="nil"/>
              <w:right w:val="nil"/>
            </w:tcBorders>
            <w:noWrap/>
            <w:hideMark/>
          </w:tcPr>
          <w:p w14:paraId="5221EA3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 for raw score*</w:t>
            </w:r>
          </w:p>
        </w:tc>
        <w:tc>
          <w:tcPr>
            <w:tcW w:w="2467" w:type="dxa"/>
            <w:tcBorders>
              <w:top w:val="nil"/>
              <w:left w:val="nil"/>
              <w:bottom w:val="nil"/>
              <w:right w:val="nil"/>
            </w:tcBorders>
            <w:noWrap/>
            <w:hideMark/>
          </w:tcPr>
          <w:p w14:paraId="7A224B7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Total Fatigue (child self-report)</w:t>
            </w:r>
          </w:p>
        </w:tc>
        <w:tc>
          <w:tcPr>
            <w:tcW w:w="1667" w:type="dxa"/>
            <w:tcBorders>
              <w:top w:val="nil"/>
              <w:left w:val="nil"/>
              <w:bottom w:val="nil"/>
              <w:right w:val="nil"/>
            </w:tcBorders>
            <w:noWrap/>
            <w:hideMark/>
          </w:tcPr>
          <w:p w14:paraId="10B6032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72 (9)</w:t>
            </w:r>
          </w:p>
        </w:tc>
      </w:tr>
      <w:tr w:rsidR="00601A3C" w:rsidRPr="00311360" w14:paraId="2849B8F2"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nil"/>
              <w:right w:val="nil"/>
            </w:tcBorders>
            <w:noWrap/>
            <w:hideMark/>
          </w:tcPr>
          <w:p w14:paraId="4A27FE48"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[27]</w:t>
            </w:r>
          </w:p>
        </w:tc>
        <w:tc>
          <w:tcPr>
            <w:tcW w:w="3516" w:type="dxa"/>
            <w:tcBorders>
              <w:top w:val="nil"/>
              <w:left w:val="nil"/>
              <w:bottom w:val="nil"/>
              <w:right w:val="nil"/>
            </w:tcBorders>
            <w:noWrap/>
            <w:hideMark/>
          </w:tcPr>
          <w:p w14:paraId="7B52FAE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nil"/>
              <w:right w:val="nil"/>
            </w:tcBorders>
            <w:noWrap/>
            <w:hideMark/>
          </w:tcPr>
          <w:p w14:paraId="39715015"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nil"/>
              <w:right w:val="nil"/>
            </w:tcBorders>
            <w:noWrap/>
            <w:hideMark/>
          </w:tcPr>
          <w:p w14:paraId="4B1A0461"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nil"/>
              <w:right w:val="nil"/>
            </w:tcBorders>
            <w:noWrap/>
            <w:hideMark/>
          </w:tcPr>
          <w:p w14:paraId="4026D368"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38</w:t>
            </w:r>
          </w:p>
        </w:tc>
        <w:tc>
          <w:tcPr>
            <w:tcW w:w="1119" w:type="dxa"/>
            <w:tcBorders>
              <w:top w:val="nil"/>
              <w:left w:val="nil"/>
              <w:bottom w:val="nil"/>
              <w:right w:val="nil"/>
            </w:tcBorders>
            <w:noWrap/>
            <w:hideMark/>
          </w:tcPr>
          <w:p w14:paraId="2C89124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 for raw score*</w:t>
            </w:r>
          </w:p>
        </w:tc>
        <w:tc>
          <w:tcPr>
            <w:tcW w:w="2467" w:type="dxa"/>
            <w:tcBorders>
              <w:top w:val="nil"/>
              <w:left w:val="nil"/>
              <w:bottom w:val="nil"/>
              <w:right w:val="nil"/>
            </w:tcBorders>
            <w:noWrap/>
            <w:hideMark/>
          </w:tcPr>
          <w:p w14:paraId="218EEAF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General Fatigue (child self-report)</w:t>
            </w:r>
          </w:p>
        </w:tc>
        <w:tc>
          <w:tcPr>
            <w:tcW w:w="1667" w:type="dxa"/>
            <w:tcBorders>
              <w:top w:val="nil"/>
              <w:left w:val="nil"/>
              <w:bottom w:val="nil"/>
              <w:right w:val="nil"/>
            </w:tcBorders>
            <w:noWrap/>
            <w:hideMark/>
          </w:tcPr>
          <w:p w14:paraId="02D7B50F"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76 (15)</w:t>
            </w:r>
          </w:p>
        </w:tc>
      </w:tr>
      <w:tr w:rsidR="00601A3C" w:rsidRPr="00311360" w14:paraId="7BD581E1" w14:textId="77777777" w:rsidTr="003F4F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1084" w:type="dxa"/>
            <w:tcBorders>
              <w:top w:val="nil"/>
              <w:left w:val="nil"/>
              <w:bottom w:val="single" w:sz="4" w:space="0" w:color="auto"/>
              <w:right w:val="nil"/>
            </w:tcBorders>
            <w:noWrap/>
            <w:hideMark/>
          </w:tcPr>
          <w:p w14:paraId="2F48F41C" w14:textId="77777777" w:rsidR="00601A3C" w:rsidRPr="00311360" w:rsidRDefault="00601A3C" w:rsidP="003F4F9E">
            <w:pPr>
              <w:ind w:firstLine="0"/>
              <w:jc w:val="left"/>
              <w:textAlignment w:val="auto"/>
              <w:rPr>
                <w:rFonts w:asciiTheme="minorHAnsi" w:eastAsia="Times New Roman" w:hAnsiTheme="minorHAnsi"/>
                <w:b/>
                <w:bCs/>
                <w:color w:val="000000"/>
                <w:sz w:val="18"/>
                <w:szCs w:val="18"/>
              </w:rPr>
            </w:pPr>
            <w:r w:rsidRPr="00311360">
              <w:rPr>
                <w:rFonts w:asciiTheme="minorHAnsi" w:eastAsia="Times New Roman" w:hAnsiTheme="minorHAnsi"/>
                <w:b/>
                <w:bCs/>
                <w:color w:val="000000"/>
                <w:sz w:val="18"/>
                <w:szCs w:val="18"/>
              </w:rPr>
              <w:t>[27]</w:t>
            </w:r>
          </w:p>
        </w:tc>
        <w:tc>
          <w:tcPr>
            <w:tcW w:w="3516" w:type="dxa"/>
            <w:tcBorders>
              <w:top w:val="nil"/>
              <w:left w:val="nil"/>
              <w:bottom w:val="single" w:sz="4" w:space="0" w:color="auto"/>
              <w:right w:val="nil"/>
            </w:tcBorders>
            <w:noWrap/>
            <w:hideMark/>
          </w:tcPr>
          <w:p w14:paraId="1CC998A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PedsQL™ MFS</w:t>
            </w:r>
          </w:p>
        </w:tc>
        <w:tc>
          <w:tcPr>
            <w:tcW w:w="1225" w:type="dxa"/>
            <w:tcBorders>
              <w:top w:val="nil"/>
              <w:left w:val="nil"/>
              <w:bottom w:val="single" w:sz="4" w:space="0" w:color="auto"/>
              <w:right w:val="nil"/>
            </w:tcBorders>
            <w:noWrap/>
            <w:hideMark/>
          </w:tcPr>
          <w:p w14:paraId="7CF15D1C"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w:t>
            </w:r>
          </w:p>
        </w:tc>
        <w:tc>
          <w:tcPr>
            <w:tcW w:w="3205" w:type="dxa"/>
            <w:tcBorders>
              <w:top w:val="nil"/>
              <w:left w:val="nil"/>
              <w:bottom w:val="single" w:sz="4" w:space="0" w:color="auto"/>
              <w:right w:val="nil"/>
            </w:tcBorders>
            <w:noWrap/>
            <w:hideMark/>
          </w:tcPr>
          <w:p w14:paraId="528DE857"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Potential range (min-max): 0-100, Lower scores indicating more fatigue</w:t>
            </w:r>
          </w:p>
        </w:tc>
        <w:tc>
          <w:tcPr>
            <w:tcW w:w="851" w:type="dxa"/>
            <w:tcBorders>
              <w:top w:val="nil"/>
              <w:left w:val="nil"/>
              <w:bottom w:val="single" w:sz="4" w:space="0" w:color="auto"/>
              <w:right w:val="nil"/>
            </w:tcBorders>
            <w:noWrap/>
            <w:hideMark/>
          </w:tcPr>
          <w:p w14:paraId="29174479" w14:textId="77777777" w:rsidR="00601A3C" w:rsidRPr="00311360" w:rsidRDefault="00601A3C" w:rsidP="003F4F9E">
            <w:pPr>
              <w:ind w:firstLine="0"/>
              <w:jc w:val="center"/>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38</w:t>
            </w:r>
          </w:p>
        </w:tc>
        <w:tc>
          <w:tcPr>
            <w:tcW w:w="1119" w:type="dxa"/>
            <w:tcBorders>
              <w:top w:val="nil"/>
              <w:left w:val="nil"/>
              <w:bottom w:val="single" w:sz="4" w:space="0" w:color="auto"/>
              <w:right w:val="nil"/>
            </w:tcBorders>
            <w:noWrap/>
            <w:hideMark/>
          </w:tcPr>
          <w:p w14:paraId="7CAA9AE3"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Mean (SD) for raw score*</w:t>
            </w:r>
          </w:p>
        </w:tc>
        <w:tc>
          <w:tcPr>
            <w:tcW w:w="2467" w:type="dxa"/>
            <w:tcBorders>
              <w:top w:val="nil"/>
              <w:left w:val="nil"/>
              <w:bottom w:val="single" w:sz="4" w:space="0" w:color="auto"/>
              <w:right w:val="nil"/>
            </w:tcBorders>
            <w:noWrap/>
            <w:hideMark/>
          </w:tcPr>
          <w:p w14:paraId="3804FADD"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Cognitive Fatigue (child self-report)</w:t>
            </w:r>
          </w:p>
        </w:tc>
        <w:tc>
          <w:tcPr>
            <w:tcW w:w="1667" w:type="dxa"/>
            <w:tcBorders>
              <w:top w:val="nil"/>
              <w:left w:val="nil"/>
              <w:bottom w:val="single" w:sz="4" w:space="0" w:color="auto"/>
              <w:right w:val="nil"/>
            </w:tcBorders>
            <w:noWrap/>
            <w:hideMark/>
          </w:tcPr>
          <w:p w14:paraId="3218C8A0" w14:textId="77777777" w:rsidR="00601A3C" w:rsidRPr="00311360" w:rsidRDefault="00601A3C" w:rsidP="003F4F9E">
            <w:pPr>
              <w:ind w:firstLine="0"/>
              <w:jc w:val="left"/>
              <w:textAlignment w:val="auto"/>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t>70 (15)</w:t>
            </w:r>
          </w:p>
        </w:tc>
      </w:tr>
    </w:tbl>
    <w:p w14:paraId="284DFC3D" w14:textId="6071317F" w:rsidR="00601A3C" w:rsidRPr="00601A3C" w:rsidRDefault="00601A3C" w:rsidP="00601A3C">
      <w:pPr>
        <w:ind w:firstLine="0"/>
        <w:rPr>
          <w:rFonts w:asciiTheme="minorHAnsi" w:eastAsia="Times New Roman" w:hAnsiTheme="minorHAnsi"/>
          <w:color w:val="000000"/>
          <w:sz w:val="18"/>
          <w:szCs w:val="18"/>
        </w:rPr>
      </w:pPr>
      <w:r w:rsidRPr="00311360">
        <w:rPr>
          <w:rFonts w:asciiTheme="minorHAnsi" w:eastAsia="Times New Roman" w:hAnsiTheme="minorHAnsi"/>
          <w:color w:val="000000"/>
          <w:sz w:val="18"/>
          <w:szCs w:val="18"/>
        </w:rPr>
        <w:lastRenderedPageBreak/>
        <w:t>*See appendix for methodological issues</w:t>
      </w:r>
    </w:p>
    <w:sectPr w:rsidR="00601A3C" w:rsidRPr="00601A3C" w:rsidSect="00C72D10">
      <w:headerReference w:type="default" r:id="rId8"/>
      <w:footerReference w:type="default" r:id="rId9"/>
      <w:pgSz w:w="16838" w:h="11906" w:orient="landscape"/>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7A607" w14:textId="77777777" w:rsidR="000D69AC" w:rsidRPr="00311360" w:rsidRDefault="000D69AC" w:rsidP="008C5B27">
      <w:pPr>
        <w:spacing w:after="0" w:line="240" w:lineRule="auto"/>
      </w:pPr>
      <w:r w:rsidRPr="00311360">
        <w:separator/>
      </w:r>
    </w:p>
  </w:endnote>
  <w:endnote w:type="continuationSeparator" w:id="0">
    <w:p w14:paraId="226F188C" w14:textId="77777777" w:rsidR="000D69AC" w:rsidRPr="00311360" w:rsidRDefault="000D69AC" w:rsidP="008C5B27">
      <w:pPr>
        <w:spacing w:after="0" w:line="240" w:lineRule="auto"/>
      </w:pPr>
      <w:r w:rsidRPr="003113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yriadPro-Bold">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0E20A" w14:textId="77777777" w:rsidR="00601A3C" w:rsidRDefault="00601A3C" w:rsidP="00601A3C">
    <w:pPr>
      <w:pStyle w:val="Footer"/>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386CA" w14:textId="77777777" w:rsidR="000D69AC" w:rsidRPr="00311360" w:rsidRDefault="000D69AC" w:rsidP="008C5B27">
      <w:pPr>
        <w:spacing w:after="0" w:line="240" w:lineRule="auto"/>
      </w:pPr>
      <w:r w:rsidRPr="00311360">
        <w:separator/>
      </w:r>
    </w:p>
  </w:footnote>
  <w:footnote w:type="continuationSeparator" w:id="0">
    <w:p w14:paraId="39E22834" w14:textId="77777777" w:rsidR="000D69AC" w:rsidRPr="00311360" w:rsidRDefault="000D69AC" w:rsidP="008C5B27">
      <w:pPr>
        <w:spacing w:after="0" w:line="240" w:lineRule="auto"/>
      </w:pPr>
      <w:r w:rsidRPr="0031136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Content>
      <w:p w14:paraId="1D507158" w14:textId="131E64E8" w:rsidR="008C5B27" w:rsidRPr="00311360" w:rsidRDefault="00350F46">
        <w:pPr>
          <w:pStyle w:val="Header"/>
          <w:jc w:val="right"/>
        </w:pPr>
        <w:r w:rsidRPr="00311360">
          <w:t xml:space="preserve">FATIGUE IN SCD – </w:t>
        </w:r>
        <w:r w:rsidR="008C5B27" w:rsidRPr="00311360">
          <w:t xml:space="preserve">Page </w:t>
        </w:r>
        <w:r w:rsidR="008C5B27" w:rsidRPr="00311360">
          <w:rPr>
            <w:b/>
            <w:bCs/>
            <w:sz w:val="24"/>
            <w:szCs w:val="24"/>
          </w:rPr>
          <w:fldChar w:fldCharType="begin"/>
        </w:r>
        <w:r w:rsidR="008C5B27" w:rsidRPr="00311360">
          <w:rPr>
            <w:b/>
            <w:bCs/>
          </w:rPr>
          <w:instrText>PAGE</w:instrText>
        </w:r>
        <w:r w:rsidR="008C5B27" w:rsidRPr="00311360">
          <w:rPr>
            <w:b/>
            <w:bCs/>
            <w:sz w:val="24"/>
            <w:szCs w:val="24"/>
          </w:rPr>
          <w:fldChar w:fldCharType="separate"/>
        </w:r>
        <w:r w:rsidR="008C5B27" w:rsidRPr="00311360">
          <w:rPr>
            <w:b/>
            <w:bCs/>
          </w:rPr>
          <w:t>2</w:t>
        </w:r>
        <w:r w:rsidR="008C5B27" w:rsidRPr="00311360">
          <w:rPr>
            <w:b/>
            <w:bCs/>
            <w:sz w:val="24"/>
            <w:szCs w:val="24"/>
          </w:rPr>
          <w:fldChar w:fldCharType="end"/>
        </w:r>
        <w:r w:rsidR="008C5B27" w:rsidRPr="00311360">
          <w:t xml:space="preserve"> </w:t>
        </w:r>
        <w:r w:rsidR="002D7395" w:rsidRPr="00311360">
          <w:t>of</w:t>
        </w:r>
        <w:r w:rsidR="008C5B27" w:rsidRPr="00311360">
          <w:t xml:space="preserve"> </w:t>
        </w:r>
        <w:r w:rsidR="008C5B27" w:rsidRPr="00311360">
          <w:rPr>
            <w:b/>
            <w:bCs/>
            <w:sz w:val="24"/>
            <w:szCs w:val="24"/>
          </w:rPr>
          <w:fldChar w:fldCharType="begin"/>
        </w:r>
        <w:r w:rsidR="008C5B27" w:rsidRPr="00311360">
          <w:rPr>
            <w:b/>
            <w:bCs/>
          </w:rPr>
          <w:instrText>NUMPAGES</w:instrText>
        </w:r>
        <w:r w:rsidR="008C5B27" w:rsidRPr="00311360">
          <w:rPr>
            <w:b/>
            <w:bCs/>
            <w:sz w:val="24"/>
            <w:szCs w:val="24"/>
          </w:rPr>
          <w:fldChar w:fldCharType="separate"/>
        </w:r>
        <w:r w:rsidR="008C5B27" w:rsidRPr="00311360">
          <w:rPr>
            <w:b/>
            <w:bCs/>
          </w:rPr>
          <w:t>2</w:t>
        </w:r>
        <w:r w:rsidR="008C5B27" w:rsidRPr="00311360">
          <w:rPr>
            <w:b/>
            <w:bCs/>
            <w:sz w:val="24"/>
            <w:szCs w:val="24"/>
          </w:rPr>
          <w:fldChar w:fldCharType="end"/>
        </w:r>
      </w:p>
    </w:sdtContent>
  </w:sdt>
  <w:p w14:paraId="0CC3F183" w14:textId="77777777" w:rsidR="008C5B27" w:rsidRPr="00311360" w:rsidRDefault="008C5B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605E4"/>
    <w:multiLevelType w:val="hybridMultilevel"/>
    <w:tmpl w:val="3A4A8256"/>
    <w:lvl w:ilvl="0" w:tplc="C2468C8C">
      <w:start w:val="1"/>
      <w:numFmt w:val="bullet"/>
      <w:lvlText w:val="•"/>
      <w:lvlJc w:val="left"/>
      <w:pPr>
        <w:tabs>
          <w:tab w:val="num" w:pos="643"/>
        </w:tabs>
        <w:ind w:left="643" w:hanging="360"/>
      </w:pPr>
      <w:rPr>
        <w:rFonts w:ascii="Arial" w:hAnsi="Arial" w:hint="default"/>
      </w:rPr>
    </w:lvl>
    <w:lvl w:ilvl="1" w:tplc="554C9BBC" w:tentative="1">
      <w:start w:val="1"/>
      <w:numFmt w:val="bullet"/>
      <w:lvlText w:val="•"/>
      <w:lvlJc w:val="left"/>
      <w:pPr>
        <w:tabs>
          <w:tab w:val="num" w:pos="1363"/>
        </w:tabs>
        <w:ind w:left="1363" w:hanging="360"/>
      </w:pPr>
      <w:rPr>
        <w:rFonts w:ascii="Arial" w:hAnsi="Arial" w:hint="default"/>
      </w:rPr>
    </w:lvl>
    <w:lvl w:ilvl="2" w:tplc="24CC27C0" w:tentative="1">
      <w:start w:val="1"/>
      <w:numFmt w:val="bullet"/>
      <w:lvlText w:val="•"/>
      <w:lvlJc w:val="left"/>
      <w:pPr>
        <w:tabs>
          <w:tab w:val="num" w:pos="2083"/>
        </w:tabs>
        <w:ind w:left="2083" w:hanging="360"/>
      </w:pPr>
      <w:rPr>
        <w:rFonts w:ascii="Arial" w:hAnsi="Arial" w:hint="default"/>
      </w:rPr>
    </w:lvl>
    <w:lvl w:ilvl="3" w:tplc="55C82F16" w:tentative="1">
      <w:start w:val="1"/>
      <w:numFmt w:val="bullet"/>
      <w:lvlText w:val="•"/>
      <w:lvlJc w:val="left"/>
      <w:pPr>
        <w:tabs>
          <w:tab w:val="num" w:pos="2803"/>
        </w:tabs>
        <w:ind w:left="2803" w:hanging="360"/>
      </w:pPr>
      <w:rPr>
        <w:rFonts w:ascii="Arial" w:hAnsi="Arial" w:hint="default"/>
      </w:rPr>
    </w:lvl>
    <w:lvl w:ilvl="4" w:tplc="E036F532" w:tentative="1">
      <w:start w:val="1"/>
      <w:numFmt w:val="bullet"/>
      <w:lvlText w:val="•"/>
      <w:lvlJc w:val="left"/>
      <w:pPr>
        <w:tabs>
          <w:tab w:val="num" w:pos="3523"/>
        </w:tabs>
        <w:ind w:left="3523" w:hanging="360"/>
      </w:pPr>
      <w:rPr>
        <w:rFonts w:ascii="Arial" w:hAnsi="Arial" w:hint="default"/>
      </w:rPr>
    </w:lvl>
    <w:lvl w:ilvl="5" w:tplc="23586A38" w:tentative="1">
      <w:start w:val="1"/>
      <w:numFmt w:val="bullet"/>
      <w:lvlText w:val="•"/>
      <w:lvlJc w:val="left"/>
      <w:pPr>
        <w:tabs>
          <w:tab w:val="num" w:pos="4243"/>
        </w:tabs>
        <w:ind w:left="4243" w:hanging="360"/>
      </w:pPr>
      <w:rPr>
        <w:rFonts w:ascii="Arial" w:hAnsi="Arial" w:hint="default"/>
      </w:rPr>
    </w:lvl>
    <w:lvl w:ilvl="6" w:tplc="711C9BFA" w:tentative="1">
      <w:start w:val="1"/>
      <w:numFmt w:val="bullet"/>
      <w:lvlText w:val="•"/>
      <w:lvlJc w:val="left"/>
      <w:pPr>
        <w:tabs>
          <w:tab w:val="num" w:pos="4963"/>
        </w:tabs>
        <w:ind w:left="4963" w:hanging="360"/>
      </w:pPr>
      <w:rPr>
        <w:rFonts w:ascii="Arial" w:hAnsi="Arial" w:hint="default"/>
      </w:rPr>
    </w:lvl>
    <w:lvl w:ilvl="7" w:tplc="35EAACBC" w:tentative="1">
      <w:start w:val="1"/>
      <w:numFmt w:val="bullet"/>
      <w:lvlText w:val="•"/>
      <w:lvlJc w:val="left"/>
      <w:pPr>
        <w:tabs>
          <w:tab w:val="num" w:pos="5683"/>
        </w:tabs>
        <w:ind w:left="5683" w:hanging="360"/>
      </w:pPr>
      <w:rPr>
        <w:rFonts w:ascii="Arial" w:hAnsi="Arial" w:hint="default"/>
      </w:rPr>
    </w:lvl>
    <w:lvl w:ilvl="8" w:tplc="32D6AB2C" w:tentative="1">
      <w:start w:val="1"/>
      <w:numFmt w:val="bullet"/>
      <w:lvlText w:val="•"/>
      <w:lvlJc w:val="left"/>
      <w:pPr>
        <w:tabs>
          <w:tab w:val="num" w:pos="6403"/>
        </w:tabs>
        <w:ind w:left="6403" w:hanging="360"/>
      </w:pPr>
      <w:rPr>
        <w:rFonts w:ascii="Arial" w:hAnsi="Arial" w:hint="default"/>
      </w:rPr>
    </w:lvl>
  </w:abstractNum>
  <w:abstractNum w:abstractNumId="1" w15:restartNumberingAfterBreak="0">
    <w:nsid w:val="07737288"/>
    <w:multiLevelType w:val="hybridMultilevel"/>
    <w:tmpl w:val="1FB8508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A43633B"/>
    <w:multiLevelType w:val="hybridMultilevel"/>
    <w:tmpl w:val="8DEC06FE"/>
    <w:lvl w:ilvl="0" w:tplc="360E038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EE56B3"/>
    <w:multiLevelType w:val="hybridMultilevel"/>
    <w:tmpl w:val="18B4EFCA"/>
    <w:lvl w:ilvl="0" w:tplc="E3EC8D2E">
      <w:numFmt w:val="bullet"/>
      <w:lvlText w:val="-"/>
      <w:lvlJc w:val="left"/>
      <w:pPr>
        <w:ind w:left="360" w:hanging="360"/>
      </w:pPr>
      <w:rPr>
        <w:rFonts w:ascii="Times New Roman" w:eastAsia="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0EE9415D"/>
    <w:multiLevelType w:val="hybridMultilevel"/>
    <w:tmpl w:val="44BEB174"/>
    <w:lvl w:ilvl="0" w:tplc="E1B8F89C">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6957BD"/>
    <w:multiLevelType w:val="hybridMultilevel"/>
    <w:tmpl w:val="92A8A0B4"/>
    <w:lvl w:ilvl="0" w:tplc="D4C2C7F2">
      <w:start w:val="1"/>
      <w:numFmt w:val="decimal"/>
      <w:lvlText w:val="[%1]"/>
      <w:lvlJc w:val="left"/>
      <w:pPr>
        <w:ind w:left="4329"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2A710C"/>
    <w:multiLevelType w:val="hybridMultilevel"/>
    <w:tmpl w:val="6EA2B69A"/>
    <w:lvl w:ilvl="0" w:tplc="E3EC8D2E">
      <w:numFmt w:val="bullet"/>
      <w:lvlText w:val="-"/>
      <w:lvlJc w:val="left"/>
      <w:pPr>
        <w:ind w:left="1440" w:hanging="360"/>
      </w:pPr>
      <w:rPr>
        <w:rFonts w:ascii="Times New Roman" w:eastAsia="Times New Roma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207C7DC0"/>
    <w:multiLevelType w:val="hybridMultilevel"/>
    <w:tmpl w:val="AD40F808"/>
    <w:lvl w:ilvl="0" w:tplc="CC52F328">
      <w:start w:val="1"/>
      <w:numFmt w:val="decimal"/>
      <w:lvlText w:val="%1)"/>
      <w:lvlJc w:val="left"/>
      <w:pPr>
        <w:tabs>
          <w:tab w:val="num" w:pos="720"/>
        </w:tabs>
        <w:ind w:left="720" w:hanging="360"/>
      </w:pPr>
      <w:rPr>
        <w:rFonts w:ascii="Times New Roman" w:eastAsiaTheme="minorHAnsi" w:hAnsi="Times New Roman" w:cs="Times New Roman" w:hint="default"/>
      </w:rPr>
    </w:lvl>
    <w:lvl w:ilvl="1" w:tplc="96281BE0" w:tentative="1">
      <w:start w:val="1"/>
      <w:numFmt w:val="bullet"/>
      <w:lvlText w:val="•"/>
      <w:lvlJc w:val="left"/>
      <w:pPr>
        <w:tabs>
          <w:tab w:val="num" w:pos="1440"/>
        </w:tabs>
        <w:ind w:left="1440" w:hanging="360"/>
      </w:pPr>
      <w:rPr>
        <w:rFonts w:ascii="Arial" w:hAnsi="Arial" w:hint="default"/>
      </w:rPr>
    </w:lvl>
    <w:lvl w:ilvl="2" w:tplc="B4A257FA" w:tentative="1">
      <w:start w:val="1"/>
      <w:numFmt w:val="bullet"/>
      <w:lvlText w:val="•"/>
      <w:lvlJc w:val="left"/>
      <w:pPr>
        <w:tabs>
          <w:tab w:val="num" w:pos="2160"/>
        </w:tabs>
        <w:ind w:left="2160" w:hanging="360"/>
      </w:pPr>
      <w:rPr>
        <w:rFonts w:ascii="Arial" w:hAnsi="Arial" w:hint="default"/>
      </w:rPr>
    </w:lvl>
    <w:lvl w:ilvl="3" w:tplc="7F08DF32" w:tentative="1">
      <w:start w:val="1"/>
      <w:numFmt w:val="bullet"/>
      <w:lvlText w:val="•"/>
      <w:lvlJc w:val="left"/>
      <w:pPr>
        <w:tabs>
          <w:tab w:val="num" w:pos="2880"/>
        </w:tabs>
        <w:ind w:left="2880" w:hanging="360"/>
      </w:pPr>
      <w:rPr>
        <w:rFonts w:ascii="Arial" w:hAnsi="Arial" w:hint="default"/>
      </w:rPr>
    </w:lvl>
    <w:lvl w:ilvl="4" w:tplc="262839E0" w:tentative="1">
      <w:start w:val="1"/>
      <w:numFmt w:val="bullet"/>
      <w:lvlText w:val="•"/>
      <w:lvlJc w:val="left"/>
      <w:pPr>
        <w:tabs>
          <w:tab w:val="num" w:pos="3600"/>
        </w:tabs>
        <w:ind w:left="3600" w:hanging="360"/>
      </w:pPr>
      <w:rPr>
        <w:rFonts w:ascii="Arial" w:hAnsi="Arial" w:hint="default"/>
      </w:rPr>
    </w:lvl>
    <w:lvl w:ilvl="5" w:tplc="D9ECDBBC" w:tentative="1">
      <w:start w:val="1"/>
      <w:numFmt w:val="bullet"/>
      <w:lvlText w:val="•"/>
      <w:lvlJc w:val="left"/>
      <w:pPr>
        <w:tabs>
          <w:tab w:val="num" w:pos="4320"/>
        </w:tabs>
        <w:ind w:left="4320" w:hanging="360"/>
      </w:pPr>
      <w:rPr>
        <w:rFonts w:ascii="Arial" w:hAnsi="Arial" w:hint="default"/>
      </w:rPr>
    </w:lvl>
    <w:lvl w:ilvl="6" w:tplc="663EDCFC" w:tentative="1">
      <w:start w:val="1"/>
      <w:numFmt w:val="bullet"/>
      <w:lvlText w:val="•"/>
      <w:lvlJc w:val="left"/>
      <w:pPr>
        <w:tabs>
          <w:tab w:val="num" w:pos="5040"/>
        </w:tabs>
        <w:ind w:left="5040" w:hanging="360"/>
      </w:pPr>
      <w:rPr>
        <w:rFonts w:ascii="Arial" w:hAnsi="Arial" w:hint="default"/>
      </w:rPr>
    </w:lvl>
    <w:lvl w:ilvl="7" w:tplc="617EBBF6" w:tentative="1">
      <w:start w:val="1"/>
      <w:numFmt w:val="bullet"/>
      <w:lvlText w:val="•"/>
      <w:lvlJc w:val="left"/>
      <w:pPr>
        <w:tabs>
          <w:tab w:val="num" w:pos="5760"/>
        </w:tabs>
        <w:ind w:left="5760" w:hanging="360"/>
      </w:pPr>
      <w:rPr>
        <w:rFonts w:ascii="Arial" w:hAnsi="Arial" w:hint="default"/>
      </w:rPr>
    </w:lvl>
    <w:lvl w:ilvl="8" w:tplc="8432034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12E0F1F"/>
    <w:multiLevelType w:val="hybridMultilevel"/>
    <w:tmpl w:val="266EC762"/>
    <w:lvl w:ilvl="0" w:tplc="E3EC8D2E">
      <w:numFmt w:val="bullet"/>
      <w:lvlText w:val="-"/>
      <w:lvlJc w:val="left"/>
      <w:pPr>
        <w:ind w:left="360" w:hanging="360"/>
      </w:pPr>
      <w:rPr>
        <w:rFonts w:ascii="Times New Roman" w:eastAsia="Times New Roman" w:hAnsi="Times New Roman" w:cs="Times New Roman" w:hint="default"/>
      </w:rPr>
    </w:lvl>
    <w:lvl w:ilvl="1" w:tplc="040C0005">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2195089"/>
    <w:multiLevelType w:val="hybridMultilevel"/>
    <w:tmpl w:val="9DAC7040"/>
    <w:lvl w:ilvl="0" w:tplc="B6E26FEC">
      <w:start w:val="1"/>
      <w:numFmt w:val="decimal"/>
      <w:lvlText w:val="%1)"/>
      <w:lvlJc w:val="left"/>
      <w:pPr>
        <w:ind w:left="1020" w:hanging="360"/>
      </w:pPr>
    </w:lvl>
    <w:lvl w:ilvl="1" w:tplc="3CC0F35A">
      <w:start w:val="1"/>
      <w:numFmt w:val="decimal"/>
      <w:lvlText w:val="%2)"/>
      <w:lvlJc w:val="left"/>
      <w:pPr>
        <w:ind w:left="1020" w:hanging="360"/>
      </w:pPr>
    </w:lvl>
    <w:lvl w:ilvl="2" w:tplc="7F2E9F44">
      <w:start w:val="1"/>
      <w:numFmt w:val="decimal"/>
      <w:lvlText w:val="%3)"/>
      <w:lvlJc w:val="left"/>
      <w:pPr>
        <w:ind w:left="1020" w:hanging="360"/>
      </w:pPr>
    </w:lvl>
    <w:lvl w:ilvl="3" w:tplc="80583A7E">
      <w:start w:val="1"/>
      <w:numFmt w:val="decimal"/>
      <w:lvlText w:val="%4)"/>
      <w:lvlJc w:val="left"/>
      <w:pPr>
        <w:ind w:left="1020" w:hanging="360"/>
      </w:pPr>
    </w:lvl>
    <w:lvl w:ilvl="4" w:tplc="75B64DE2">
      <w:start w:val="1"/>
      <w:numFmt w:val="decimal"/>
      <w:lvlText w:val="%5)"/>
      <w:lvlJc w:val="left"/>
      <w:pPr>
        <w:ind w:left="1020" w:hanging="360"/>
      </w:pPr>
    </w:lvl>
    <w:lvl w:ilvl="5" w:tplc="2EB42EF4">
      <w:start w:val="1"/>
      <w:numFmt w:val="decimal"/>
      <w:lvlText w:val="%6)"/>
      <w:lvlJc w:val="left"/>
      <w:pPr>
        <w:ind w:left="1020" w:hanging="360"/>
      </w:pPr>
    </w:lvl>
    <w:lvl w:ilvl="6" w:tplc="A46E8DDE">
      <w:start w:val="1"/>
      <w:numFmt w:val="decimal"/>
      <w:lvlText w:val="%7)"/>
      <w:lvlJc w:val="left"/>
      <w:pPr>
        <w:ind w:left="1020" w:hanging="360"/>
      </w:pPr>
    </w:lvl>
    <w:lvl w:ilvl="7" w:tplc="18BC2B22">
      <w:start w:val="1"/>
      <w:numFmt w:val="decimal"/>
      <w:lvlText w:val="%8)"/>
      <w:lvlJc w:val="left"/>
      <w:pPr>
        <w:ind w:left="1020" w:hanging="360"/>
      </w:pPr>
    </w:lvl>
    <w:lvl w:ilvl="8" w:tplc="455C4E26">
      <w:start w:val="1"/>
      <w:numFmt w:val="decimal"/>
      <w:lvlText w:val="%9)"/>
      <w:lvlJc w:val="left"/>
      <w:pPr>
        <w:ind w:left="1020" w:hanging="360"/>
      </w:pPr>
    </w:lvl>
  </w:abstractNum>
  <w:abstractNum w:abstractNumId="10" w15:restartNumberingAfterBreak="0">
    <w:nsid w:val="2A66401C"/>
    <w:multiLevelType w:val="hybridMultilevel"/>
    <w:tmpl w:val="52B8D7B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B3D0C09"/>
    <w:multiLevelType w:val="hybridMultilevel"/>
    <w:tmpl w:val="BB2886F6"/>
    <w:lvl w:ilvl="0" w:tplc="3FC25E50">
      <w:start w:val="3"/>
      <w:numFmt w:val="bullet"/>
      <w:lvlText w:val=""/>
      <w:lvlJc w:val="left"/>
      <w:pPr>
        <w:ind w:left="1080" w:hanging="360"/>
      </w:pPr>
      <w:rPr>
        <w:rFonts w:ascii="Wingdings" w:eastAsiaTheme="majorEastAsia" w:hAnsi="Wingdings"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CB426A2"/>
    <w:multiLevelType w:val="hybridMultilevel"/>
    <w:tmpl w:val="0C08F17E"/>
    <w:lvl w:ilvl="0" w:tplc="47424484">
      <w:start w:val="4"/>
      <w:numFmt w:val="bullet"/>
      <w:lvlText w:val="-"/>
      <w:lvlJc w:val="left"/>
      <w:pPr>
        <w:ind w:left="720" w:hanging="360"/>
      </w:pPr>
      <w:rPr>
        <w:rFonts w:ascii="Aptos Display" w:eastAsiaTheme="minorHAnsi" w:hAnsi="Aptos Display" w:cs="MyriadPro-Bold"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65CF4"/>
    <w:multiLevelType w:val="hybridMultilevel"/>
    <w:tmpl w:val="FE1E59CE"/>
    <w:lvl w:ilvl="0" w:tplc="901E4C10">
      <w:start w:val="1"/>
      <w:numFmt w:val="decimal"/>
      <w:lvlText w:val="%1)"/>
      <w:lvlJc w:val="left"/>
      <w:pPr>
        <w:tabs>
          <w:tab w:val="num" w:pos="720"/>
        </w:tabs>
        <w:ind w:left="720" w:hanging="360"/>
      </w:pPr>
      <w:rPr>
        <w:rFonts w:ascii="Times New Roman" w:eastAsiaTheme="minorHAnsi" w:hAnsi="Times New Roman" w:cs="Times New Roman" w:hint="default"/>
      </w:rPr>
    </w:lvl>
    <w:lvl w:ilvl="1" w:tplc="1A544A38" w:tentative="1">
      <w:start w:val="1"/>
      <w:numFmt w:val="bullet"/>
      <w:lvlText w:val="•"/>
      <w:lvlJc w:val="left"/>
      <w:pPr>
        <w:tabs>
          <w:tab w:val="num" w:pos="1440"/>
        </w:tabs>
        <w:ind w:left="1440" w:hanging="360"/>
      </w:pPr>
      <w:rPr>
        <w:rFonts w:ascii="Arial" w:hAnsi="Arial" w:hint="default"/>
      </w:rPr>
    </w:lvl>
    <w:lvl w:ilvl="2" w:tplc="D7C64650" w:tentative="1">
      <w:start w:val="1"/>
      <w:numFmt w:val="bullet"/>
      <w:lvlText w:val="•"/>
      <w:lvlJc w:val="left"/>
      <w:pPr>
        <w:tabs>
          <w:tab w:val="num" w:pos="2160"/>
        </w:tabs>
        <w:ind w:left="2160" w:hanging="360"/>
      </w:pPr>
      <w:rPr>
        <w:rFonts w:ascii="Arial" w:hAnsi="Arial" w:hint="default"/>
      </w:rPr>
    </w:lvl>
    <w:lvl w:ilvl="3" w:tplc="FD86C952" w:tentative="1">
      <w:start w:val="1"/>
      <w:numFmt w:val="bullet"/>
      <w:lvlText w:val="•"/>
      <w:lvlJc w:val="left"/>
      <w:pPr>
        <w:tabs>
          <w:tab w:val="num" w:pos="2880"/>
        </w:tabs>
        <w:ind w:left="2880" w:hanging="360"/>
      </w:pPr>
      <w:rPr>
        <w:rFonts w:ascii="Arial" w:hAnsi="Arial" w:hint="default"/>
      </w:rPr>
    </w:lvl>
    <w:lvl w:ilvl="4" w:tplc="E7402B56" w:tentative="1">
      <w:start w:val="1"/>
      <w:numFmt w:val="bullet"/>
      <w:lvlText w:val="•"/>
      <w:lvlJc w:val="left"/>
      <w:pPr>
        <w:tabs>
          <w:tab w:val="num" w:pos="3600"/>
        </w:tabs>
        <w:ind w:left="3600" w:hanging="360"/>
      </w:pPr>
      <w:rPr>
        <w:rFonts w:ascii="Arial" w:hAnsi="Arial" w:hint="default"/>
      </w:rPr>
    </w:lvl>
    <w:lvl w:ilvl="5" w:tplc="CB26FC8A" w:tentative="1">
      <w:start w:val="1"/>
      <w:numFmt w:val="bullet"/>
      <w:lvlText w:val="•"/>
      <w:lvlJc w:val="left"/>
      <w:pPr>
        <w:tabs>
          <w:tab w:val="num" w:pos="4320"/>
        </w:tabs>
        <w:ind w:left="4320" w:hanging="360"/>
      </w:pPr>
      <w:rPr>
        <w:rFonts w:ascii="Arial" w:hAnsi="Arial" w:hint="default"/>
      </w:rPr>
    </w:lvl>
    <w:lvl w:ilvl="6" w:tplc="CD7E045A" w:tentative="1">
      <w:start w:val="1"/>
      <w:numFmt w:val="bullet"/>
      <w:lvlText w:val="•"/>
      <w:lvlJc w:val="left"/>
      <w:pPr>
        <w:tabs>
          <w:tab w:val="num" w:pos="5040"/>
        </w:tabs>
        <w:ind w:left="5040" w:hanging="360"/>
      </w:pPr>
      <w:rPr>
        <w:rFonts w:ascii="Arial" w:hAnsi="Arial" w:hint="default"/>
      </w:rPr>
    </w:lvl>
    <w:lvl w:ilvl="7" w:tplc="51B4E632" w:tentative="1">
      <w:start w:val="1"/>
      <w:numFmt w:val="bullet"/>
      <w:lvlText w:val="•"/>
      <w:lvlJc w:val="left"/>
      <w:pPr>
        <w:tabs>
          <w:tab w:val="num" w:pos="5760"/>
        </w:tabs>
        <w:ind w:left="5760" w:hanging="360"/>
      </w:pPr>
      <w:rPr>
        <w:rFonts w:ascii="Arial" w:hAnsi="Arial" w:hint="default"/>
      </w:rPr>
    </w:lvl>
    <w:lvl w:ilvl="8" w:tplc="C1E26DF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6273DFE"/>
    <w:multiLevelType w:val="hybridMultilevel"/>
    <w:tmpl w:val="7B3C4FB8"/>
    <w:lvl w:ilvl="0" w:tplc="7DF0C3A8">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3BCF4776"/>
    <w:multiLevelType w:val="hybridMultilevel"/>
    <w:tmpl w:val="7352A7B6"/>
    <w:lvl w:ilvl="0" w:tplc="E3EC8D2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42E4625E"/>
    <w:multiLevelType w:val="hybridMultilevel"/>
    <w:tmpl w:val="01348FAA"/>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5796C7D"/>
    <w:multiLevelType w:val="hybridMultilevel"/>
    <w:tmpl w:val="01348F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AAA131E"/>
    <w:multiLevelType w:val="hybridMultilevel"/>
    <w:tmpl w:val="3AA4381A"/>
    <w:lvl w:ilvl="0" w:tplc="E3EC8D2E">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50AB75BB"/>
    <w:multiLevelType w:val="hybridMultilevel"/>
    <w:tmpl w:val="C1CE96AC"/>
    <w:lvl w:ilvl="0" w:tplc="A9C6BF4A">
      <w:start w:val="1"/>
      <w:numFmt w:val="decimal"/>
      <w:lvlText w:val="%1)"/>
      <w:lvlJc w:val="left"/>
      <w:pPr>
        <w:ind w:left="1020" w:hanging="360"/>
      </w:pPr>
    </w:lvl>
    <w:lvl w:ilvl="1" w:tplc="24A89CE6">
      <w:start w:val="1"/>
      <w:numFmt w:val="decimal"/>
      <w:lvlText w:val="%2)"/>
      <w:lvlJc w:val="left"/>
      <w:pPr>
        <w:ind w:left="1020" w:hanging="360"/>
      </w:pPr>
    </w:lvl>
    <w:lvl w:ilvl="2" w:tplc="AFE6773A">
      <w:start w:val="1"/>
      <w:numFmt w:val="decimal"/>
      <w:lvlText w:val="%3)"/>
      <w:lvlJc w:val="left"/>
      <w:pPr>
        <w:ind w:left="1020" w:hanging="360"/>
      </w:pPr>
    </w:lvl>
    <w:lvl w:ilvl="3" w:tplc="81E807DE">
      <w:start w:val="1"/>
      <w:numFmt w:val="decimal"/>
      <w:lvlText w:val="%4)"/>
      <w:lvlJc w:val="left"/>
      <w:pPr>
        <w:ind w:left="1020" w:hanging="360"/>
      </w:pPr>
    </w:lvl>
    <w:lvl w:ilvl="4" w:tplc="09A0C1D6">
      <w:start w:val="1"/>
      <w:numFmt w:val="decimal"/>
      <w:lvlText w:val="%5)"/>
      <w:lvlJc w:val="left"/>
      <w:pPr>
        <w:ind w:left="1020" w:hanging="360"/>
      </w:pPr>
    </w:lvl>
    <w:lvl w:ilvl="5" w:tplc="D1D47248">
      <w:start w:val="1"/>
      <w:numFmt w:val="decimal"/>
      <w:lvlText w:val="%6)"/>
      <w:lvlJc w:val="left"/>
      <w:pPr>
        <w:ind w:left="1020" w:hanging="360"/>
      </w:pPr>
    </w:lvl>
    <w:lvl w:ilvl="6" w:tplc="C9C41F92">
      <w:start w:val="1"/>
      <w:numFmt w:val="decimal"/>
      <w:lvlText w:val="%7)"/>
      <w:lvlJc w:val="left"/>
      <w:pPr>
        <w:ind w:left="1020" w:hanging="360"/>
      </w:pPr>
    </w:lvl>
    <w:lvl w:ilvl="7" w:tplc="7C72A910">
      <w:start w:val="1"/>
      <w:numFmt w:val="decimal"/>
      <w:lvlText w:val="%8)"/>
      <w:lvlJc w:val="left"/>
      <w:pPr>
        <w:ind w:left="1020" w:hanging="360"/>
      </w:pPr>
    </w:lvl>
    <w:lvl w:ilvl="8" w:tplc="3EE64916">
      <w:start w:val="1"/>
      <w:numFmt w:val="decimal"/>
      <w:lvlText w:val="%9)"/>
      <w:lvlJc w:val="left"/>
      <w:pPr>
        <w:ind w:left="1020" w:hanging="360"/>
      </w:pPr>
    </w:lvl>
  </w:abstractNum>
  <w:abstractNum w:abstractNumId="20" w15:restartNumberingAfterBreak="0">
    <w:nsid w:val="56F11A6F"/>
    <w:multiLevelType w:val="hybridMultilevel"/>
    <w:tmpl w:val="01348F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6F83B5D"/>
    <w:multiLevelType w:val="hybridMultilevel"/>
    <w:tmpl w:val="4484E28E"/>
    <w:lvl w:ilvl="0" w:tplc="E3EC8D2E">
      <w:numFmt w:val="bullet"/>
      <w:lvlText w:val="-"/>
      <w:lvlJc w:val="left"/>
      <w:pPr>
        <w:ind w:left="360" w:hanging="360"/>
      </w:pPr>
      <w:rPr>
        <w:rFonts w:ascii="Times New Roman" w:eastAsia="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59A259C2"/>
    <w:multiLevelType w:val="multilevel"/>
    <w:tmpl w:val="044C2C60"/>
    <w:lvl w:ilvl="0">
      <w:start w:val="1"/>
      <w:numFmt w:val="decimal"/>
      <w:pStyle w:val="Heading1"/>
      <w:lvlText w:val="%1"/>
      <w:lvlJc w:val="left"/>
      <w:pPr>
        <w:ind w:left="432" w:hanging="432"/>
      </w:pPr>
      <w:rPr>
        <w:rFonts w:ascii="Times New Roman" w:hAnsi="Times New Roman" w:cs="Times New Roman" w:hint="default"/>
        <w:sz w:val="24"/>
        <w:szCs w:val="24"/>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15:restartNumberingAfterBreak="0">
    <w:nsid w:val="6A6A2347"/>
    <w:multiLevelType w:val="hybridMultilevel"/>
    <w:tmpl w:val="16CE2766"/>
    <w:lvl w:ilvl="0" w:tplc="E3EC8D2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6B8651EA"/>
    <w:multiLevelType w:val="hybridMultilevel"/>
    <w:tmpl w:val="0A6AF7E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BF566FB"/>
    <w:multiLevelType w:val="hybridMultilevel"/>
    <w:tmpl w:val="06AC65B2"/>
    <w:lvl w:ilvl="0" w:tplc="F026A9F8">
      <w:start w:val="1"/>
      <w:numFmt w:val="decimal"/>
      <w:lvlText w:val="%1)"/>
      <w:lvlJc w:val="left"/>
      <w:pPr>
        <w:tabs>
          <w:tab w:val="num" w:pos="720"/>
        </w:tabs>
        <w:ind w:left="720" w:hanging="360"/>
      </w:pPr>
      <w:rPr>
        <w:rFonts w:ascii="Times New Roman" w:eastAsiaTheme="minorHAnsi" w:hAnsi="Times New Roman" w:cs="Times New Roman" w:hint="default"/>
      </w:rPr>
    </w:lvl>
    <w:lvl w:ilvl="1" w:tplc="E30271C0" w:tentative="1">
      <w:start w:val="1"/>
      <w:numFmt w:val="bullet"/>
      <w:lvlText w:val="•"/>
      <w:lvlJc w:val="left"/>
      <w:pPr>
        <w:tabs>
          <w:tab w:val="num" w:pos="1440"/>
        </w:tabs>
        <w:ind w:left="1440" w:hanging="360"/>
      </w:pPr>
      <w:rPr>
        <w:rFonts w:ascii="Arial" w:hAnsi="Arial" w:hint="default"/>
      </w:rPr>
    </w:lvl>
    <w:lvl w:ilvl="2" w:tplc="4782B9C2" w:tentative="1">
      <w:start w:val="1"/>
      <w:numFmt w:val="bullet"/>
      <w:lvlText w:val="•"/>
      <w:lvlJc w:val="left"/>
      <w:pPr>
        <w:tabs>
          <w:tab w:val="num" w:pos="2160"/>
        </w:tabs>
        <w:ind w:left="2160" w:hanging="360"/>
      </w:pPr>
      <w:rPr>
        <w:rFonts w:ascii="Arial" w:hAnsi="Arial" w:hint="default"/>
      </w:rPr>
    </w:lvl>
    <w:lvl w:ilvl="3" w:tplc="DD5A4ED0" w:tentative="1">
      <w:start w:val="1"/>
      <w:numFmt w:val="bullet"/>
      <w:lvlText w:val="•"/>
      <w:lvlJc w:val="left"/>
      <w:pPr>
        <w:tabs>
          <w:tab w:val="num" w:pos="2880"/>
        </w:tabs>
        <w:ind w:left="2880" w:hanging="360"/>
      </w:pPr>
      <w:rPr>
        <w:rFonts w:ascii="Arial" w:hAnsi="Arial" w:hint="default"/>
      </w:rPr>
    </w:lvl>
    <w:lvl w:ilvl="4" w:tplc="05D296AA" w:tentative="1">
      <w:start w:val="1"/>
      <w:numFmt w:val="bullet"/>
      <w:lvlText w:val="•"/>
      <w:lvlJc w:val="left"/>
      <w:pPr>
        <w:tabs>
          <w:tab w:val="num" w:pos="3600"/>
        </w:tabs>
        <w:ind w:left="3600" w:hanging="360"/>
      </w:pPr>
      <w:rPr>
        <w:rFonts w:ascii="Arial" w:hAnsi="Arial" w:hint="default"/>
      </w:rPr>
    </w:lvl>
    <w:lvl w:ilvl="5" w:tplc="8C60DE32" w:tentative="1">
      <w:start w:val="1"/>
      <w:numFmt w:val="bullet"/>
      <w:lvlText w:val="•"/>
      <w:lvlJc w:val="left"/>
      <w:pPr>
        <w:tabs>
          <w:tab w:val="num" w:pos="4320"/>
        </w:tabs>
        <w:ind w:left="4320" w:hanging="360"/>
      </w:pPr>
      <w:rPr>
        <w:rFonts w:ascii="Arial" w:hAnsi="Arial" w:hint="default"/>
      </w:rPr>
    </w:lvl>
    <w:lvl w:ilvl="6" w:tplc="A68CDA64" w:tentative="1">
      <w:start w:val="1"/>
      <w:numFmt w:val="bullet"/>
      <w:lvlText w:val="•"/>
      <w:lvlJc w:val="left"/>
      <w:pPr>
        <w:tabs>
          <w:tab w:val="num" w:pos="5040"/>
        </w:tabs>
        <w:ind w:left="5040" w:hanging="360"/>
      </w:pPr>
      <w:rPr>
        <w:rFonts w:ascii="Arial" w:hAnsi="Arial" w:hint="default"/>
      </w:rPr>
    </w:lvl>
    <w:lvl w:ilvl="7" w:tplc="DC5C3F46" w:tentative="1">
      <w:start w:val="1"/>
      <w:numFmt w:val="bullet"/>
      <w:lvlText w:val="•"/>
      <w:lvlJc w:val="left"/>
      <w:pPr>
        <w:tabs>
          <w:tab w:val="num" w:pos="5760"/>
        </w:tabs>
        <w:ind w:left="5760" w:hanging="360"/>
      </w:pPr>
      <w:rPr>
        <w:rFonts w:ascii="Arial" w:hAnsi="Arial" w:hint="default"/>
      </w:rPr>
    </w:lvl>
    <w:lvl w:ilvl="8" w:tplc="EAF07F6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77287F67"/>
    <w:multiLevelType w:val="hybridMultilevel"/>
    <w:tmpl w:val="C610E74C"/>
    <w:lvl w:ilvl="0" w:tplc="66AAFCB4">
      <w:start w:val="15"/>
      <w:numFmt w:val="bullet"/>
      <w:lvlText w:val="-"/>
      <w:lvlJc w:val="left"/>
      <w:pPr>
        <w:ind w:left="360" w:hanging="360"/>
      </w:pPr>
      <w:rPr>
        <w:rFonts w:ascii="Aptos Display" w:eastAsiaTheme="minorHAnsi" w:hAnsi="Aptos Display"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7FED7F93"/>
    <w:multiLevelType w:val="hybridMultilevel"/>
    <w:tmpl w:val="E41A7486"/>
    <w:lvl w:ilvl="0" w:tplc="66AAFCB4">
      <w:start w:val="15"/>
      <w:numFmt w:val="bullet"/>
      <w:lvlText w:val="-"/>
      <w:lvlJc w:val="left"/>
      <w:pPr>
        <w:ind w:left="720" w:hanging="360"/>
      </w:pPr>
      <w:rPr>
        <w:rFonts w:ascii="Aptos Display" w:eastAsiaTheme="minorHAnsi" w:hAnsi="Aptos Display"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4596723">
    <w:abstractNumId w:val="0"/>
  </w:num>
  <w:num w:numId="2" w16cid:durableId="2074161110">
    <w:abstractNumId w:val="8"/>
  </w:num>
  <w:num w:numId="3" w16cid:durableId="579020643">
    <w:abstractNumId w:val="15"/>
  </w:num>
  <w:num w:numId="4" w16cid:durableId="1964195289">
    <w:abstractNumId w:val="23"/>
  </w:num>
  <w:num w:numId="5" w16cid:durableId="416290540">
    <w:abstractNumId w:val="6"/>
  </w:num>
  <w:num w:numId="6" w16cid:durableId="109978954">
    <w:abstractNumId w:val="18"/>
  </w:num>
  <w:num w:numId="7" w16cid:durableId="1863976945">
    <w:abstractNumId w:val="22"/>
  </w:num>
  <w:num w:numId="8" w16cid:durableId="1566332558">
    <w:abstractNumId w:val="25"/>
  </w:num>
  <w:num w:numId="9" w16cid:durableId="176315530">
    <w:abstractNumId w:val="13"/>
  </w:num>
  <w:num w:numId="10" w16cid:durableId="219708949">
    <w:abstractNumId w:val="7"/>
  </w:num>
  <w:num w:numId="11" w16cid:durableId="920023525">
    <w:abstractNumId w:val="11"/>
  </w:num>
  <w:num w:numId="12" w16cid:durableId="1015693322">
    <w:abstractNumId w:val="5"/>
  </w:num>
  <w:num w:numId="13" w16cid:durableId="464274867">
    <w:abstractNumId w:val="27"/>
  </w:num>
  <w:num w:numId="14" w16cid:durableId="219171227">
    <w:abstractNumId w:val="24"/>
  </w:num>
  <w:num w:numId="15" w16cid:durableId="1453867773">
    <w:abstractNumId w:val="12"/>
  </w:num>
  <w:num w:numId="16" w16cid:durableId="785656805">
    <w:abstractNumId w:val="2"/>
  </w:num>
  <w:num w:numId="17" w16cid:durableId="356319794">
    <w:abstractNumId w:val="4"/>
  </w:num>
  <w:num w:numId="18" w16cid:durableId="1644775799">
    <w:abstractNumId w:val="10"/>
  </w:num>
  <w:num w:numId="19" w16cid:durableId="1433741485">
    <w:abstractNumId w:val="14"/>
  </w:num>
  <w:num w:numId="20" w16cid:durableId="907879722">
    <w:abstractNumId w:val="26"/>
  </w:num>
  <w:num w:numId="21" w16cid:durableId="1155687283">
    <w:abstractNumId w:val="1"/>
  </w:num>
  <w:num w:numId="22" w16cid:durableId="1659459798">
    <w:abstractNumId w:val="16"/>
  </w:num>
  <w:num w:numId="23" w16cid:durableId="1100643192">
    <w:abstractNumId w:val="20"/>
  </w:num>
  <w:num w:numId="24" w16cid:durableId="1025015412">
    <w:abstractNumId w:val="17"/>
  </w:num>
  <w:num w:numId="25" w16cid:durableId="515731424">
    <w:abstractNumId w:val="19"/>
  </w:num>
  <w:num w:numId="26" w16cid:durableId="1292976704">
    <w:abstractNumId w:val="9"/>
  </w:num>
  <w:num w:numId="27" w16cid:durableId="1309941571">
    <w:abstractNumId w:val="3"/>
  </w:num>
  <w:num w:numId="28" w16cid:durableId="57050276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6B1"/>
    <w:rsid w:val="00003781"/>
    <w:rsid w:val="00004B33"/>
    <w:rsid w:val="0000588A"/>
    <w:rsid w:val="00005AB8"/>
    <w:rsid w:val="00005BED"/>
    <w:rsid w:val="00005FAC"/>
    <w:rsid w:val="00006F34"/>
    <w:rsid w:val="00012DED"/>
    <w:rsid w:val="00013C00"/>
    <w:rsid w:val="00013F7D"/>
    <w:rsid w:val="00015F1C"/>
    <w:rsid w:val="000207A0"/>
    <w:rsid w:val="000208D9"/>
    <w:rsid w:val="00020F12"/>
    <w:rsid w:val="00021074"/>
    <w:rsid w:val="000212C9"/>
    <w:rsid w:val="00021BF7"/>
    <w:rsid w:val="00022070"/>
    <w:rsid w:val="000226FE"/>
    <w:rsid w:val="000227C5"/>
    <w:rsid w:val="00022C40"/>
    <w:rsid w:val="000264D3"/>
    <w:rsid w:val="0002699C"/>
    <w:rsid w:val="00030D6D"/>
    <w:rsid w:val="0003176D"/>
    <w:rsid w:val="000338C1"/>
    <w:rsid w:val="000341CD"/>
    <w:rsid w:val="000355DA"/>
    <w:rsid w:val="00036027"/>
    <w:rsid w:val="00037BE9"/>
    <w:rsid w:val="00037F5B"/>
    <w:rsid w:val="00041FE1"/>
    <w:rsid w:val="000420B6"/>
    <w:rsid w:val="00042CE9"/>
    <w:rsid w:val="00043F5F"/>
    <w:rsid w:val="000454E6"/>
    <w:rsid w:val="00047EAD"/>
    <w:rsid w:val="0005159B"/>
    <w:rsid w:val="00051D7D"/>
    <w:rsid w:val="000547F5"/>
    <w:rsid w:val="000567DC"/>
    <w:rsid w:val="00060AF3"/>
    <w:rsid w:val="00063F80"/>
    <w:rsid w:val="00065813"/>
    <w:rsid w:val="00067DD0"/>
    <w:rsid w:val="00070E83"/>
    <w:rsid w:val="00071350"/>
    <w:rsid w:val="00072CF0"/>
    <w:rsid w:val="00074749"/>
    <w:rsid w:val="000748EA"/>
    <w:rsid w:val="00074B50"/>
    <w:rsid w:val="00075677"/>
    <w:rsid w:val="00076D67"/>
    <w:rsid w:val="00077116"/>
    <w:rsid w:val="00077E24"/>
    <w:rsid w:val="00081795"/>
    <w:rsid w:val="0008200A"/>
    <w:rsid w:val="00085CFC"/>
    <w:rsid w:val="000862CC"/>
    <w:rsid w:val="00090C39"/>
    <w:rsid w:val="0009237D"/>
    <w:rsid w:val="00092FE4"/>
    <w:rsid w:val="00093E46"/>
    <w:rsid w:val="000957B9"/>
    <w:rsid w:val="00096058"/>
    <w:rsid w:val="00096BF4"/>
    <w:rsid w:val="00097383"/>
    <w:rsid w:val="000A015E"/>
    <w:rsid w:val="000A2A7F"/>
    <w:rsid w:val="000A33EA"/>
    <w:rsid w:val="000A3909"/>
    <w:rsid w:val="000A419A"/>
    <w:rsid w:val="000A4227"/>
    <w:rsid w:val="000A42C8"/>
    <w:rsid w:val="000A5995"/>
    <w:rsid w:val="000A5A0B"/>
    <w:rsid w:val="000A602C"/>
    <w:rsid w:val="000A762E"/>
    <w:rsid w:val="000A7DCA"/>
    <w:rsid w:val="000B03A9"/>
    <w:rsid w:val="000B0549"/>
    <w:rsid w:val="000B28BA"/>
    <w:rsid w:val="000B4330"/>
    <w:rsid w:val="000B47D0"/>
    <w:rsid w:val="000B6B4B"/>
    <w:rsid w:val="000C01F5"/>
    <w:rsid w:val="000C0234"/>
    <w:rsid w:val="000C18DC"/>
    <w:rsid w:val="000C1B16"/>
    <w:rsid w:val="000C3294"/>
    <w:rsid w:val="000C3872"/>
    <w:rsid w:val="000C4361"/>
    <w:rsid w:val="000C45DB"/>
    <w:rsid w:val="000C468A"/>
    <w:rsid w:val="000C4BF1"/>
    <w:rsid w:val="000C526A"/>
    <w:rsid w:val="000C670A"/>
    <w:rsid w:val="000C7AB9"/>
    <w:rsid w:val="000D1D73"/>
    <w:rsid w:val="000D2BC1"/>
    <w:rsid w:val="000D3AEB"/>
    <w:rsid w:val="000D3B31"/>
    <w:rsid w:val="000D50C5"/>
    <w:rsid w:val="000D56EE"/>
    <w:rsid w:val="000D5836"/>
    <w:rsid w:val="000D5B58"/>
    <w:rsid w:val="000D69AC"/>
    <w:rsid w:val="000D7C59"/>
    <w:rsid w:val="000E395D"/>
    <w:rsid w:val="000E3ED4"/>
    <w:rsid w:val="000E541E"/>
    <w:rsid w:val="000E6342"/>
    <w:rsid w:val="000E7211"/>
    <w:rsid w:val="000F22E9"/>
    <w:rsid w:val="000F291D"/>
    <w:rsid w:val="000F2B6E"/>
    <w:rsid w:val="000F3941"/>
    <w:rsid w:val="000F458B"/>
    <w:rsid w:val="000F4A3E"/>
    <w:rsid w:val="000F4EB5"/>
    <w:rsid w:val="000F5651"/>
    <w:rsid w:val="000F5A2E"/>
    <w:rsid w:val="000F6C2B"/>
    <w:rsid w:val="000F6F18"/>
    <w:rsid w:val="0010116A"/>
    <w:rsid w:val="0010175E"/>
    <w:rsid w:val="00102423"/>
    <w:rsid w:val="00102C51"/>
    <w:rsid w:val="00103A74"/>
    <w:rsid w:val="00103BE1"/>
    <w:rsid w:val="00103C5E"/>
    <w:rsid w:val="0010482C"/>
    <w:rsid w:val="00107D06"/>
    <w:rsid w:val="001100AF"/>
    <w:rsid w:val="001107AB"/>
    <w:rsid w:val="00111231"/>
    <w:rsid w:val="00112AF3"/>
    <w:rsid w:val="001139B5"/>
    <w:rsid w:val="00120395"/>
    <w:rsid w:val="00124EB0"/>
    <w:rsid w:val="00125D7E"/>
    <w:rsid w:val="00126424"/>
    <w:rsid w:val="00130D06"/>
    <w:rsid w:val="00132670"/>
    <w:rsid w:val="00132BE4"/>
    <w:rsid w:val="00133363"/>
    <w:rsid w:val="00133DC5"/>
    <w:rsid w:val="001344EF"/>
    <w:rsid w:val="00136B67"/>
    <w:rsid w:val="001375D5"/>
    <w:rsid w:val="001377D9"/>
    <w:rsid w:val="00141BE4"/>
    <w:rsid w:val="00143F0E"/>
    <w:rsid w:val="00147DF5"/>
    <w:rsid w:val="00150F66"/>
    <w:rsid w:val="00154021"/>
    <w:rsid w:val="00156A1B"/>
    <w:rsid w:val="00160AAC"/>
    <w:rsid w:val="00160C07"/>
    <w:rsid w:val="0016369E"/>
    <w:rsid w:val="001636D1"/>
    <w:rsid w:val="00164332"/>
    <w:rsid w:val="0016665C"/>
    <w:rsid w:val="0016712E"/>
    <w:rsid w:val="001679E7"/>
    <w:rsid w:val="00167C35"/>
    <w:rsid w:val="00170742"/>
    <w:rsid w:val="00170A88"/>
    <w:rsid w:val="00171E9C"/>
    <w:rsid w:val="0017577E"/>
    <w:rsid w:val="001802C0"/>
    <w:rsid w:val="00180479"/>
    <w:rsid w:val="0018149A"/>
    <w:rsid w:val="00182B5B"/>
    <w:rsid w:val="00182D4B"/>
    <w:rsid w:val="00183286"/>
    <w:rsid w:val="0018469D"/>
    <w:rsid w:val="001900C8"/>
    <w:rsid w:val="00190123"/>
    <w:rsid w:val="00190644"/>
    <w:rsid w:val="0019522A"/>
    <w:rsid w:val="00196EF0"/>
    <w:rsid w:val="00197B31"/>
    <w:rsid w:val="001A1034"/>
    <w:rsid w:val="001A13D8"/>
    <w:rsid w:val="001A2A1B"/>
    <w:rsid w:val="001A3BDC"/>
    <w:rsid w:val="001A40E0"/>
    <w:rsid w:val="001A4411"/>
    <w:rsid w:val="001A4D01"/>
    <w:rsid w:val="001A5177"/>
    <w:rsid w:val="001A550A"/>
    <w:rsid w:val="001A6CD0"/>
    <w:rsid w:val="001A75F0"/>
    <w:rsid w:val="001A7D36"/>
    <w:rsid w:val="001B02A4"/>
    <w:rsid w:val="001B0682"/>
    <w:rsid w:val="001B1A7F"/>
    <w:rsid w:val="001B27EA"/>
    <w:rsid w:val="001C113B"/>
    <w:rsid w:val="001C194E"/>
    <w:rsid w:val="001C5581"/>
    <w:rsid w:val="001C7BEA"/>
    <w:rsid w:val="001D00BC"/>
    <w:rsid w:val="001D0B25"/>
    <w:rsid w:val="001D0DA2"/>
    <w:rsid w:val="001D1353"/>
    <w:rsid w:val="001D277F"/>
    <w:rsid w:val="001D3E86"/>
    <w:rsid w:val="001D446F"/>
    <w:rsid w:val="001D5C51"/>
    <w:rsid w:val="001D7631"/>
    <w:rsid w:val="001D7AA4"/>
    <w:rsid w:val="001E06D5"/>
    <w:rsid w:val="001E2326"/>
    <w:rsid w:val="001E35E8"/>
    <w:rsid w:val="001E4D1C"/>
    <w:rsid w:val="001E50ED"/>
    <w:rsid w:val="001E6F4E"/>
    <w:rsid w:val="001F2940"/>
    <w:rsid w:val="001F3E73"/>
    <w:rsid w:val="001F6ACF"/>
    <w:rsid w:val="001F7208"/>
    <w:rsid w:val="00202823"/>
    <w:rsid w:val="00202DA8"/>
    <w:rsid w:val="0020322E"/>
    <w:rsid w:val="00203439"/>
    <w:rsid w:val="00204646"/>
    <w:rsid w:val="00205410"/>
    <w:rsid w:val="002058BC"/>
    <w:rsid w:val="002072CC"/>
    <w:rsid w:val="00210545"/>
    <w:rsid w:val="0021103E"/>
    <w:rsid w:val="0021206F"/>
    <w:rsid w:val="002120E7"/>
    <w:rsid w:val="00215034"/>
    <w:rsid w:val="00217759"/>
    <w:rsid w:val="00220C79"/>
    <w:rsid w:val="0022138E"/>
    <w:rsid w:val="00223BC9"/>
    <w:rsid w:val="00224FA2"/>
    <w:rsid w:val="002330A7"/>
    <w:rsid w:val="00234A7E"/>
    <w:rsid w:val="00235869"/>
    <w:rsid w:val="002366ED"/>
    <w:rsid w:val="002368F0"/>
    <w:rsid w:val="00236E02"/>
    <w:rsid w:val="0023774A"/>
    <w:rsid w:val="00237847"/>
    <w:rsid w:val="0024052C"/>
    <w:rsid w:val="002407E1"/>
    <w:rsid w:val="00240831"/>
    <w:rsid w:val="00241921"/>
    <w:rsid w:val="00242708"/>
    <w:rsid w:val="00243064"/>
    <w:rsid w:val="002433BE"/>
    <w:rsid w:val="00243AD6"/>
    <w:rsid w:val="002468D6"/>
    <w:rsid w:val="0024777D"/>
    <w:rsid w:val="00250692"/>
    <w:rsid w:val="002507BE"/>
    <w:rsid w:val="002514DE"/>
    <w:rsid w:val="00251792"/>
    <w:rsid w:val="00252EF9"/>
    <w:rsid w:val="00253124"/>
    <w:rsid w:val="00255513"/>
    <w:rsid w:val="00256DCB"/>
    <w:rsid w:val="002579F5"/>
    <w:rsid w:val="00261979"/>
    <w:rsid w:val="00261FDE"/>
    <w:rsid w:val="00263B0D"/>
    <w:rsid w:val="002649CD"/>
    <w:rsid w:val="00266531"/>
    <w:rsid w:val="0027326D"/>
    <w:rsid w:val="002739A3"/>
    <w:rsid w:val="0027448E"/>
    <w:rsid w:val="00275472"/>
    <w:rsid w:val="00275487"/>
    <w:rsid w:val="00275E50"/>
    <w:rsid w:val="00276247"/>
    <w:rsid w:val="0028267C"/>
    <w:rsid w:val="0028457D"/>
    <w:rsid w:val="00284964"/>
    <w:rsid w:val="002864A2"/>
    <w:rsid w:val="0028702D"/>
    <w:rsid w:val="0028747F"/>
    <w:rsid w:val="00287813"/>
    <w:rsid w:val="002948FC"/>
    <w:rsid w:val="00294DA5"/>
    <w:rsid w:val="0029584D"/>
    <w:rsid w:val="00296B4A"/>
    <w:rsid w:val="00296D58"/>
    <w:rsid w:val="00297854"/>
    <w:rsid w:val="002A3004"/>
    <w:rsid w:val="002A44BD"/>
    <w:rsid w:val="002A6477"/>
    <w:rsid w:val="002A6526"/>
    <w:rsid w:val="002A6847"/>
    <w:rsid w:val="002B18FD"/>
    <w:rsid w:val="002B2021"/>
    <w:rsid w:val="002B2E4C"/>
    <w:rsid w:val="002B5ADD"/>
    <w:rsid w:val="002B66A1"/>
    <w:rsid w:val="002B7DD4"/>
    <w:rsid w:val="002C0C31"/>
    <w:rsid w:val="002C0C63"/>
    <w:rsid w:val="002C14E0"/>
    <w:rsid w:val="002C1DA6"/>
    <w:rsid w:val="002C20AE"/>
    <w:rsid w:val="002C5781"/>
    <w:rsid w:val="002C6C20"/>
    <w:rsid w:val="002D00A2"/>
    <w:rsid w:val="002D07CE"/>
    <w:rsid w:val="002D1B49"/>
    <w:rsid w:val="002D1C52"/>
    <w:rsid w:val="002D3D21"/>
    <w:rsid w:val="002D7395"/>
    <w:rsid w:val="002D7760"/>
    <w:rsid w:val="002D7962"/>
    <w:rsid w:val="002E1A36"/>
    <w:rsid w:val="002E1C2F"/>
    <w:rsid w:val="002E2892"/>
    <w:rsid w:val="002E6356"/>
    <w:rsid w:val="002E7E39"/>
    <w:rsid w:val="002F0352"/>
    <w:rsid w:val="002F03DD"/>
    <w:rsid w:val="002F05F1"/>
    <w:rsid w:val="002F2E50"/>
    <w:rsid w:val="002F2F48"/>
    <w:rsid w:val="002F5A26"/>
    <w:rsid w:val="002F7969"/>
    <w:rsid w:val="00300A64"/>
    <w:rsid w:val="00302212"/>
    <w:rsid w:val="00303B26"/>
    <w:rsid w:val="0030505A"/>
    <w:rsid w:val="003051AB"/>
    <w:rsid w:val="00306E4B"/>
    <w:rsid w:val="00306EDC"/>
    <w:rsid w:val="0030795B"/>
    <w:rsid w:val="00307CD5"/>
    <w:rsid w:val="00311360"/>
    <w:rsid w:val="00312141"/>
    <w:rsid w:val="003129AA"/>
    <w:rsid w:val="0031335E"/>
    <w:rsid w:val="0031453F"/>
    <w:rsid w:val="00316DFB"/>
    <w:rsid w:val="00316FC2"/>
    <w:rsid w:val="00323F83"/>
    <w:rsid w:val="00326127"/>
    <w:rsid w:val="003306C7"/>
    <w:rsid w:val="003331E4"/>
    <w:rsid w:val="00333274"/>
    <w:rsid w:val="003334C3"/>
    <w:rsid w:val="00334CD9"/>
    <w:rsid w:val="00335AD0"/>
    <w:rsid w:val="00336989"/>
    <w:rsid w:val="003401BE"/>
    <w:rsid w:val="0034110C"/>
    <w:rsid w:val="00341420"/>
    <w:rsid w:val="003436C3"/>
    <w:rsid w:val="00345072"/>
    <w:rsid w:val="00345CAA"/>
    <w:rsid w:val="00346AE7"/>
    <w:rsid w:val="00346E38"/>
    <w:rsid w:val="00347926"/>
    <w:rsid w:val="00347978"/>
    <w:rsid w:val="0035087E"/>
    <w:rsid w:val="00350F46"/>
    <w:rsid w:val="00351B5B"/>
    <w:rsid w:val="00351DE3"/>
    <w:rsid w:val="00353496"/>
    <w:rsid w:val="00353889"/>
    <w:rsid w:val="0035443E"/>
    <w:rsid w:val="00354D32"/>
    <w:rsid w:val="003557F7"/>
    <w:rsid w:val="00355F42"/>
    <w:rsid w:val="00356D51"/>
    <w:rsid w:val="003576B8"/>
    <w:rsid w:val="0035770B"/>
    <w:rsid w:val="00360394"/>
    <w:rsid w:val="003631B4"/>
    <w:rsid w:val="003660FC"/>
    <w:rsid w:val="0036621C"/>
    <w:rsid w:val="00367139"/>
    <w:rsid w:val="00367CDE"/>
    <w:rsid w:val="00370077"/>
    <w:rsid w:val="0037032D"/>
    <w:rsid w:val="003707E8"/>
    <w:rsid w:val="003713F4"/>
    <w:rsid w:val="00371E5E"/>
    <w:rsid w:val="00372119"/>
    <w:rsid w:val="00372366"/>
    <w:rsid w:val="00372A69"/>
    <w:rsid w:val="00372EF6"/>
    <w:rsid w:val="00373B4E"/>
    <w:rsid w:val="00374E36"/>
    <w:rsid w:val="003763B3"/>
    <w:rsid w:val="00377061"/>
    <w:rsid w:val="003777BB"/>
    <w:rsid w:val="00381580"/>
    <w:rsid w:val="003833A5"/>
    <w:rsid w:val="003837AC"/>
    <w:rsid w:val="003842C1"/>
    <w:rsid w:val="003843A5"/>
    <w:rsid w:val="003860AA"/>
    <w:rsid w:val="00386C27"/>
    <w:rsid w:val="00391DB4"/>
    <w:rsid w:val="00392CA1"/>
    <w:rsid w:val="00393B25"/>
    <w:rsid w:val="0039425E"/>
    <w:rsid w:val="00395D85"/>
    <w:rsid w:val="003975E6"/>
    <w:rsid w:val="003A087B"/>
    <w:rsid w:val="003A0B5B"/>
    <w:rsid w:val="003A0C8B"/>
    <w:rsid w:val="003A15A4"/>
    <w:rsid w:val="003A2236"/>
    <w:rsid w:val="003A2827"/>
    <w:rsid w:val="003A30BC"/>
    <w:rsid w:val="003A35D1"/>
    <w:rsid w:val="003A3CC9"/>
    <w:rsid w:val="003A5514"/>
    <w:rsid w:val="003A5D53"/>
    <w:rsid w:val="003A6EF7"/>
    <w:rsid w:val="003A7197"/>
    <w:rsid w:val="003B0ABB"/>
    <w:rsid w:val="003B1497"/>
    <w:rsid w:val="003B1760"/>
    <w:rsid w:val="003B1F75"/>
    <w:rsid w:val="003B217B"/>
    <w:rsid w:val="003B33D1"/>
    <w:rsid w:val="003B3AA5"/>
    <w:rsid w:val="003B4A16"/>
    <w:rsid w:val="003B5359"/>
    <w:rsid w:val="003B717A"/>
    <w:rsid w:val="003B7B32"/>
    <w:rsid w:val="003C2BD3"/>
    <w:rsid w:val="003C37CF"/>
    <w:rsid w:val="003C3B23"/>
    <w:rsid w:val="003C3CE5"/>
    <w:rsid w:val="003C3F07"/>
    <w:rsid w:val="003D1C02"/>
    <w:rsid w:val="003D225B"/>
    <w:rsid w:val="003D25C7"/>
    <w:rsid w:val="003D2A02"/>
    <w:rsid w:val="003D47B9"/>
    <w:rsid w:val="003D654F"/>
    <w:rsid w:val="003D7607"/>
    <w:rsid w:val="003E15FB"/>
    <w:rsid w:val="003E1809"/>
    <w:rsid w:val="003E1C08"/>
    <w:rsid w:val="003E21A8"/>
    <w:rsid w:val="003E2916"/>
    <w:rsid w:val="003E39C0"/>
    <w:rsid w:val="003E5366"/>
    <w:rsid w:val="003E55A3"/>
    <w:rsid w:val="003E6340"/>
    <w:rsid w:val="003F0FC9"/>
    <w:rsid w:val="003F1206"/>
    <w:rsid w:val="003F175D"/>
    <w:rsid w:val="003F18F7"/>
    <w:rsid w:val="003F1FA5"/>
    <w:rsid w:val="003F3E68"/>
    <w:rsid w:val="003F543E"/>
    <w:rsid w:val="003F5DC5"/>
    <w:rsid w:val="004016B9"/>
    <w:rsid w:val="00401B2D"/>
    <w:rsid w:val="00401FA4"/>
    <w:rsid w:val="00404193"/>
    <w:rsid w:val="0040448F"/>
    <w:rsid w:val="00411625"/>
    <w:rsid w:val="00411D92"/>
    <w:rsid w:val="00412547"/>
    <w:rsid w:val="004141CB"/>
    <w:rsid w:val="00414C58"/>
    <w:rsid w:val="00415981"/>
    <w:rsid w:val="00417430"/>
    <w:rsid w:val="00417DCB"/>
    <w:rsid w:val="00421755"/>
    <w:rsid w:val="004236E8"/>
    <w:rsid w:val="00424AB3"/>
    <w:rsid w:val="00424B2A"/>
    <w:rsid w:val="00424CEA"/>
    <w:rsid w:val="004254EF"/>
    <w:rsid w:val="0042687B"/>
    <w:rsid w:val="00427875"/>
    <w:rsid w:val="004312CB"/>
    <w:rsid w:val="00431F61"/>
    <w:rsid w:val="00432288"/>
    <w:rsid w:val="0043255C"/>
    <w:rsid w:val="00432627"/>
    <w:rsid w:val="00432EE0"/>
    <w:rsid w:val="00434DE2"/>
    <w:rsid w:val="00435DB5"/>
    <w:rsid w:val="00435FBC"/>
    <w:rsid w:val="004377E0"/>
    <w:rsid w:val="00441D08"/>
    <w:rsid w:val="0044200C"/>
    <w:rsid w:val="00442C02"/>
    <w:rsid w:val="00444501"/>
    <w:rsid w:val="00445530"/>
    <w:rsid w:val="00447384"/>
    <w:rsid w:val="004505A4"/>
    <w:rsid w:val="00451ECE"/>
    <w:rsid w:val="00452609"/>
    <w:rsid w:val="00455159"/>
    <w:rsid w:val="00456314"/>
    <w:rsid w:val="00457286"/>
    <w:rsid w:val="00457794"/>
    <w:rsid w:val="00461916"/>
    <w:rsid w:val="00461DC5"/>
    <w:rsid w:val="00462298"/>
    <w:rsid w:val="00464160"/>
    <w:rsid w:val="0046443C"/>
    <w:rsid w:val="00466353"/>
    <w:rsid w:val="00466E0C"/>
    <w:rsid w:val="00470EF3"/>
    <w:rsid w:val="0047476C"/>
    <w:rsid w:val="00474918"/>
    <w:rsid w:val="00474EB7"/>
    <w:rsid w:val="00476DBF"/>
    <w:rsid w:val="00477966"/>
    <w:rsid w:val="004822E4"/>
    <w:rsid w:val="004834FA"/>
    <w:rsid w:val="00483D0D"/>
    <w:rsid w:val="00484A55"/>
    <w:rsid w:val="00484BBE"/>
    <w:rsid w:val="0048616E"/>
    <w:rsid w:val="00490783"/>
    <w:rsid w:val="004924AD"/>
    <w:rsid w:val="00492A08"/>
    <w:rsid w:val="004947A8"/>
    <w:rsid w:val="00497BDC"/>
    <w:rsid w:val="004A0043"/>
    <w:rsid w:val="004A3FA6"/>
    <w:rsid w:val="004A477A"/>
    <w:rsid w:val="004A561D"/>
    <w:rsid w:val="004A757E"/>
    <w:rsid w:val="004B0956"/>
    <w:rsid w:val="004B2611"/>
    <w:rsid w:val="004B3241"/>
    <w:rsid w:val="004B3365"/>
    <w:rsid w:val="004B34FE"/>
    <w:rsid w:val="004B40D4"/>
    <w:rsid w:val="004B6530"/>
    <w:rsid w:val="004C0D3C"/>
    <w:rsid w:val="004C215E"/>
    <w:rsid w:val="004C521E"/>
    <w:rsid w:val="004C74C6"/>
    <w:rsid w:val="004D19A4"/>
    <w:rsid w:val="004D2B5B"/>
    <w:rsid w:val="004D43A9"/>
    <w:rsid w:val="004D5D20"/>
    <w:rsid w:val="004D634D"/>
    <w:rsid w:val="004D7164"/>
    <w:rsid w:val="004D780A"/>
    <w:rsid w:val="004E1735"/>
    <w:rsid w:val="004E1B4B"/>
    <w:rsid w:val="004E228D"/>
    <w:rsid w:val="004E2F25"/>
    <w:rsid w:val="004E3A1E"/>
    <w:rsid w:val="004E41E1"/>
    <w:rsid w:val="004E55DC"/>
    <w:rsid w:val="004E5C3D"/>
    <w:rsid w:val="004F2702"/>
    <w:rsid w:val="004F2B9D"/>
    <w:rsid w:val="004F3715"/>
    <w:rsid w:val="004F649E"/>
    <w:rsid w:val="0050043B"/>
    <w:rsid w:val="00500C5D"/>
    <w:rsid w:val="00501BF3"/>
    <w:rsid w:val="0050266F"/>
    <w:rsid w:val="00502938"/>
    <w:rsid w:val="005077A2"/>
    <w:rsid w:val="00510A3C"/>
    <w:rsid w:val="005128FF"/>
    <w:rsid w:val="0051668C"/>
    <w:rsid w:val="00517190"/>
    <w:rsid w:val="0051770C"/>
    <w:rsid w:val="005177FE"/>
    <w:rsid w:val="00517930"/>
    <w:rsid w:val="0052310D"/>
    <w:rsid w:val="005260CF"/>
    <w:rsid w:val="00526761"/>
    <w:rsid w:val="0052688C"/>
    <w:rsid w:val="005273DA"/>
    <w:rsid w:val="00530E80"/>
    <w:rsid w:val="00531732"/>
    <w:rsid w:val="00533CCB"/>
    <w:rsid w:val="0053428C"/>
    <w:rsid w:val="00537ADF"/>
    <w:rsid w:val="00537D71"/>
    <w:rsid w:val="005400B4"/>
    <w:rsid w:val="0054369A"/>
    <w:rsid w:val="005438CB"/>
    <w:rsid w:val="00544169"/>
    <w:rsid w:val="00544A94"/>
    <w:rsid w:val="0054519D"/>
    <w:rsid w:val="0054673A"/>
    <w:rsid w:val="005478E2"/>
    <w:rsid w:val="00551EF1"/>
    <w:rsid w:val="00551FD1"/>
    <w:rsid w:val="00552B5E"/>
    <w:rsid w:val="00553860"/>
    <w:rsid w:val="0055431B"/>
    <w:rsid w:val="00554D7E"/>
    <w:rsid w:val="00562F5D"/>
    <w:rsid w:val="00563450"/>
    <w:rsid w:val="00563CF7"/>
    <w:rsid w:val="005645B1"/>
    <w:rsid w:val="0056557A"/>
    <w:rsid w:val="00565FDA"/>
    <w:rsid w:val="00566676"/>
    <w:rsid w:val="00567319"/>
    <w:rsid w:val="00570CA5"/>
    <w:rsid w:val="00571DFA"/>
    <w:rsid w:val="00574910"/>
    <w:rsid w:val="00575562"/>
    <w:rsid w:val="00576638"/>
    <w:rsid w:val="00576776"/>
    <w:rsid w:val="005773E4"/>
    <w:rsid w:val="00581F3F"/>
    <w:rsid w:val="00582B4F"/>
    <w:rsid w:val="00582E55"/>
    <w:rsid w:val="0058460F"/>
    <w:rsid w:val="00584FD8"/>
    <w:rsid w:val="0058605F"/>
    <w:rsid w:val="00586442"/>
    <w:rsid w:val="005867A2"/>
    <w:rsid w:val="00586EAD"/>
    <w:rsid w:val="00586F78"/>
    <w:rsid w:val="00587BD2"/>
    <w:rsid w:val="00587E5C"/>
    <w:rsid w:val="00592DC4"/>
    <w:rsid w:val="00595689"/>
    <w:rsid w:val="005969B3"/>
    <w:rsid w:val="005970C6"/>
    <w:rsid w:val="005A00C5"/>
    <w:rsid w:val="005A0DCC"/>
    <w:rsid w:val="005A1111"/>
    <w:rsid w:val="005A1ABB"/>
    <w:rsid w:val="005A2295"/>
    <w:rsid w:val="005A4285"/>
    <w:rsid w:val="005A5610"/>
    <w:rsid w:val="005A6690"/>
    <w:rsid w:val="005B155D"/>
    <w:rsid w:val="005B23A4"/>
    <w:rsid w:val="005B4172"/>
    <w:rsid w:val="005B5642"/>
    <w:rsid w:val="005B6284"/>
    <w:rsid w:val="005B6756"/>
    <w:rsid w:val="005B6F53"/>
    <w:rsid w:val="005B70F7"/>
    <w:rsid w:val="005C0617"/>
    <w:rsid w:val="005C0B1C"/>
    <w:rsid w:val="005C13D6"/>
    <w:rsid w:val="005C231B"/>
    <w:rsid w:val="005C24AF"/>
    <w:rsid w:val="005C27F1"/>
    <w:rsid w:val="005C4011"/>
    <w:rsid w:val="005C42A0"/>
    <w:rsid w:val="005D00ED"/>
    <w:rsid w:val="005D153A"/>
    <w:rsid w:val="005D2FF6"/>
    <w:rsid w:val="005D4148"/>
    <w:rsid w:val="005D6086"/>
    <w:rsid w:val="005D6DB4"/>
    <w:rsid w:val="005E3361"/>
    <w:rsid w:val="005E3892"/>
    <w:rsid w:val="005E3D8B"/>
    <w:rsid w:val="005E5713"/>
    <w:rsid w:val="005E5787"/>
    <w:rsid w:val="005E5D92"/>
    <w:rsid w:val="005E6337"/>
    <w:rsid w:val="005E7EDD"/>
    <w:rsid w:val="005F0628"/>
    <w:rsid w:val="005F22A5"/>
    <w:rsid w:val="005F3591"/>
    <w:rsid w:val="005F3F1C"/>
    <w:rsid w:val="005F7609"/>
    <w:rsid w:val="005F7B55"/>
    <w:rsid w:val="00600200"/>
    <w:rsid w:val="0060068B"/>
    <w:rsid w:val="006011FC"/>
    <w:rsid w:val="00601A3C"/>
    <w:rsid w:val="00603D22"/>
    <w:rsid w:val="00607320"/>
    <w:rsid w:val="006075CC"/>
    <w:rsid w:val="006077A8"/>
    <w:rsid w:val="00607BED"/>
    <w:rsid w:val="0061141E"/>
    <w:rsid w:val="00615D89"/>
    <w:rsid w:val="00616495"/>
    <w:rsid w:val="006168A0"/>
    <w:rsid w:val="00617254"/>
    <w:rsid w:val="00621A68"/>
    <w:rsid w:val="0062601E"/>
    <w:rsid w:val="006278FB"/>
    <w:rsid w:val="00627FEB"/>
    <w:rsid w:val="006307EF"/>
    <w:rsid w:val="00630C65"/>
    <w:rsid w:val="00630CF2"/>
    <w:rsid w:val="006310B0"/>
    <w:rsid w:val="006317CA"/>
    <w:rsid w:val="00632990"/>
    <w:rsid w:val="006331C7"/>
    <w:rsid w:val="006334C1"/>
    <w:rsid w:val="00635588"/>
    <w:rsid w:val="0063780E"/>
    <w:rsid w:val="00637997"/>
    <w:rsid w:val="00640C86"/>
    <w:rsid w:val="0064225F"/>
    <w:rsid w:val="006441AE"/>
    <w:rsid w:val="006443B4"/>
    <w:rsid w:val="00647070"/>
    <w:rsid w:val="0065057F"/>
    <w:rsid w:val="00650BBF"/>
    <w:rsid w:val="00650F27"/>
    <w:rsid w:val="00652491"/>
    <w:rsid w:val="00653C51"/>
    <w:rsid w:val="00656896"/>
    <w:rsid w:val="00656F2F"/>
    <w:rsid w:val="00657786"/>
    <w:rsid w:val="00657E4F"/>
    <w:rsid w:val="006649C0"/>
    <w:rsid w:val="0066626F"/>
    <w:rsid w:val="00667F0E"/>
    <w:rsid w:val="006713F7"/>
    <w:rsid w:val="006725AD"/>
    <w:rsid w:val="00673BEC"/>
    <w:rsid w:val="00673E01"/>
    <w:rsid w:val="00677225"/>
    <w:rsid w:val="00677AA1"/>
    <w:rsid w:val="00680C42"/>
    <w:rsid w:val="00681566"/>
    <w:rsid w:val="00682D65"/>
    <w:rsid w:val="00685806"/>
    <w:rsid w:val="0068621F"/>
    <w:rsid w:val="00691040"/>
    <w:rsid w:val="00691193"/>
    <w:rsid w:val="0069284C"/>
    <w:rsid w:val="00692D58"/>
    <w:rsid w:val="00693063"/>
    <w:rsid w:val="00693D32"/>
    <w:rsid w:val="0069459B"/>
    <w:rsid w:val="006A0BC0"/>
    <w:rsid w:val="006A466C"/>
    <w:rsid w:val="006A4A75"/>
    <w:rsid w:val="006A6044"/>
    <w:rsid w:val="006A62D1"/>
    <w:rsid w:val="006B01D7"/>
    <w:rsid w:val="006B0EC1"/>
    <w:rsid w:val="006B6F8B"/>
    <w:rsid w:val="006B7A26"/>
    <w:rsid w:val="006C1568"/>
    <w:rsid w:val="006C17D9"/>
    <w:rsid w:val="006C1D43"/>
    <w:rsid w:val="006C1FBE"/>
    <w:rsid w:val="006C373D"/>
    <w:rsid w:val="006D006A"/>
    <w:rsid w:val="006D1DD7"/>
    <w:rsid w:val="006D3262"/>
    <w:rsid w:val="006D3448"/>
    <w:rsid w:val="006D4156"/>
    <w:rsid w:val="006D540A"/>
    <w:rsid w:val="006D5512"/>
    <w:rsid w:val="006D7150"/>
    <w:rsid w:val="006D7CDA"/>
    <w:rsid w:val="006D7FC0"/>
    <w:rsid w:val="006E0091"/>
    <w:rsid w:val="006E1383"/>
    <w:rsid w:val="006E193F"/>
    <w:rsid w:val="006E19BC"/>
    <w:rsid w:val="006E58D2"/>
    <w:rsid w:val="006E596B"/>
    <w:rsid w:val="006F28AB"/>
    <w:rsid w:val="006F3868"/>
    <w:rsid w:val="006F5094"/>
    <w:rsid w:val="006F5773"/>
    <w:rsid w:val="006F728A"/>
    <w:rsid w:val="006F73E2"/>
    <w:rsid w:val="00701662"/>
    <w:rsid w:val="00701AE7"/>
    <w:rsid w:val="007028D9"/>
    <w:rsid w:val="00703341"/>
    <w:rsid w:val="00706EBF"/>
    <w:rsid w:val="00707510"/>
    <w:rsid w:val="00707E4C"/>
    <w:rsid w:val="007100DF"/>
    <w:rsid w:val="00711918"/>
    <w:rsid w:val="0071221F"/>
    <w:rsid w:val="007135B1"/>
    <w:rsid w:val="007146BF"/>
    <w:rsid w:val="007150B8"/>
    <w:rsid w:val="00715B68"/>
    <w:rsid w:val="00716794"/>
    <w:rsid w:val="00716C96"/>
    <w:rsid w:val="00721A13"/>
    <w:rsid w:val="00721E48"/>
    <w:rsid w:val="007277C3"/>
    <w:rsid w:val="00730F7A"/>
    <w:rsid w:val="00731F82"/>
    <w:rsid w:val="00733DDA"/>
    <w:rsid w:val="007349DA"/>
    <w:rsid w:val="00734DAD"/>
    <w:rsid w:val="00736353"/>
    <w:rsid w:val="00740DF0"/>
    <w:rsid w:val="007418C7"/>
    <w:rsid w:val="007433FD"/>
    <w:rsid w:val="007435E8"/>
    <w:rsid w:val="00744F32"/>
    <w:rsid w:val="0074754E"/>
    <w:rsid w:val="00747AEC"/>
    <w:rsid w:val="007520AC"/>
    <w:rsid w:val="007522DF"/>
    <w:rsid w:val="00755333"/>
    <w:rsid w:val="00756EF7"/>
    <w:rsid w:val="00757326"/>
    <w:rsid w:val="007579A8"/>
    <w:rsid w:val="00760101"/>
    <w:rsid w:val="00760875"/>
    <w:rsid w:val="00762C0B"/>
    <w:rsid w:val="00762C73"/>
    <w:rsid w:val="00762C76"/>
    <w:rsid w:val="00762CFE"/>
    <w:rsid w:val="007650EB"/>
    <w:rsid w:val="00765860"/>
    <w:rsid w:val="007662F6"/>
    <w:rsid w:val="0076671D"/>
    <w:rsid w:val="00766977"/>
    <w:rsid w:val="00770761"/>
    <w:rsid w:val="00770E50"/>
    <w:rsid w:val="00772933"/>
    <w:rsid w:val="00772EE4"/>
    <w:rsid w:val="00773A7B"/>
    <w:rsid w:val="00777371"/>
    <w:rsid w:val="0077784A"/>
    <w:rsid w:val="00780A09"/>
    <w:rsid w:val="007814D2"/>
    <w:rsid w:val="00781D39"/>
    <w:rsid w:val="00782974"/>
    <w:rsid w:val="0078340F"/>
    <w:rsid w:val="00783412"/>
    <w:rsid w:val="007846BE"/>
    <w:rsid w:val="00784FBA"/>
    <w:rsid w:val="00785DD5"/>
    <w:rsid w:val="00786CAE"/>
    <w:rsid w:val="0079047E"/>
    <w:rsid w:val="007907BD"/>
    <w:rsid w:val="00793A59"/>
    <w:rsid w:val="007947C1"/>
    <w:rsid w:val="007954A1"/>
    <w:rsid w:val="00795605"/>
    <w:rsid w:val="00797978"/>
    <w:rsid w:val="007A07CE"/>
    <w:rsid w:val="007A1055"/>
    <w:rsid w:val="007A32B7"/>
    <w:rsid w:val="007A39E5"/>
    <w:rsid w:val="007B0D63"/>
    <w:rsid w:val="007B103E"/>
    <w:rsid w:val="007B11FF"/>
    <w:rsid w:val="007B47B8"/>
    <w:rsid w:val="007B4E2D"/>
    <w:rsid w:val="007B563F"/>
    <w:rsid w:val="007B6E30"/>
    <w:rsid w:val="007B73C8"/>
    <w:rsid w:val="007B7C83"/>
    <w:rsid w:val="007C0FA0"/>
    <w:rsid w:val="007C2A62"/>
    <w:rsid w:val="007C5E17"/>
    <w:rsid w:val="007C694A"/>
    <w:rsid w:val="007D002C"/>
    <w:rsid w:val="007D1139"/>
    <w:rsid w:val="007D2BA1"/>
    <w:rsid w:val="007D30CC"/>
    <w:rsid w:val="007D4188"/>
    <w:rsid w:val="007D7455"/>
    <w:rsid w:val="007D795C"/>
    <w:rsid w:val="007D7C06"/>
    <w:rsid w:val="007E1151"/>
    <w:rsid w:val="007E2A73"/>
    <w:rsid w:val="007E371D"/>
    <w:rsid w:val="007E5D8B"/>
    <w:rsid w:val="007E61CD"/>
    <w:rsid w:val="007E66FA"/>
    <w:rsid w:val="007E6CA3"/>
    <w:rsid w:val="007E6D04"/>
    <w:rsid w:val="007F0135"/>
    <w:rsid w:val="007F0EC1"/>
    <w:rsid w:val="007F0FD9"/>
    <w:rsid w:val="007F475A"/>
    <w:rsid w:val="007F68A6"/>
    <w:rsid w:val="007F7D4F"/>
    <w:rsid w:val="00800A58"/>
    <w:rsid w:val="008016C0"/>
    <w:rsid w:val="008017B7"/>
    <w:rsid w:val="00801C78"/>
    <w:rsid w:val="00802723"/>
    <w:rsid w:val="00802E80"/>
    <w:rsid w:val="00803C23"/>
    <w:rsid w:val="008047F0"/>
    <w:rsid w:val="008049EC"/>
    <w:rsid w:val="00806F70"/>
    <w:rsid w:val="00807705"/>
    <w:rsid w:val="00810564"/>
    <w:rsid w:val="00810622"/>
    <w:rsid w:val="00811D5B"/>
    <w:rsid w:val="00811DF0"/>
    <w:rsid w:val="008121A0"/>
    <w:rsid w:val="00814D33"/>
    <w:rsid w:val="00815EF7"/>
    <w:rsid w:val="008165D5"/>
    <w:rsid w:val="0081728F"/>
    <w:rsid w:val="0082007C"/>
    <w:rsid w:val="00820207"/>
    <w:rsid w:val="00820B4F"/>
    <w:rsid w:val="00820E68"/>
    <w:rsid w:val="00821C88"/>
    <w:rsid w:val="0082564B"/>
    <w:rsid w:val="008256DC"/>
    <w:rsid w:val="00825F11"/>
    <w:rsid w:val="00827848"/>
    <w:rsid w:val="0083377D"/>
    <w:rsid w:val="0083410D"/>
    <w:rsid w:val="00834643"/>
    <w:rsid w:val="008348C6"/>
    <w:rsid w:val="00836587"/>
    <w:rsid w:val="00837576"/>
    <w:rsid w:val="008377C0"/>
    <w:rsid w:val="0084176A"/>
    <w:rsid w:val="008427DD"/>
    <w:rsid w:val="008443F6"/>
    <w:rsid w:val="0084451F"/>
    <w:rsid w:val="008510D2"/>
    <w:rsid w:val="00851603"/>
    <w:rsid w:val="008518AD"/>
    <w:rsid w:val="00851921"/>
    <w:rsid w:val="00851D90"/>
    <w:rsid w:val="00851F3A"/>
    <w:rsid w:val="00852E59"/>
    <w:rsid w:val="00852EFC"/>
    <w:rsid w:val="008552AC"/>
    <w:rsid w:val="0085531E"/>
    <w:rsid w:val="008579A2"/>
    <w:rsid w:val="00857B52"/>
    <w:rsid w:val="00860515"/>
    <w:rsid w:val="00863715"/>
    <w:rsid w:val="00864A3E"/>
    <w:rsid w:val="00866B9F"/>
    <w:rsid w:val="008718D8"/>
    <w:rsid w:val="008720C6"/>
    <w:rsid w:val="00872630"/>
    <w:rsid w:val="00872BC6"/>
    <w:rsid w:val="00877507"/>
    <w:rsid w:val="00881863"/>
    <w:rsid w:val="00881876"/>
    <w:rsid w:val="00881993"/>
    <w:rsid w:val="008847FB"/>
    <w:rsid w:val="0088504F"/>
    <w:rsid w:val="00886B85"/>
    <w:rsid w:val="00887E74"/>
    <w:rsid w:val="00890457"/>
    <w:rsid w:val="008934F5"/>
    <w:rsid w:val="00896788"/>
    <w:rsid w:val="0089729E"/>
    <w:rsid w:val="008A2C08"/>
    <w:rsid w:val="008A46C7"/>
    <w:rsid w:val="008A6F84"/>
    <w:rsid w:val="008A71AB"/>
    <w:rsid w:val="008B1C59"/>
    <w:rsid w:val="008B3CE2"/>
    <w:rsid w:val="008B4680"/>
    <w:rsid w:val="008B4AAA"/>
    <w:rsid w:val="008B5F8E"/>
    <w:rsid w:val="008B6EEC"/>
    <w:rsid w:val="008B701D"/>
    <w:rsid w:val="008B7358"/>
    <w:rsid w:val="008B749C"/>
    <w:rsid w:val="008B7B50"/>
    <w:rsid w:val="008C2393"/>
    <w:rsid w:val="008C24D9"/>
    <w:rsid w:val="008C307D"/>
    <w:rsid w:val="008C4B2C"/>
    <w:rsid w:val="008C5A16"/>
    <w:rsid w:val="008C5B27"/>
    <w:rsid w:val="008C6218"/>
    <w:rsid w:val="008C6397"/>
    <w:rsid w:val="008C6798"/>
    <w:rsid w:val="008D0330"/>
    <w:rsid w:val="008D1120"/>
    <w:rsid w:val="008D1623"/>
    <w:rsid w:val="008D3179"/>
    <w:rsid w:val="008D4D25"/>
    <w:rsid w:val="008D53CF"/>
    <w:rsid w:val="008D5780"/>
    <w:rsid w:val="008D7635"/>
    <w:rsid w:val="008E28AA"/>
    <w:rsid w:val="008E4B5D"/>
    <w:rsid w:val="008E5152"/>
    <w:rsid w:val="008E5F6C"/>
    <w:rsid w:val="008E78CC"/>
    <w:rsid w:val="008E7CAC"/>
    <w:rsid w:val="008E7E4D"/>
    <w:rsid w:val="008F45E2"/>
    <w:rsid w:val="008F476A"/>
    <w:rsid w:val="008F4EDD"/>
    <w:rsid w:val="008F6052"/>
    <w:rsid w:val="008F6EA8"/>
    <w:rsid w:val="008F7E15"/>
    <w:rsid w:val="00900FBA"/>
    <w:rsid w:val="00901750"/>
    <w:rsid w:val="00902423"/>
    <w:rsid w:val="00904793"/>
    <w:rsid w:val="00905311"/>
    <w:rsid w:val="00905701"/>
    <w:rsid w:val="00905B1B"/>
    <w:rsid w:val="00905BEA"/>
    <w:rsid w:val="0090665C"/>
    <w:rsid w:val="00912AA8"/>
    <w:rsid w:val="00915E1D"/>
    <w:rsid w:val="00916030"/>
    <w:rsid w:val="009163D0"/>
    <w:rsid w:val="0091688E"/>
    <w:rsid w:val="00917A1B"/>
    <w:rsid w:val="00917F73"/>
    <w:rsid w:val="009216ED"/>
    <w:rsid w:val="00922250"/>
    <w:rsid w:val="00922739"/>
    <w:rsid w:val="00924C8D"/>
    <w:rsid w:val="00925B4C"/>
    <w:rsid w:val="009266EF"/>
    <w:rsid w:val="00927ECD"/>
    <w:rsid w:val="0093784F"/>
    <w:rsid w:val="0094463B"/>
    <w:rsid w:val="00944C15"/>
    <w:rsid w:val="0094697B"/>
    <w:rsid w:val="00950A47"/>
    <w:rsid w:val="00950C01"/>
    <w:rsid w:val="00950FF9"/>
    <w:rsid w:val="00953197"/>
    <w:rsid w:val="00955CEB"/>
    <w:rsid w:val="00955F7C"/>
    <w:rsid w:val="00957001"/>
    <w:rsid w:val="0095724F"/>
    <w:rsid w:val="009601CB"/>
    <w:rsid w:val="0096034C"/>
    <w:rsid w:val="009608B1"/>
    <w:rsid w:val="00962C2A"/>
    <w:rsid w:val="00963E5A"/>
    <w:rsid w:val="009670B1"/>
    <w:rsid w:val="0096710C"/>
    <w:rsid w:val="00967984"/>
    <w:rsid w:val="00967C23"/>
    <w:rsid w:val="00971469"/>
    <w:rsid w:val="00971CE9"/>
    <w:rsid w:val="0097280A"/>
    <w:rsid w:val="0097389D"/>
    <w:rsid w:val="0097438F"/>
    <w:rsid w:val="009759DF"/>
    <w:rsid w:val="00976921"/>
    <w:rsid w:val="00976ED7"/>
    <w:rsid w:val="009809EF"/>
    <w:rsid w:val="00980B3A"/>
    <w:rsid w:val="00984D17"/>
    <w:rsid w:val="00985CCE"/>
    <w:rsid w:val="009878E1"/>
    <w:rsid w:val="009935C1"/>
    <w:rsid w:val="00994411"/>
    <w:rsid w:val="00994B62"/>
    <w:rsid w:val="00995037"/>
    <w:rsid w:val="00996DC1"/>
    <w:rsid w:val="00996EC9"/>
    <w:rsid w:val="00997209"/>
    <w:rsid w:val="009A122E"/>
    <w:rsid w:val="009A1557"/>
    <w:rsid w:val="009B04D3"/>
    <w:rsid w:val="009B22AF"/>
    <w:rsid w:val="009B2DFA"/>
    <w:rsid w:val="009B3E80"/>
    <w:rsid w:val="009B44A6"/>
    <w:rsid w:val="009B5033"/>
    <w:rsid w:val="009B5802"/>
    <w:rsid w:val="009B7575"/>
    <w:rsid w:val="009C1AF8"/>
    <w:rsid w:val="009C1F53"/>
    <w:rsid w:val="009C2038"/>
    <w:rsid w:val="009C255D"/>
    <w:rsid w:val="009C2574"/>
    <w:rsid w:val="009C263F"/>
    <w:rsid w:val="009C4F1A"/>
    <w:rsid w:val="009C68D1"/>
    <w:rsid w:val="009C6D8A"/>
    <w:rsid w:val="009D09E7"/>
    <w:rsid w:val="009D11B4"/>
    <w:rsid w:val="009D1A91"/>
    <w:rsid w:val="009D237D"/>
    <w:rsid w:val="009D4F87"/>
    <w:rsid w:val="009D5759"/>
    <w:rsid w:val="009D5C8C"/>
    <w:rsid w:val="009D6840"/>
    <w:rsid w:val="009E1BE1"/>
    <w:rsid w:val="009E2968"/>
    <w:rsid w:val="009E7026"/>
    <w:rsid w:val="009E78F5"/>
    <w:rsid w:val="009E7D0F"/>
    <w:rsid w:val="009F179D"/>
    <w:rsid w:val="009F1AB8"/>
    <w:rsid w:val="009F26C8"/>
    <w:rsid w:val="009F2A68"/>
    <w:rsid w:val="009F3B6A"/>
    <w:rsid w:val="009F426A"/>
    <w:rsid w:val="009F5A4D"/>
    <w:rsid w:val="009F6A2F"/>
    <w:rsid w:val="009F760E"/>
    <w:rsid w:val="00A01329"/>
    <w:rsid w:val="00A03481"/>
    <w:rsid w:val="00A05EE6"/>
    <w:rsid w:val="00A12AE7"/>
    <w:rsid w:val="00A1584C"/>
    <w:rsid w:val="00A15C68"/>
    <w:rsid w:val="00A15D4E"/>
    <w:rsid w:val="00A16668"/>
    <w:rsid w:val="00A20662"/>
    <w:rsid w:val="00A21328"/>
    <w:rsid w:val="00A21A68"/>
    <w:rsid w:val="00A22C13"/>
    <w:rsid w:val="00A22DB6"/>
    <w:rsid w:val="00A234D5"/>
    <w:rsid w:val="00A245F3"/>
    <w:rsid w:val="00A24CD6"/>
    <w:rsid w:val="00A25538"/>
    <w:rsid w:val="00A25A6F"/>
    <w:rsid w:val="00A25F71"/>
    <w:rsid w:val="00A267E1"/>
    <w:rsid w:val="00A27432"/>
    <w:rsid w:val="00A30FDE"/>
    <w:rsid w:val="00A31B54"/>
    <w:rsid w:val="00A33284"/>
    <w:rsid w:val="00A342D2"/>
    <w:rsid w:val="00A34EE8"/>
    <w:rsid w:val="00A36AF2"/>
    <w:rsid w:val="00A370D6"/>
    <w:rsid w:val="00A3710F"/>
    <w:rsid w:val="00A400C3"/>
    <w:rsid w:val="00A4053F"/>
    <w:rsid w:val="00A40CF7"/>
    <w:rsid w:val="00A42D25"/>
    <w:rsid w:val="00A435D4"/>
    <w:rsid w:val="00A45F85"/>
    <w:rsid w:val="00A50C3B"/>
    <w:rsid w:val="00A5220C"/>
    <w:rsid w:val="00A5290F"/>
    <w:rsid w:val="00A53227"/>
    <w:rsid w:val="00A54AEF"/>
    <w:rsid w:val="00A554B1"/>
    <w:rsid w:val="00A55607"/>
    <w:rsid w:val="00A5577D"/>
    <w:rsid w:val="00A558C5"/>
    <w:rsid w:val="00A55A33"/>
    <w:rsid w:val="00A55A7E"/>
    <w:rsid w:val="00A57DCD"/>
    <w:rsid w:val="00A620E5"/>
    <w:rsid w:val="00A63F7E"/>
    <w:rsid w:val="00A644CC"/>
    <w:rsid w:val="00A6507C"/>
    <w:rsid w:val="00A653D2"/>
    <w:rsid w:val="00A715FA"/>
    <w:rsid w:val="00A72A1B"/>
    <w:rsid w:val="00A72A34"/>
    <w:rsid w:val="00A74037"/>
    <w:rsid w:val="00A7436E"/>
    <w:rsid w:val="00A8158D"/>
    <w:rsid w:val="00A8376D"/>
    <w:rsid w:val="00A84FE2"/>
    <w:rsid w:val="00A86A4D"/>
    <w:rsid w:val="00A876BA"/>
    <w:rsid w:val="00A90430"/>
    <w:rsid w:val="00A94CBD"/>
    <w:rsid w:val="00A95254"/>
    <w:rsid w:val="00A967A3"/>
    <w:rsid w:val="00A96EF6"/>
    <w:rsid w:val="00AA0A59"/>
    <w:rsid w:val="00AA11EF"/>
    <w:rsid w:val="00AA1283"/>
    <w:rsid w:val="00AA2D58"/>
    <w:rsid w:val="00AA301A"/>
    <w:rsid w:val="00AA43A2"/>
    <w:rsid w:val="00AA4B26"/>
    <w:rsid w:val="00AA6550"/>
    <w:rsid w:val="00AA73A8"/>
    <w:rsid w:val="00AB3C18"/>
    <w:rsid w:val="00AB4AFA"/>
    <w:rsid w:val="00AB5DAF"/>
    <w:rsid w:val="00AB6648"/>
    <w:rsid w:val="00AB7A10"/>
    <w:rsid w:val="00AB7C54"/>
    <w:rsid w:val="00AC09BB"/>
    <w:rsid w:val="00AC1198"/>
    <w:rsid w:val="00AC18E3"/>
    <w:rsid w:val="00AC25FC"/>
    <w:rsid w:val="00AC33A1"/>
    <w:rsid w:val="00AC4506"/>
    <w:rsid w:val="00AC4736"/>
    <w:rsid w:val="00AC4E81"/>
    <w:rsid w:val="00AC5351"/>
    <w:rsid w:val="00AC7921"/>
    <w:rsid w:val="00AD17CA"/>
    <w:rsid w:val="00AD1BB7"/>
    <w:rsid w:val="00AD212E"/>
    <w:rsid w:val="00AD2136"/>
    <w:rsid w:val="00AD24BC"/>
    <w:rsid w:val="00AD26AE"/>
    <w:rsid w:val="00AD2BA1"/>
    <w:rsid w:val="00AD40D8"/>
    <w:rsid w:val="00AD43C3"/>
    <w:rsid w:val="00AD751C"/>
    <w:rsid w:val="00AE0E06"/>
    <w:rsid w:val="00AE1C75"/>
    <w:rsid w:val="00AE3873"/>
    <w:rsid w:val="00AE4934"/>
    <w:rsid w:val="00AE4F9F"/>
    <w:rsid w:val="00AE5228"/>
    <w:rsid w:val="00AF0054"/>
    <w:rsid w:val="00AF390D"/>
    <w:rsid w:val="00AF4D42"/>
    <w:rsid w:val="00AF5C3F"/>
    <w:rsid w:val="00AF7C64"/>
    <w:rsid w:val="00B00989"/>
    <w:rsid w:val="00B00D5C"/>
    <w:rsid w:val="00B01B85"/>
    <w:rsid w:val="00B03AAF"/>
    <w:rsid w:val="00B049CE"/>
    <w:rsid w:val="00B063F8"/>
    <w:rsid w:val="00B10CF3"/>
    <w:rsid w:val="00B11E48"/>
    <w:rsid w:val="00B12804"/>
    <w:rsid w:val="00B13ABA"/>
    <w:rsid w:val="00B14CF5"/>
    <w:rsid w:val="00B17DA1"/>
    <w:rsid w:val="00B2156B"/>
    <w:rsid w:val="00B2162F"/>
    <w:rsid w:val="00B21F88"/>
    <w:rsid w:val="00B25672"/>
    <w:rsid w:val="00B25B46"/>
    <w:rsid w:val="00B261B2"/>
    <w:rsid w:val="00B2757A"/>
    <w:rsid w:val="00B3312F"/>
    <w:rsid w:val="00B33A1D"/>
    <w:rsid w:val="00B33F12"/>
    <w:rsid w:val="00B346D0"/>
    <w:rsid w:val="00B3666C"/>
    <w:rsid w:val="00B40EE1"/>
    <w:rsid w:val="00B41559"/>
    <w:rsid w:val="00B41731"/>
    <w:rsid w:val="00B44DEB"/>
    <w:rsid w:val="00B4720B"/>
    <w:rsid w:val="00B47475"/>
    <w:rsid w:val="00B479AF"/>
    <w:rsid w:val="00B47C92"/>
    <w:rsid w:val="00B50585"/>
    <w:rsid w:val="00B50F24"/>
    <w:rsid w:val="00B512AF"/>
    <w:rsid w:val="00B527C8"/>
    <w:rsid w:val="00B52DF2"/>
    <w:rsid w:val="00B533FF"/>
    <w:rsid w:val="00B5489B"/>
    <w:rsid w:val="00B5723B"/>
    <w:rsid w:val="00B57F52"/>
    <w:rsid w:val="00B60C16"/>
    <w:rsid w:val="00B60FE7"/>
    <w:rsid w:val="00B617AE"/>
    <w:rsid w:val="00B63433"/>
    <w:rsid w:val="00B63A41"/>
    <w:rsid w:val="00B64072"/>
    <w:rsid w:val="00B65BE7"/>
    <w:rsid w:val="00B76C99"/>
    <w:rsid w:val="00B7718B"/>
    <w:rsid w:val="00B77ECA"/>
    <w:rsid w:val="00B81FEE"/>
    <w:rsid w:val="00B83012"/>
    <w:rsid w:val="00B83655"/>
    <w:rsid w:val="00B83F94"/>
    <w:rsid w:val="00B84A0C"/>
    <w:rsid w:val="00B84FBF"/>
    <w:rsid w:val="00B931DF"/>
    <w:rsid w:val="00B93CC9"/>
    <w:rsid w:val="00B95C56"/>
    <w:rsid w:val="00B96BC5"/>
    <w:rsid w:val="00B96F83"/>
    <w:rsid w:val="00B97A27"/>
    <w:rsid w:val="00B97D43"/>
    <w:rsid w:val="00BA0F08"/>
    <w:rsid w:val="00BA12EC"/>
    <w:rsid w:val="00BA303C"/>
    <w:rsid w:val="00BA589F"/>
    <w:rsid w:val="00BA71A6"/>
    <w:rsid w:val="00BB07CE"/>
    <w:rsid w:val="00BB1E0F"/>
    <w:rsid w:val="00BB255E"/>
    <w:rsid w:val="00BB46BA"/>
    <w:rsid w:val="00BB5FFC"/>
    <w:rsid w:val="00BB6AD3"/>
    <w:rsid w:val="00BB7E3D"/>
    <w:rsid w:val="00BC6972"/>
    <w:rsid w:val="00BC76B1"/>
    <w:rsid w:val="00BC7B60"/>
    <w:rsid w:val="00BD2550"/>
    <w:rsid w:val="00BD2B5B"/>
    <w:rsid w:val="00BD41A4"/>
    <w:rsid w:val="00BD479C"/>
    <w:rsid w:val="00BD5054"/>
    <w:rsid w:val="00BE24A0"/>
    <w:rsid w:val="00BE2A64"/>
    <w:rsid w:val="00BE32D9"/>
    <w:rsid w:val="00BE6070"/>
    <w:rsid w:val="00BE64DF"/>
    <w:rsid w:val="00BE7760"/>
    <w:rsid w:val="00BF3FCE"/>
    <w:rsid w:val="00BF501C"/>
    <w:rsid w:val="00BF54E1"/>
    <w:rsid w:val="00BF5611"/>
    <w:rsid w:val="00BF5B56"/>
    <w:rsid w:val="00BF6826"/>
    <w:rsid w:val="00BF6C4F"/>
    <w:rsid w:val="00BF7889"/>
    <w:rsid w:val="00C0271D"/>
    <w:rsid w:val="00C02DC7"/>
    <w:rsid w:val="00C059DA"/>
    <w:rsid w:val="00C06D13"/>
    <w:rsid w:val="00C0701C"/>
    <w:rsid w:val="00C0711F"/>
    <w:rsid w:val="00C079B6"/>
    <w:rsid w:val="00C10E98"/>
    <w:rsid w:val="00C112C1"/>
    <w:rsid w:val="00C126D2"/>
    <w:rsid w:val="00C13249"/>
    <w:rsid w:val="00C16B3C"/>
    <w:rsid w:val="00C2043D"/>
    <w:rsid w:val="00C21184"/>
    <w:rsid w:val="00C231EA"/>
    <w:rsid w:val="00C2341D"/>
    <w:rsid w:val="00C2544B"/>
    <w:rsid w:val="00C25785"/>
    <w:rsid w:val="00C322C1"/>
    <w:rsid w:val="00C3379E"/>
    <w:rsid w:val="00C34A87"/>
    <w:rsid w:val="00C366E7"/>
    <w:rsid w:val="00C3695A"/>
    <w:rsid w:val="00C36B06"/>
    <w:rsid w:val="00C36F2C"/>
    <w:rsid w:val="00C4078A"/>
    <w:rsid w:val="00C41206"/>
    <w:rsid w:val="00C4166E"/>
    <w:rsid w:val="00C42F1D"/>
    <w:rsid w:val="00C44466"/>
    <w:rsid w:val="00C44F26"/>
    <w:rsid w:val="00C45810"/>
    <w:rsid w:val="00C45A81"/>
    <w:rsid w:val="00C45E4E"/>
    <w:rsid w:val="00C47A12"/>
    <w:rsid w:val="00C51895"/>
    <w:rsid w:val="00C52A24"/>
    <w:rsid w:val="00C52E57"/>
    <w:rsid w:val="00C52FB1"/>
    <w:rsid w:val="00C56C6A"/>
    <w:rsid w:val="00C577AA"/>
    <w:rsid w:val="00C6140B"/>
    <w:rsid w:val="00C64DD4"/>
    <w:rsid w:val="00C67ABC"/>
    <w:rsid w:val="00C703F0"/>
    <w:rsid w:val="00C7046E"/>
    <w:rsid w:val="00C7135F"/>
    <w:rsid w:val="00C72800"/>
    <w:rsid w:val="00C7285B"/>
    <w:rsid w:val="00C72D10"/>
    <w:rsid w:val="00C72EBA"/>
    <w:rsid w:val="00C75211"/>
    <w:rsid w:val="00C7558D"/>
    <w:rsid w:val="00C75C08"/>
    <w:rsid w:val="00C75CDB"/>
    <w:rsid w:val="00C770E6"/>
    <w:rsid w:val="00C777F2"/>
    <w:rsid w:val="00C8078D"/>
    <w:rsid w:val="00C82D1D"/>
    <w:rsid w:val="00C83A0C"/>
    <w:rsid w:val="00C848CA"/>
    <w:rsid w:val="00C90032"/>
    <w:rsid w:val="00C90235"/>
    <w:rsid w:val="00C90952"/>
    <w:rsid w:val="00C92B56"/>
    <w:rsid w:val="00C969A2"/>
    <w:rsid w:val="00C97284"/>
    <w:rsid w:val="00CA0762"/>
    <w:rsid w:val="00CA07F8"/>
    <w:rsid w:val="00CA0CBA"/>
    <w:rsid w:val="00CA2E52"/>
    <w:rsid w:val="00CA3EDB"/>
    <w:rsid w:val="00CA4F93"/>
    <w:rsid w:val="00CA7C6B"/>
    <w:rsid w:val="00CB24C4"/>
    <w:rsid w:val="00CB2677"/>
    <w:rsid w:val="00CB39C3"/>
    <w:rsid w:val="00CB4AEF"/>
    <w:rsid w:val="00CB6F87"/>
    <w:rsid w:val="00CB7B12"/>
    <w:rsid w:val="00CC0043"/>
    <w:rsid w:val="00CC36BA"/>
    <w:rsid w:val="00CC372E"/>
    <w:rsid w:val="00CC420A"/>
    <w:rsid w:val="00CC4234"/>
    <w:rsid w:val="00CC470F"/>
    <w:rsid w:val="00CC5834"/>
    <w:rsid w:val="00CC6BF3"/>
    <w:rsid w:val="00CC7B2B"/>
    <w:rsid w:val="00CC7BF9"/>
    <w:rsid w:val="00CD04EE"/>
    <w:rsid w:val="00CD073F"/>
    <w:rsid w:val="00CD372D"/>
    <w:rsid w:val="00CD3A05"/>
    <w:rsid w:val="00CD3A7D"/>
    <w:rsid w:val="00CD47F5"/>
    <w:rsid w:val="00CD6A8A"/>
    <w:rsid w:val="00CD7B12"/>
    <w:rsid w:val="00CE04A9"/>
    <w:rsid w:val="00CE0A10"/>
    <w:rsid w:val="00CE1A6A"/>
    <w:rsid w:val="00CE1A98"/>
    <w:rsid w:val="00CE1D9B"/>
    <w:rsid w:val="00CE2227"/>
    <w:rsid w:val="00CE2300"/>
    <w:rsid w:val="00CE4A34"/>
    <w:rsid w:val="00CE5C26"/>
    <w:rsid w:val="00CE7D55"/>
    <w:rsid w:val="00CE7F69"/>
    <w:rsid w:val="00CF0A42"/>
    <w:rsid w:val="00CF0C9D"/>
    <w:rsid w:val="00CF3F49"/>
    <w:rsid w:val="00CF4484"/>
    <w:rsid w:val="00CF6DF3"/>
    <w:rsid w:val="00CF75D1"/>
    <w:rsid w:val="00D0047B"/>
    <w:rsid w:val="00D00A69"/>
    <w:rsid w:val="00D01BA5"/>
    <w:rsid w:val="00D021EA"/>
    <w:rsid w:val="00D0231D"/>
    <w:rsid w:val="00D02D60"/>
    <w:rsid w:val="00D045B1"/>
    <w:rsid w:val="00D051FA"/>
    <w:rsid w:val="00D05544"/>
    <w:rsid w:val="00D05576"/>
    <w:rsid w:val="00D05916"/>
    <w:rsid w:val="00D110A7"/>
    <w:rsid w:val="00D1138C"/>
    <w:rsid w:val="00D114F8"/>
    <w:rsid w:val="00D12752"/>
    <w:rsid w:val="00D12C09"/>
    <w:rsid w:val="00D15C58"/>
    <w:rsid w:val="00D173D4"/>
    <w:rsid w:val="00D178A7"/>
    <w:rsid w:val="00D202CB"/>
    <w:rsid w:val="00D21D5E"/>
    <w:rsid w:val="00D23783"/>
    <w:rsid w:val="00D2448F"/>
    <w:rsid w:val="00D24760"/>
    <w:rsid w:val="00D26B1C"/>
    <w:rsid w:val="00D30BBF"/>
    <w:rsid w:val="00D3121C"/>
    <w:rsid w:val="00D31A0C"/>
    <w:rsid w:val="00D31C13"/>
    <w:rsid w:val="00D32023"/>
    <w:rsid w:val="00D32BE9"/>
    <w:rsid w:val="00D33019"/>
    <w:rsid w:val="00D33B6F"/>
    <w:rsid w:val="00D34435"/>
    <w:rsid w:val="00D34528"/>
    <w:rsid w:val="00D3480E"/>
    <w:rsid w:val="00D35669"/>
    <w:rsid w:val="00D356AF"/>
    <w:rsid w:val="00D373C9"/>
    <w:rsid w:val="00D403FC"/>
    <w:rsid w:val="00D40430"/>
    <w:rsid w:val="00D40493"/>
    <w:rsid w:val="00D40A40"/>
    <w:rsid w:val="00D42950"/>
    <w:rsid w:val="00D4589C"/>
    <w:rsid w:val="00D4636F"/>
    <w:rsid w:val="00D465B8"/>
    <w:rsid w:val="00D47520"/>
    <w:rsid w:val="00D50537"/>
    <w:rsid w:val="00D51262"/>
    <w:rsid w:val="00D51F2B"/>
    <w:rsid w:val="00D53322"/>
    <w:rsid w:val="00D53BFC"/>
    <w:rsid w:val="00D54693"/>
    <w:rsid w:val="00D573F3"/>
    <w:rsid w:val="00D5760B"/>
    <w:rsid w:val="00D60C2C"/>
    <w:rsid w:val="00D60D60"/>
    <w:rsid w:val="00D613CD"/>
    <w:rsid w:val="00D64887"/>
    <w:rsid w:val="00D65828"/>
    <w:rsid w:val="00D70B62"/>
    <w:rsid w:val="00D72B83"/>
    <w:rsid w:val="00D72CCD"/>
    <w:rsid w:val="00D72EF4"/>
    <w:rsid w:val="00D7330B"/>
    <w:rsid w:val="00D7602C"/>
    <w:rsid w:val="00D76498"/>
    <w:rsid w:val="00D76D84"/>
    <w:rsid w:val="00D77476"/>
    <w:rsid w:val="00D77C75"/>
    <w:rsid w:val="00D80A54"/>
    <w:rsid w:val="00D82247"/>
    <w:rsid w:val="00D83DF5"/>
    <w:rsid w:val="00D83EC2"/>
    <w:rsid w:val="00D83F94"/>
    <w:rsid w:val="00D859FC"/>
    <w:rsid w:val="00D865E0"/>
    <w:rsid w:val="00D92314"/>
    <w:rsid w:val="00D92C96"/>
    <w:rsid w:val="00D943DE"/>
    <w:rsid w:val="00D9519F"/>
    <w:rsid w:val="00D95219"/>
    <w:rsid w:val="00D95F98"/>
    <w:rsid w:val="00D97454"/>
    <w:rsid w:val="00D97677"/>
    <w:rsid w:val="00DA04FD"/>
    <w:rsid w:val="00DA367C"/>
    <w:rsid w:val="00DA4649"/>
    <w:rsid w:val="00DA47FB"/>
    <w:rsid w:val="00DA4D0A"/>
    <w:rsid w:val="00DA4E06"/>
    <w:rsid w:val="00DA7F8E"/>
    <w:rsid w:val="00DB1155"/>
    <w:rsid w:val="00DB1339"/>
    <w:rsid w:val="00DB2570"/>
    <w:rsid w:val="00DB4F7F"/>
    <w:rsid w:val="00DB536D"/>
    <w:rsid w:val="00DB5491"/>
    <w:rsid w:val="00DB5FC2"/>
    <w:rsid w:val="00DC0CB1"/>
    <w:rsid w:val="00DC1749"/>
    <w:rsid w:val="00DC2508"/>
    <w:rsid w:val="00DC27A2"/>
    <w:rsid w:val="00DC287E"/>
    <w:rsid w:val="00DC2E2C"/>
    <w:rsid w:val="00DC3BCD"/>
    <w:rsid w:val="00DC4493"/>
    <w:rsid w:val="00DD1950"/>
    <w:rsid w:val="00DD2385"/>
    <w:rsid w:val="00DD256C"/>
    <w:rsid w:val="00DD2A30"/>
    <w:rsid w:val="00DD30EA"/>
    <w:rsid w:val="00DD4371"/>
    <w:rsid w:val="00DD5D10"/>
    <w:rsid w:val="00DD6660"/>
    <w:rsid w:val="00DD6748"/>
    <w:rsid w:val="00DE0C46"/>
    <w:rsid w:val="00DE11EF"/>
    <w:rsid w:val="00DE1790"/>
    <w:rsid w:val="00DE3E04"/>
    <w:rsid w:val="00DE4C22"/>
    <w:rsid w:val="00DE547F"/>
    <w:rsid w:val="00DE68DD"/>
    <w:rsid w:val="00DE7FC6"/>
    <w:rsid w:val="00DF1214"/>
    <w:rsid w:val="00DF2A78"/>
    <w:rsid w:val="00DF3806"/>
    <w:rsid w:val="00DF417D"/>
    <w:rsid w:val="00DF486A"/>
    <w:rsid w:val="00DF53B6"/>
    <w:rsid w:val="00DF73C2"/>
    <w:rsid w:val="00E00438"/>
    <w:rsid w:val="00E023B3"/>
    <w:rsid w:val="00E02D15"/>
    <w:rsid w:val="00E030CF"/>
    <w:rsid w:val="00E03808"/>
    <w:rsid w:val="00E038AF"/>
    <w:rsid w:val="00E0521F"/>
    <w:rsid w:val="00E055C0"/>
    <w:rsid w:val="00E0568F"/>
    <w:rsid w:val="00E06D45"/>
    <w:rsid w:val="00E0741F"/>
    <w:rsid w:val="00E10AED"/>
    <w:rsid w:val="00E10B08"/>
    <w:rsid w:val="00E12399"/>
    <w:rsid w:val="00E12D91"/>
    <w:rsid w:val="00E12FA4"/>
    <w:rsid w:val="00E15818"/>
    <w:rsid w:val="00E15C61"/>
    <w:rsid w:val="00E162E3"/>
    <w:rsid w:val="00E168E9"/>
    <w:rsid w:val="00E17E38"/>
    <w:rsid w:val="00E20678"/>
    <w:rsid w:val="00E2090D"/>
    <w:rsid w:val="00E25AFA"/>
    <w:rsid w:val="00E267E5"/>
    <w:rsid w:val="00E2715B"/>
    <w:rsid w:val="00E27796"/>
    <w:rsid w:val="00E3142C"/>
    <w:rsid w:val="00E317E5"/>
    <w:rsid w:val="00E320E3"/>
    <w:rsid w:val="00E32C1A"/>
    <w:rsid w:val="00E34908"/>
    <w:rsid w:val="00E34E8B"/>
    <w:rsid w:val="00E36369"/>
    <w:rsid w:val="00E371B4"/>
    <w:rsid w:val="00E37436"/>
    <w:rsid w:val="00E37EBA"/>
    <w:rsid w:val="00E408BC"/>
    <w:rsid w:val="00E41819"/>
    <w:rsid w:val="00E43496"/>
    <w:rsid w:val="00E4349C"/>
    <w:rsid w:val="00E43DDA"/>
    <w:rsid w:val="00E43F49"/>
    <w:rsid w:val="00E5084B"/>
    <w:rsid w:val="00E52A0F"/>
    <w:rsid w:val="00E52BA9"/>
    <w:rsid w:val="00E54482"/>
    <w:rsid w:val="00E5464B"/>
    <w:rsid w:val="00E56445"/>
    <w:rsid w:val="00E56689"/>
    <w:rsid w:val="00E612D1"/>
    <w:rsid w:val="00E627A5"/>
    <w:rsid w:val="00E65061"/>
    <w:rsid w:val="00E6639A"/>
    <w:rsid w:val="00E67802"/>
    <w:rsid w:val="00E72E84"/>
    <w:rsid w:val="00E75584"/>
    <w:rsid w:val="00E76B2E"/>
    <w:rsid w:val="00E82661"/>
    <w:rsid w:val="00E82AAD"/>
    <w:rsid w:val="00E843A0"/>
    <w:rsid w:val="00E84C87"/>
    <w:rsid w:val="00E855F7"/>
    <w:rsid w:val="00E8738D"/>
    <w:rsid w:val="00E87EA5"/>
    <w:rsid w:val="00E925E3"/>
    <w:rsid w:val="00E93031"/>
    <w:rsid w:val="00E944CE"/>
    <w:rsid w:val="00E9457E"/>
    <w:rsid w:val="00E94D89"/>
    <w:rsid w:val="00E94DD8"/>
    <w:rsid w:val="00E95DB3"/>
    <w:rsid w:val="00E979B4"/>
    <w:rsid w:val="00E97C0F"/>
    <w:rsid w:val="00EA3691"/>
    <w:rsid w:val="00EA4052"/>
    <w:rsid w:val="00EA47B4"/>
    <w:rsid w:val="00EA5E95"/>
    <w:rsid w:val="00EA6885"/>
    <w:rsid w:val="00EA722B"/>
    <w:rsid w:val="00EB02CB"/>
    <w:rsid w:val="00EB0C53"/>
    <w:rsid w:val="00EB4BE4"/>
    <w:rsid w:val="00EB7631"/>
    <w:rsid w:val="00EB785B"/>
    <w:rsid w:val="00EB785E"/>
    <w:rsid w:val="00EB78D2"/>
    <w:rsid w:val="00EB797C"/>
    <w:rsid w:val="00EC0D9C"/>
    <w:rsid w:val="00EC1897"/>
    <w:rsid w:val="00EC249B"/>
    <w:rsid w:val="00EC45FA"/>
    <w:rsid w:val="00EC5DB9"/>
    <w:rsid w:val="00EC79C7"/>
    <w:rsid w:val="00ED05B0"/>
    <w:rsid w:val="00ED1CAC"/>
    <w:rsid w:val="00ED34DC"/>
    <w:rsid w:val="00ED3F30"/>
    <w:rsid w:val="00ED49ED"/>
    <w:rsid w:val="00EE0A03"/>
    <w:rsid w:val="00EE0C7C"/>
    <w:rsid w:val="00EE297C"/>
    <w:rsid w:val="00EE2B3D"/>
    <w:rsid w:val="00EE51FC"/>
    <w:rsid w:val="00EF0F41"/>
    <w:rsid w:val="00EF5C8E"/>
    <w:rsid w:val="00EF672D"/>
    <w:rsid w:val="00EF678E"/>
    <w:rsid w:val="00EF6BF8"/>
    <w:rsid w:val="00EF711D"/>
    <w:rsid w:val="00F01F4B"/>
    <w:rsid w:val="00F02221"/>
    <w:rsid w:val="00F04249"/>
    <w:rsid w:val="00F05C3E"/>
    <w:rsid w:val="00F07CFD"/>
    <w:rsid w:val="00F10843"/>
    <w:rsid w:val="00F10D5D"/>
    <w:rsid w:val="00F11305"/>
    <w:rsid w:val="00F11460"/>
    <w:rsid w:val="00F11828"/>
    <w:rsid w:val="00F12009"/>
    <w:rsid w:val="00F122A6"/>
    <w:rsid w:val="00F12BAD"/>
    <w:rsid w:val="00F16BBF"/>
    <w:rsid w:val="00F1745C"/>
    <w:rsid w:val="00F17468"/>
    <w:rsid w:val="00F210D6"/>
    <w:rsid w:val="00F21D9F"/>
    <w:rsid w:val="00F221E4"/>
    <w:rsid w:val="00F23CB9"/>
    <w:rsid w:val="00F24553"/>
    <w:rsid w:val="00F24D7B"/>
    <w:rsid w:val="00F2563B"/>
    <w:rsid w:val="00F25FDD"/>
    <w:rsid w:val="00F30178"/>
    <w:rsid w:val="00F30C30"/>
    <w:rsid w:val="00F30F67"/>
    <w:rsid w:val="00F317D4"/>
    <w:rsid w:val="00F34728"/>
    <w:rsid w:val="00F34F9D"/>
    <w:rsid w:val="00F359DF"/>
    <w:rsid w:val="00F35DA4"/>
    <w:rsid w:val="00F35F77"/>
    <w:rsid w:val="00F36113"/>
    <w:rsid w:val="00F405D3"/>
    <w:rsid w:val="00F41969"/>
    <w:rsid w:val="00F4256C"/>
    <w:rsid w:val="00F44324"/>
    <w:rsid w:val="00F4464A"/>
    <w:rsid w:val="00F46A0E"/>
    <w:rsid w:val="00F471D7"/>
    <w:rsid w:val="00F479E4"/>
    <w:rsid w:val="00F5273D"/>
    <w:rsid w:val="00F53DA3"/>
    <w:rsid w:val="00F54D38"/>
    <w:rsid w:val="00F561E6"/>
    <w:rsid w:val="00F57942"/>
    <w:rsid w:val="00F600DB"/>
    <w:rsid w:val="00F607F2"/>
    <w:rsid w:val="00F60B52"/>
    <w:rsid w:val="00F6274F"/>
    <w:rsid w:val="00F62FE7"/>
    <w:rsid w:val="00F6419C"/>
    <w:rsid w:val="00F64E47"/>
    <w:rsid w:val="00F65F94"/>
    <w:rsid w:val="00F7267D"/>
    <w:rsid w:val="00F76344"/>
    <w:rsid w:val="00F76C0C"/>
    <w:rsid w:val="00F779B5"/>
    <w:rsid w:val="00F83263"/>
    <w:rsid w:val="00F851D2"/>
    <w:rsid w:val="00F85C35"/>
    <w:rsid w:val="00F87456"/>
    <w:rsid w:val="00F879D8"/>
    <w:rsid w:val="00F90928"/>
    <w:rsid w:val="00F92174"/>
    <w:rsid w:val="00F92447"/>
    <w:rsid w:val="00F92684"/>
    <w:rsid w:val="00F9366A"/>
    <w:rsid w:val="00F93AEF"/>
    <w:rsid w:val="00F94A4D"/>
    <w:rsid w:val="00F96B32"/>
    <w:rsid w:val="00F9720E"/>
    <w:rsid w:val="00F97336"/>
    <w:rsid w:val="00F976BB"/>
    <w:rsid w:val="00F97F8C"/>
    <w:rsid w:val="00F97FAD"/>
    <w:rsid w:val="00FA218E"/>
    <w:rsid w:val="00FA2353"/>
    <w:rsid w:val="00FA2C02"/>
    <w:rsid w:val="00FA2DA5"/>
    <w:rsid w:val="00FA34E1"/>
    <w:rsid w:val="00FA4FBE"/>
    <w:rsid w:val="00FA5A59"/>
    <w:rsid w:val="00FA6E5C"/>
    <w:rsid w:val="00FB0422"/>
    <w:rsid w:val="00FB1443"/>
    <w:rsid w:val="00FB4E87"/>
    <w:rsid w:val="00FB7777"/>
    <w:rsid w:val="00FB7BB0"/>
    <w:rsid w:val="00FC0B56"/>
    <w:rsid w:val="00FC107D"/>
    <w:rsid w:val="00FC16CD"/>
    <w:rsid w:val="00FC1CA5"/>
    <w:rsid w:val="00FC321C"/>
    <w:rsid w:val="00FC32B8"/>
    <w:rsid w:val="00FC3595"/>
    <w:rsid w:val="00FC6069"/>
    <w:rsid w:val="00FC6715"/>
    <w:rsid w:val="00FD0702"/>
    <w:rsid w:val="00FD08E6"/>
    <w:rsid w:val="00FD2517"/>
    <w:rsid w:val="00FD29B4"/>
    <w:rsid w:val="00FD3A13"/>
    <w:rsid w:val="00FD3C5B"/>
    <w:rsid w:val="00FD7911"/>
    <w:rsid w:val="00FE00FF"/>
    <w:rsid w:val="00FE53F3"/>
    <w:rsid w:val="00FF04FB"/>
    <w:rsid w:val="00FF28A8"/>
    <w:rsid w:val="00FF39D8"/>
    <w:rsid w:val="00FF3D46"/>
    <w:rsid w:val="00FF3EA2"/>
    <w:rsid w:val="00FF6AC7"/>
    <w:rsid w:val="00FF773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90147"/>
  <w15:docId w15:val="{D801680D-770B-4B6F-8368-982FDEFA6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3F7"/>
    <w:pPr>
      <w:ind w:firstLine="720"/>
      <w:jc w:val="both"/>
      <w:textAlignment w:val="baseline"/>
    </w:pPr>
    <w:rPr>
      <w:rFonts w:ascii="Times New Roman" w:eastAsiaTheme="majorEastAsia" w:hAnsi="Times New Roman" w:cs="Times New Roman"/>
      <w:kern w:val="0"/>
      <w:sz w:val="22"/>
      <w:szCs w:val="22"/>
      <w:lang w:eastAsia="en-GB"/>
      <w14:ligatures w14:val="none"/>
    </w:rPr>
  </w:style>
  <w:style w:type="paragraph" w:styleId="Heading1">
    <w:name w:val="heading 1"/>
    <w:basedOn w:val="Normal"/>
    <w:next w:val="Normal"/>
    <w:link w:val="Heading1Char"/>
    <w:uiPriority w:val="9"/>
    <w:qFormat/>
    <w:rsid w:val="00C67ABC"/>
    <w:pPr>
      <w:keepNext/>
      <w:keepLines/>
      <w:numPr>
        <w:numId w:val="7"/>
      </w:numPr>
      <w:spacing w:before="240" w:after="360"/>
      <w:jc w:val="center"/>
      <w:outlineLvl w:val="0"/>
    </w:pPr>
    <w:rPr>
      <w:rFonts w:eastAsiaTheme="minorHAnsi"/>
      <w:b/>
      <w:bCs/>
      <w:sz w:val="24"/>
      <w:szCs w:val="24"/>
      <w:lang w:eastAsia="en-US"/>
      <w14:ligatures w14:val="standardContextual"/>
    </w:rPr>
  </w:style>
  <w:style w:type="paragraph" w:styleId="Heading2">
    <w:name w:val="heading 2"/>
    <w:basedOn w:val="Normal"/>
    <w:next w:val="Normal"/>
    <w:link w:val="Heading2Char"/>
    <w:uiPriority w:val="9"/>
    <w:unhideWhenUsed/>
    <w:qFormat/>
    <w:rsid w:val="008427DD"/>
    <w:pPr>
      <w:keepNext/>
      <w:keepLines/>
      <w:numPr>
        <w:ilvl w:val="1"/>
        <w:numId w:val="7"/>
      </w:numPr>
      <w:spacing w:before="240"/>
      <w:outlineLvl w:val="1"/>
    </w:pPr>
    <w:rPr>
      <w:rFonts w:cstheme="majorBidi"/>
      <w:b/>
      <w:sz w:val="24"/>
      <w:szCs w:val="32"/>
    </w:rPr>
  </w:style>
  <w:style w:type="paragraph" w:styleId="Heading3">
    <w:name w:val="heading 3"/>
    <w:basedOn w:val="Normal"/>
    <w:next w:val="Normal"/>
    <w:link w:val="Heading3Char"/>
    <w:uiPriority w:val="9"/>
    <w:unhideWhenUsed/>
    <w:qFormat/>
    <w:rsid w:val="00B25B46"/>
    <w:pPr>
      <w:numPr>
        <w:ilvl w:val="2"/>
        <w:numId w:val="7"/>
      </w:numPr>
      <w:outlineLvl w:val="2"/>
    </w:pPr>
    <w:rPr>
      <w:b/>
      <w:bCs/>
      <w:i/>
      <w:sz w:val="24"/>
      <w:szCs w:val="24"/>
      <w:lang w:eastAsia="en-US"/>
    </w:rPr>
  </w:style>
  <w:style w:type="paragraph" w:styleId="Heading4">
    <w:name w:val="heading 4"/>
    <w:basedOn w:val="Normal"/>
    <w:next w:val="Normal"/>
    <w:link w:val="Heading4Char"/>
    <w:uiPriority w:val="9"/>
    <w:semiHidden/>
    <w:unhideWhenUsed/>
    <w:qFormat/>
    <w:rsid w:val="00BC76B1"/>
    <w:pPr>
      <w:keepNext/>
      <w:keepLines/>
      <w:numPr>
        <w:ilvl w:val="3"/>
        <w:numId w:val="7"/>
      </w:numPr>
      <w:spacing w:before="80" w:after="40"/>
      <w:outlineLvl w:val="3"/>
    </w:pPr>
    <w:rPr>
      <w:rFonts w:cstheme="majorBidi"/>
      <w:i/>
      <w:iCs/>
      <w:color w:val="0F4761" w:themeColor="accent1" w:themeShade="BF"/>
    </w:rPr>
  </w:style>
  <w:style w:type="paragraph" w:styleId="Heading5">
    <w:name w:val="heading 5"/>
    <w:basedOn w:val="Normal"/>
    <w:next w:val="Normal"/>
    <w:link w:val="Heading5Char"/>
    <w:uiPriority w:val="9"/>
    <w:semiHidden/>
    <w:unhideWhenUsed/>
    <w:qFormat/>
    <w:rsid w:val="00BC76B1"/>
    <w:pPr>
      <w:keepNext/>
      <w:keepLines/>
      <w:numPr>
        <w:ilvl w:val="4"/>
        <w:numId w:val="7"/>
      </w:numPr>
      <w:spacing w:before="80" w:after="40"/>
      <w:outlineLvl w:val="4"/>
    </w:pPr>
    <w:rPr>
      <w:rFonts w:cstheme="majorBidi"/>
      <w:color w:val="0F4761" w:themeColor="accent1" w:themeShade="BF"/>
    </w:rPr>
  </w:style>
  <w:style w:type="paragraph" w:styleId="Heading6">
    <w:name w:val="heading 6"/>
    <w:basedOn w:val="Normal"/>
    <w:next w:val="Normal"/>
    <w:link w:val="Heading6Char"/>
    <w:uiPriority w:val="9"/>
    <w:semiHidden/>
    <w:unhideWhenUsed/>
    <w:qFormat/>
    <w:rsid w:val="00BC76B1"/>
    <w:pPr>
      <w:keepNext/>
      <w:keepLines/>
      <w:numPr>
        <w:ilvl w:val="5"/>
        <w:numId w:val="7"/>
      </w:numPr>
      <w:spacing w:before="40"/>
      <w:outlineLvl w:val="5"/>
    </w:pPr>
    <w:rPr>
      <w:rFonts w:cstheme="majorBidi"/>
      <w:i/>
      <w:iCs/>
      <w:color w:val="595959" w:themeColor="text1" w:themeTint="A6"/>
    </w:rPr>
  </w:style>
  <w:style w:type="paragraph" w:styleId="Heading7">
    <w:name w:val="heading 7"/>
    <w:basedOn w:val="Normal"/>
    <w:next w:val="Normal"/>
    <w:link w:val="Heading7Char"/>
    <w:uiPriority w:val="9"/>
    <w:semiHidden/>
    <w:unhideWhenUsed/>
    <w:qFormat/>
    <w:rsid w:val="00BC76B1"/>
    <w:pPr>
      <w:keepNext/>
      <w:keepLines/>
      <w:numPr>
        <w:ilvl w:val="6"/>
        <w:numId w:val="7"/>
      </w:numPr>
      <w:spacing w:before="40"/>
      <w:outlineLvl w:val="6"/>
    </w:pPr>
    <w:rPr>
      <w:rFonts w:cstheme="majorBidi"/>
      <w:color w:val="595959" w:themeColor="text1" w:themeTint="A6"/>
    </w:rPr>
  </w:style>
  <w:style w:type="paragraph" w:styleId="Heading8">
    <w:name w:val="heading 8"/>
    <w:basedOn w:val="Normal"/>
    <w:next w:val="Normal"/>
    <w:link w:val="Heading8Char"/>
    <w:uiPriority w:val="9"/>
    <w:semiHidden/>
    <w:unhideWhenUsed/>
    <w:qFormat/>
    <w:rsid w:val="00BC76B1"/>
    <w:pPr>
      <w:keepNext/>
      <w:keepLines/>
      <w:numPr>
        <w:ilvl w:val="7"/>
        <w:numId w:val="7"/>
      </w:numPr>
      <w:outlineLvl w:val="7"/>
    </w:pPr>
    <w:rPr>
      <w:rFonts w:cstheme="majorBidi"/>
      <w:i/>
      <w:iCs/>
      <w:color w:val="272727" w:themeColor="text1" w:themeTint="D8"/>
    </w:rPr>
  </w:style>
  <w:style w:type="paragraph" w:styleId="Heading9">
    <w:name w:val="heading 9"/>
    <w:basedOn w:val="Normal"/>
    <w:next w:val="Normal"/>
    <w:link w:val="Heading9Char"/>
    <w:uiPriority w:val="9"/>
    <w:semiHidden/>
    <w:unhideWhenUsed/>
    <w:qFormat/>
    <w:rsid w:val="00BC76B1"/>
    <w:pPr>
      <w:keepNext/>
      <w:keepLines/>
      <w:numPr>
        <w:ilvl w:val="8"/>
        <w:numId w:val="7"/>
      </w:numPr>
      <w:outlineLvl w:val="8"/>
    </w:pPr>
    <w:rPr>
      <w:rFonts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7ABC"/>
    <w:rPr>
      <w:rFonts w:ascii="Times New Roman" w:hAnsi="Times New Roman" w:cs="Times New Roman"/>
      <w:b/>
      <w:bCs/>
      <w:kern w:val="0"/>
    </w:rPr>
  </w:style>
  <w:style w:type="character" w:customStyle="1" w:styleId="Heading2Char">
    <w:name w:val="Heading 2 Char"/>
    <w:basedOn w:val="DefaultParagraphFont"/>
    <w:link w:val="Heading2"/>
    <w:uiPriority w:val="9"/>
    <w:rsid w:val="008427DD"/>
    <w:rPr>
      <w:rFonts w:ascii="Times New Roman" w:eastAsiaTheme="majorEastAsia" w:hAnsi="Times New Roman" w:cstheme="majorBidi"/>
      <w:b/>
      <w:kern w:val="0"/>
      <w:szCs w:val="32"/>
      <w:lang w:eastAsia="en-GB"/>
      <w14:ligatures w14:val="none"/>
    </w:rPr>
  </w:style>
  <w:style w:type="character" w:customStyle="1" w:styleId="Heading3Char">
    <w:name w:val="Heading 3 Char"/>
    <w:basedOn w:val="DefaultParagraphFont"/>
    <w:link w:val="Heading3"/>
    <w:uiPriority w:val="9"/>
    <w:rsid w:val="00B25B46"/>
    <w:rPr>
      <w:rFonts w:ascii="Times New Roman" w:eastAsiaTheme="majorEastAsia" w:hAnsi="Times New Roman" w:cs="Times New Roman"/>
      <w:b/>
      <w:bCs/>
      <w:i/>
      <w:kern w:val="0"/>
      <w14:ligatures w14:val="none"/>
    </w:rPr>
  </w:style>
  <w:style w:type="character" w:customStyle="1" w:styleId="Heading4Char">
    <w:name w:val="Heading 4 Char"/>
    <w:basedOn w:val="DefaultParagraphFont"/>
    <w:link w:val="Heading4"/>
    <w:uiPriority w:val="9"/>
    <w:semiHidden/>
    <w:rsid w:val="00BC76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6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6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6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6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6B1"/>
    <w:rPr>
      <w:rFonts w:eastAsiaTheme="majorEastAsia" w:cstheme="majorBidi"/>
      <w:color w:val="272727" w:themeColor="text1" w:themeTint="D8"/>
    </w:rPr>
  </w:style>
  <w:style w:type="paragraph" w:styleId="Title">
    <w:name w:val="Title"/>
    <w:basedOn w:val="Normal"/>
    <w:next w:val="Normal"/>
    <w:link w:val="TitleChar"/>
    <w:uiPriority w:val="10"/>
    <w:qFormat/>
    <w:rsid w:val="00BC76B1"/>
    <w:pPr>
      <w:spacing w:after="80" w:line="240" w:lineRule="auto"/>
      <w:contextualSpacing/>
    </w:pPr>
    <w:rPr>
      <w:rFonts w:asciiTheme="majorHAnsi" w:hAnsiTheme="majorHAnsi" w:cstheme="majorBidi"/>
      <w:spacing w:val="-10"/>
      <w:kern w:val="28"/>
      <w:sz w:val="56"/>
      <w:szCs w:val="56"/>
    </w:rPr>
  </w:style>
  <w:style w:type="character" w:customStyle="1" w:styleId="TitleChar">
    <w:name w:val="Title Char"/>
    <w:basedOn w:val="DefaultParagraphFont"/>
    <w:link w:val="Title"/>
    <w:uiPriority w:val="10"/>
    <w:rsid w:val="00BC76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6B1"/>
    <w:pPr>
      <w:numPr>
        <w:ilvl w:val="1"/>
      </w:numPr>
      <w:ind w:firstLine="720"/>
    </w:pPr>
    <w:rPr>
      <w:rFonts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6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6B1"/>
    <w:pPr>
      <w:spacing w:before="160"/>
      <w:jc w:val="center"/>
    </w:pPr>
    <w:rPr>
      <w:i/>
      <w:iCs/>
      <w:color w:val="404040" w:themeColor="text1" w:themeTint="BF"/>
    </w:rPr>
  </w:style>
  <w:style w:type="character" w:customStyle="1" w:styleId="QuoteChar">
    <w:name w:val="Quote Char"/>
    <w:basedOn w:val="DefaultParagraphFont"/>
    <w:link w:val="Quote"/>
    <w:uiPriority w:val="29"/>
    <w:rsid w:val="00BC76B1"/>
    <w:rPr>
      <w:i/>
      <w:iCs/>
      <w:color w:val="404040" w:themeColor="text1" w:themeTint="BF"/>
    </w:rPr>
  </w:style>
  <w:style w:type="paragraph" w:styleId="ListParagraph">
    <w:name w:val="List Paragraph"/>
    <w:basedOn w:val="Normal"/>
    <w:uiPriority w:val="34"/>
    <w:qFormat/>
    <w:rsid w:val="00BC76B1"/>
    <w:pPr>
      <w:ind w:left="720"/>
      <w:contextualSpacing/>
    </w:pPr>
  </w:style>
  <w:style w:type="character" w:styleId="IntenseEmphasis">
    <w:name w:val="Intense Emphasis"/>
    <w:basedOn w:val="DefaultParagraphFont"/>
    <w:uiPriority w:val="21"/>
    <w:qFormat/>
    <w:rsid w:val="00BC76B1"/>
    <w:rPr>
      <w:i/>
      <w:iCs/>
      <w:color w:val="0F4761" w:themeColor="accent1" w:themeShade="BF"/>
    </w:rPr>
  </w:style>
  <w:style w:type="paragraph" w:styleId="IntenseQuote">
    <w:name w:val="Intense Quote"/>
    <w:basedOn w:val="Normal"/>
    <w:next w:val="Normal"/>
    <w:link w:val="IntenseQuoteChar"/>
    <w:uiPriority w:val="30"/>
    <w:qFormat/>
    <w:rsid w:val="00BC76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6B1"/>
    <w:rPr>
      <w:i/>
      <w:iCs/>
      <w:color w:val="0F4761" w:themeColor="accent1" w:themeShade="BF"/>
    </w:rPr>
  </w:style>
  <w:style w:type="character" w:styleId="IntenseReference">
    <w:name w:val="Intense Reference"/>
    <w:basedOn w:val="DefaultParagraphFont"/>
    <w:uiPriority w:val="32"/>
    <w:qFormat/>
    <w:rsid w:val="00BC76B1"/>
    <w:rPr>
      <w:b/>
      <w:bCs/>
      <w:smallCaps/>
      <w:color w:val="0F4761" w:themeColor="accent1" w:themeShade="BF"/>
      <w:spacing w:val="5"/>
    </w:rPr>
  </w:style>
  <w:style w:type="paragraph" w:customStyle="1" w:styleId="paragraph">
    <w:name w:val="paragraph"/>
    <w:basedOn w:val="Normal"/>
    <w:rsid w:val="00B12804"/>
    <w:pPr>
      <w:spacing w:before="100" w:beforeAutospacing="1" w:after="100" w:afterAutospacing="1" w:line="240" w:lineRule="auto"/>
    </w:pPr>
    <w:rPr>
      <w:rFonts w:eastAsia="Times New Roman"/>
    </w:rPr>
  </w:style>
  <w:style w:type="character" w:customStyle="1" w:styleId="normaltextrun">
    <w:name w:val="normaltextrun"/>
    <w:basedOn w:val="DefaultParagraphFont"/>
    <w:rsid w:val="00B12804"/>
  </w:style>
  <w:style w:type="character" w:customStyle="1" w:styleId="eop">
    <w:name w:val="eop"/>
    <w:basedOn w:val="DefaultParagraphFont"/>
    <w:rsid w:val="00B12804"/>
  </w:style>
  <w:style w:type="paragraph" w:styleId="NormalWeb">
    <w:name w:val="Normal (Web)"/>
    <w:basedOn w:val="Normal"/>
    <w:uiPriority w:val="99"/>
    <w:semiHidden/>
    <w:unhideWhenUsed/>
    <w:rsid w:val="000B47D0"/>
    <w:pPr>
      <w:spacing w:before="100" w:beforeAutospacing="1" w:after="100" w:afterAutospacing="1" w:line="240" w:lineRule="auto"/>
      <w:jc w:val="left"/>
      <w:textAlignment w:val="auto"/>
    </w:pPr>
    <w:rPr>
      <w:rFonts w:eastAsia="Times New Roman"/>
      <w:sz w:val="24"/>
      <w:szCs w:val="24"/>
    </w:rPr>
  </w:style>
  <w:style w:type="character" w:styleId="Hyperlink">
    <w:name w:val="Hyperlink"/>
    <w:basedOn w:val="DefaultParagraphFont"/>
    <w:uiPriority w:val="99"/>
    <w:unhideWhenUsed/>
    <w:rsid w:val="00B83012"/>
    <w:rPr>
      <w:color w:val="0000FF"/>
      <w:u w:val="single"/>
    </w:rPr>
  </w:style>
  <w:style w:type="paragraph" w:styleId="Bibliography">
    <w:name w:val="Bibliography"/>
    <w:basedOn w:val="Normal"/>
    <w:next w:val="Normal"/>
    <w:uiPriority w:val="37"/>
    <w:unhideWhenUsed/>
    <w:rsid w:val="0069284C"/>
    <w:pPr>
      <w:tabs>
        <w:tab w:val="left" w:pos="384"/>
      </w:tabs>
      <w:spacing w:after="240" w:line="240" w:lineRule="auto"/>
      <w:ind w:left="384" w:hanging="384"/>
    </w:pPr>
  </w:style>
  <w:style w:type="paragraph" w:styleId="Revision">
    <w:name w:val="Revision"/>
    <w:hidden/>
    <w:uiPriority w:val="99"/>
    <w:semiHidden/>
    <w:rsid w:val="001A7D36"/>
    <w:pPr>
      <w:spacing w:after="0" w:line="240" w:lineRule="auto"/>
    </w:pPr>
    <w:rPr>
      <w:rFonts w:ascii="Times New Roman" w:eastAsiaTheme="majorEastAsia" w:hAnsi="Times New Roman" w:cs="Times New Roman"/>
      <w:kern w:val="0"/>
      <w:sz w:val="22"/>
      <w:szCs w:val="22"/>
      <w:lang w:eastAsia="en-GB"/>
      <w14:ligatures w14:val="none"/>
    </w:rPr>
  </w:style>
  <w:style w:type="table" w:styleId="TableGrid">
    <w:name w:val="Table Grid"/>
    <w:basedOn w:val="TableNormal"/>
    <w:uiPriority w:val="39"/>
    <w:rsid w:val="005F2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5B27"/>
    <w:pPr>
      <w:tabs>
        <w:tab w:val="center" w:pos="4536"/>
        <w:tab w:val="right" w:pos="9072"/>
      </w:tabs>
      <w:spacing w:after="0" w:line="240" w:lineRule="auto"/>
    </w:pPr>
  </w:style>
  <w:style w:type="character" w:customStyle="1" w:styleId="HeaderChar">
    <w:name w:val="Header Char"/>
    <w:basedOn w:val="DefaultParagraphFont"/>
    <w:link w:val="Header"/>
    <w:uiPriority w:val="99"/>
    <w:rsid w:val="008C5B27"/>
    <w:rPr>
      <w:rFonts w:ascii="Times New Roman" w:eastAsiaTheme="majorEastAsia" w:hAnsi="Times New Roman" w:cs="Times New Roman"/>
      <w:kern w:val="0"/>
      <w:sz w:val="22"/>
      <w:szCs w:val="22"/>
      <w:lang w:eastAsia="en-GB"/>
      <w14:ligatures w14:val="none"/>
    </w:rPr>
  </w:style>
  <w:style w:type="paragraph" w:styleId="Footer">
    <w:name w:val="footer"/>
    <w:basedOn w:val="Normal"/>
    <w:link w:val="FooterChar"/>
    <w:uiPriority w:val="99"/>
    <w:unhideWhenUsed/>
    <w:rsid w:val="008C5B27"/>
    <w:pPr>
      <w:tabs>
        <w:tab w:val="center" w:pos="4536"/>
        <w:tab w:val="right" w:pos="9072"/>
      </w:tabs>
      <w:spacing w:after="0" w:line="240" w:lineRule="auto"/>
    </w:pPr>
  </w:style>
  <w:style w:type="character" w:customStyle="1" w:styleId="FooterChar">
    <w:name w:val="Footer Char"/>
    <w:basedOn w:val="DefaultParagraphFont"/>
    <w:link w:val="Footer"/>
    <w:uiPriority w:val="99"/>
    <w:rsid w:val="008C5B27"/>
    <w:rPr>
      <w:rFonts w:ascii="Times New Roman" w:eastAsiaTheme="majorEastAsia" w:hAnsi="Times New Roman" w:cs="Times New Roman"/>
      <w:kern w:val="0"/>
      <w:sz w:val="22"/>
      <w:szCs w:val="22"/>
      <w:lang w:eastAsia="en-GB"/>
      <w14:ligatures w14:val="none"/>
    </w:rPr>
  </w:style>
  <w:style w:type="character" w:styleId="UnresolvedMention">
    <w:name w:val="Unresolved Mention"/>
    <w:basedOn w:val="DefaultParagraphFont"/>
    <w:uiPriority w:val="99"/>
    <w:semiHidden/>
    <w:unhideWhenUsed/>
    <w:rsid w:val="00BB1E0F"/>
    <w:rPr>
      <w:color w:val="605E5C"/>
      <w:shd w:val="clear" w:color="auto" w:fill="E1DFDD"/>
    </w:rPr>
  </w:style>
  <w:style w:type="numbering" w:customStyle="1" w:styleId="Aucuneliste1">
    <w:name w:val="Aucune liste1"/>
    <w:next w:val="NoList"/>
    <w:uiPriority w:val="99"/>
    <w:semiHidden/>
    <w:unhideWhenUsed/>
    <w:rsid w:val="00BF5611"/>
  </w:style>
  <w:style w:type="paragraph" w:styleId="EndnoteText">
    <w:name w:val="endnote text"/>
    <w:basedOn w:val="Normal"/>
    <w:link w:val="EndnoteTextChar"/>
    <w:uiPriority w:val="99"/>
    <w:semiHidden/>
    <w:unhideWhenUsed/>
    <w:rsid w:val="00BF5611"/>
    <w:pPr>
      <w:spacing w:after="0" w:line="240" w:lineRule="auto"/>
      <w:ind w:firstLine="0"/>
      <w:jc w:val="left"/>
      <w:textAlignment w:val="auto"/>
    </w:pPr>
    <w:rPr>
      <w:rFonts w:asciiTheme="minorHAnsi" w:eastAsiaTheme="minorHAnsi" w:hAnsiTheme="minorHAnsi" w:cstheme="minorBidi"/>
      <w:kern w:val="2"/>
      <w:sz w:val="20"/>
      <w:szCs w:val="20"/>
      <w:lang w:eastAsia="en-US"/>
    </w:rPr>
  </w:style>
  <w:style w:type="character" w:customStyle="1" w:styleId="EndnoteTextChar">
    <w:name w:val="Endnote Text Char"/>
    <w:basedOn w:val="DefaultParagraphFont"/>
    <w:link w:val="EndnoteText"/>
    <w:uiPriority w:val="99"/>
    <w:semiHidden/>
    <w:rsid w:val="00BF5611"/>
    <w:rPr>
      <w:sz w:val="20"/>
      <w:szCs w:val="20"/>
      <w14:ligatures w14:val="none"/>
    </w:rPr>
  </w:style>
  <w:style w:type="character" w:styleId="EndnoteReference">
    <w:name w:val="endnote reference"/>
    <w:basedOn w:val="DefaultParagraphFont"/>
    <w:uiPriority w:val="99"/>
    <w:semiHidden/>
    <w:unhideWhenUsed/>
    <w:rsid w:val="00BF5611"/>
    <w:rPr>
      <w:vertAlign w:val="superscript"/>
    </w:rPr>
  </w:style>
  <w:style w:type="character" w:customStyle="1" w:styleId="anchor-text">
    <w:name w:val="anchor-text"/>
    <w:basedOn w:val="DefaultParagraphFont"/>
    <w:rsid w:val="009D11B4"/>
  </w:style>
  <w:style w:type="character" w:styleId="CommentReference">
    <w:name w:val="annotation reference"/>
    <w:basedOn w:val="DefaultParagraphFont"/>
    <w:uiPriority w:val="99"/>
    <w:semiHidden/>
    <w:unhideWhenUsed/>
    <w:rsid w:val="006E596B"/>
    <w:rPr>
      <w:sz w:val="16"/>
      <w:szCs w:val="16"/>
    </w:rPr>
  </w:style>
  <w:style w:type="paragraph" w:styleId="CommentText">
    <w:name w:val="annotation text"/>
    <w:basedOn w:val="Normal"/>
    <w:link w:val="CommentTextChar"/>
    <w:uiPriority w:val="99"/>
    <w:unhideWhenUsed/>
    <w:rsid w:val="006E596B"/>
    <w:pPr>
      <w:spacing w:line="240" w:lineRule="auto"/>
    </w:pPr>
    <w:rPr>
      <w:sz w:val="20"/>
      <w:szCs w:val="20"/>
    </w:rPr>
  </w:style>
  <w:style w:type="character" w:customStyle="1" w:styleId="CommentTextChar">
    <w:name w:val="Comment Text Char"/>
    <w:basedOn w:val="DefaultParagraphFont"/>
    <w:link w:val="CommentText"/>
    <w:uiPriority w:val="99"/>
    <w:rsid w:val="006E596B"/>
    <w:rPr>
      <w:rFonts w:ascii="Times New Roman" w:eastAsiaTheme="majorEastAsia"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6E596B"/>
    <w:rPr>
      <w:b/>
      <w:bCs/>
    </w:rPr>
  </w:style>
  <w:style w:type="character" w:customStyle="1" w:styleId="CommentSubjectChar">
    <w:name w:val="Comment Subject Char"/>
    <w:basedOn w:val="CommentTextChar"/>
    <w:link w:val="CommentSubject"/>
    <w:uiPriority w:val="99"/>
    <w:semiHidden/>
    <w:rsid w:val="006E596B"/>
    <w:rPr>
      <w:rFonts w:ascii="Times New Roman" w:eastAsiaTheme="majorEastAsia" w:hAnsi="Times New Roman" w:cs="Times New Roman"/>
      <w:b/>
      <w:bCs/>
      <w:kern w:val="0"/>
      <w:sz w:val="20"/>
      <w:szCs w:val="20"/>
      <w:lang w:eastAsia="en-GB"/>
      <w14:ligatures w14:val="none"/>
    </w:rPr>
  </w:style>
  <w:style w:type="paragraph" w:styleId="Caption">
    <w:name w:val="caption"/>
    <w:basedOn w:val="Normal"/>
    <w:next w:val="Normal"/>
    <w:uiPriority w:val="35"/>
    <w:unhideWhenUsed/>
    <w:qFormat/>
    <w:rsid w:val="00B96F83"/>
    <w:pPr>
      <w:spacing w:after="200" w:line="240" w:lineRule="auto"/>
    </w:pPr>
    <w:rPr>
      <w:i/>
      <w:iCs/>
      <w:color w:val="0E2841" w:themeColor="text2"/>
      <w:sz w:val="18"/>
      <w:szCs w:val="18"/>
    </w:rPr>
  </w:style>
  <w:style w:type="character" w:styleId="LineNumber">
    <w:name w:val="line number"/>
    <w:basedOn w:val="DefaultParagraphFont"/>
    <w:uiPriority w:val="99"/>
    <w:semiHidden/>
    <w:unhideWhenUsed/>
    <w:rsid w:val="007B1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04277">
      <w:bodyDiv w:val="1"/>
      <w:marLeft w:val="0"/>
      <w:marRight w:val="0"/>
      <w:marTop w:val="0"/>
      <w:marBottom w:val="0"/>
      <w:divBdr>
        <w:top w:val="none" w:sz="0" w:space="0" w:color="auto"/>
        <w:left w:val="none" w:sz="0" w:space="0" w:color="auto"/>
        <w:bottom w:val="none" w:sz="0" w:space="0" w:color="auto"/>
        <w:right w:val="none" w:sz="0" w:space="0" w:color="auto"/>
      </w:divBdr>
    </w:div>
    <w:div w:id="89157555">
      <w:bodyDiv w:val="1"/>
      <w:marLeft w:val="0"/>
      <w:marRight w:val="0"/>
      <w:marTop w:val="0"/>
      <w:marBottom w:val="0"/>
      <w:divBdr>
        <w:top w:val="none" w:sz="0" w:space="0" w:color="auto"/>
        <w:left w:val="none" w:sz="0" w:space="0" w:color="auto"/>
        <w:bottom w:val="none" w:sz="0" w:space="0" w:color="auto"/>
        <w:right w:val="none" w:sz="0" w:space="0" w:color="auto"/>
      </w:divBdr>
    </w:div>
    <w:div w:id="234239444">
      <w:bodyDiv w:val="1"/>
      <w:marLeft w:val="0"/>
      <w:marRight w:val="0"/>
      <w:marTop w:val="0"/>
      <w:marBottom w:val="0"/>
      <w:divBdr>
        <w:top w:val="none" w:sz="0" w:space="0" w:color="auto"/>
        <w:left w:val="none" w:sz="0" w:space="0" w:color="auto"/>
        <w:bottom w:val="none" w:sz="0" w:space="0" w:color="auto"/>
        <w:right w:val="none" w:sz="0" w:space="0" w:color="auto"/>
      </w:divBdr>
    </w:div>
    <w:div w:id="278024694">
      <w:bodyDiv w:val="1"/>
      <w:marLeft w:val="0"/>
      <w:marRight w:val="0"/>
      <w:marTop w:val="0"/>
      <w:marBottom w:val="0"/>
      <w:divBdr>
        <w:top w:val="none" w:sz="0" w:space="0" w:color="auto"/>
        <w:left w:val="none" w:sz="0" w:space="0" w:color="auto"/>
        <w:bottom w:val="none" w:sz="0" w:space="0" w:color="auto"/>
        <w:right w:val="none" w:sz="0" w:space="0" w:color="auto"/>
      </w:divBdr>
    </w:div>
    <w:div w:id="306129261">
      <w:bodyDiv w:val="1"/>
      <w:marLeft w:val="0"/>
      <w:marRight w:val="0"/>
      <w:marTop w:val="0"/>
      <w:marBottom w:val="0"/>
      <w:divBdr>
        <w:top w:val="none" w:sz="0" w:space="0" w:color="auto"/>
        <w:left w:val="none" w:sz="0" w:space="0" w:color="auto"/>
        <w:bottom w:val="none" w:sz="0" w:space="0" w:color="auto"/>
        <w:right w:val="none" w:sz="0" w:space="0" w:color="auto"/>
      </w:divBdr>
    </w:div>
    <w:div w:id="333533262">
      <w:bodyDiv w:val="1"/>
      <w:marLeft w:val="0"/>
      <w:marRight w:val="0"/>
      <w:marTop w:val="0"/>
      <w:marBottom w:val="0"/>
      <w:divBdr>
        <w:top w:val="none" w:sz="0" w:space="0" w:color="auto"/>
        <w:left w:val="none" w:sz="0" w:space="0" w:color="auto"/>
        <w:bottom w:val="none" w:sz="0" w:space="0" w:color="auto"/>
        <w:right w:val="none" w:sz="0" w:space="0" w:color="auto"/>
      </w:divBdr>
    </w:div>
    <w:div w:id="364790322">
      <w:bodyDiv w:val="1"/>
      <w:marLeft w:val="0"/>
      <w:marRight w:val="0"/>
      <w:marTop w:val="0"/>
      <w:marBottom w:val="0"/>
      <w:divBdr>
        <w:top w:val="none" w:sz="0" w:space="0" w:color="auto"/>
        <w:left w:val="none" w:sz="0" w:space="0" w:color="auto"/>
        <w:bottom w:val="none" w:sz="0" w:space="0" w:color="auto"/>
        <w:right w:val="none" w:sz="0" w:space="0" w:color="auto"/>
      </w:divBdr>
    </w:div>
    <w:div w:id="374426141">
      <w:bodyDiv w:val="1"/>
      <w:marLeft w:val="0"/>
      <w:marRight w:val="0"/>
      <w:marTop w:val="0"/>
      <w:marBottom w:val="0"/>
      <w:divBdr>
        <w:top w:val="none" w:sz="0" w:space="0" w:color="auto"/>
        <w:left w:val="none" w:sz="0" w:space="0" w:color="auto"/>
        <w:bottom w:val="none" w:sz="0" w:space="0" w:color="auto"/>
        <w:right w:val="none" w:sz="0" w:space="0" w:color="auto"/>
      </w:divBdr>
    </w:div>
    <w:div w:id="408623424">
      <w:bodyDiv w:val="1"/>
      <w:marLeft w:val="0"/>
      <w:marRight w:val="0"/>
      <w:marTop w:val="0"/>
      <w:marBottom w:val="0"/>
      <w:divBdr>
        <w:top w:val="none" w:sz="0" w:space="0" w:color="auto"/>
        <w:left w:val="none" w:sz="0" w:space="0" w:color="auto"/>
        <w:bottom w:val="none" w:sz="0" w:space="0" w:color="auto"/>
        <w:right w:val="none" w:sz="0" w:space="0" w:color="auto"/>
      </w:divBdr>
    </w:div>
    <w:div w:id="470026414">
      <w:bodyDiv w:val="1"/>
      <w:marLeft w:val="0"/>
      <w:marRight w:val="0"/>
      <w:marTop w:val="0"/>
      <w:marBottom w:val="0"/>
      <w:divBdr>
        <w:top w:val="none" w:sz="0" w:space="0" w:color="auto"/>
        <w:left w:val="none" w:sz="0" w:space="0" w:color="auto"/>
        <w:bottom w:val="none" w:sz="0" w:space="0" w:color="auto"/>
        <w:right w:val="none" w:sz="0" w:space="0" w:color="auto"/>
      </w:divBdr>
    </w:div>
    <w:div w:id="491724952">
      <w:bodyDiv w:val="1"/>
      <w:marLeft w:val="0"/>
      <w:marRight w:val="0"/>
      <w:marTop w:val="0"/>
      <w:marBottom w:val="0"/>
      <w:divBdr>
        <w:top w:val="none" w:sz="0" w:space="0" w:color="auto"/>
        <w:left w:val="none" w:sz="0" w:space="0" w:color="auto"/>
        <w:bottom w:val="none" w:sz="0" w:space="0" w:color="auto"/>
        <w:right w:val="none" w:sz="0" w:space="0" w:color="auto"/>
      </w:divBdr>
    </w:div>
    <w:div w:id="541525602">
      <w:bodyDiv w:val="1"/>
      <w:marLeft w:val="0"/>
      <w:marRight w:val="0"/>
      <w:marTop w:val="0"/>
      <w:marBottom w:val="0"/>
      <w:divBdr>
        <w:top w:val="none" w:sz="0" w:space="0" w:color="auto"/>
        <w:left w:val="none" w:sz="0" w:space="0" w:color="auto"/>
        <w:bottom w:val="none" w:sz="0" w:space="0" w:color="auto"/>
        <w:right w:val="none" w:sz="0" w:space="0" w:color="auto"/>
      </w:divBdr>
    </w:div>
    <w:div w:id="554004120">
      <w:bodyDiv w:val="1"/>
      <w:marLeft w:val="0"/>
      <w:marRight w:val="0"/>
      <w:marTop w:val="0"/>
      <w:marBottom w:val="0"/>
      <w:divBdr>
        <w:top w:val="none" w:sz="0" w:space="0" w:color="auto"/>
        <w:left w:val="none" w:sz="0" w:space="0" w:color="auto"/>
        <w:bottom w:val="none" w:sz="0" w:space="0" w:color="auto"/>
        <w:right w:val="none" w:sz="0" w:space="0" w:color="auto"/>
      </w:divBdr>
    </w:div>
    <w:div w:id="581333874">
      <w:bodyDiv w:val="1"/>
      <w:marLeft w:val="0"/>
      <w:marRight w:val="0"/>
      <w:marTop w:val="0"/>
      <w:marBottom w:val="0"/>
      <w:divBdr>
        <w:top w:val="none" w:sz="0" w:space="0" w:color="auto"/>
        <w:left w:val="none" w:sz="0" w:space="0" w:color="auto"/>
        <w:bottom w:val="none" w:sz="0" w:space="0" w:color="auto"/>
        <w:right w:val="none" w:sz="0" w:space="0" w:color="auto"/>
      </w:divBdr>
      <w:divsChild>
        <w:div w:id="4407130">
          <w:marLeft w:val="0"/>
          <w:marRight w:val="0"/>
          <w:marTop w:val="0"/>
          <w:marBottom w:val="0"/>
          <w:divBdr>
            <w:top w:val="none" w:sz="0" w:space="0" w:color="auto"/>
            <w:left w:val="none" w:sz="0" w:space="0" w:color="auto"/>
            <w:bottom w:val="none" w:sz="0" w:space="0" w:color="auto"/>
            <w:right w:val="none" w:sz="0" w:space="0" w:color="auto"/>
          </w:divBdr>
        </w:div>
        <w:div w:id="56052247">
          <w:marLeft w:val="0"/>
          <w:marRight w:val="0"/>
          <w:marTop w:val="0"/>
          <w:marBottom w:val="0"/>
          <w:divBdr>
            <w:top w:val="none" w:sz="0" w:space="0" w:color="auto"/>
            <w:left w:val="none" w:sz="0" w:space="0" w:color="auto"/>
            <w:bottom w:val="none" w:sz="0" w:space="0" w:color="auto"/>
            <w:right w:val="none" w:sz="0" w:space="0" w:color="auto"/>
          </w:divBdr>
        </w:div>
        <w:div w:id="88890138">
          <w:marLeft w:val="0"/>
          <w:marRight w:val="0"/>
          <w:marTop w:val="0"/>
          <w:marBottom w:val="0"/>
          <w:divBdr>
            <w:top w:val="none" w:sz="0" w:space="0" w:color="auto"/>
            <w:left w:val="none" w:sz="0" w:space="0" w:color="auto"/>
            <w:bottom w:val="none" w:sz="0" w:space="0" w:color="auto"/>
            <w:right w:val="none" w:sz="0" w:space="0" w:color="auto"/>
          </w:divBdr>
        </w:div>
        <w:div w:id="203755827">
          <w:marLeft w:val="0"/>
          <w:marRight w:val="0"/>
          <w:marTop w:val="0"/>
          <w:marBottom w:val="0"/>
          <w:divBdr>
            <w:top w:val="none" w:sz="0" w:space="0" w:color="auto"/>
            <w:left w:val="none" w:sz="0" w:space="0" w:color="auto"/>
            <w:bottom w:val="none" w:sz="0" w:space="0" w:color="auto"/>
            <w:right w:val="none" w:sz="0" w:space="0" w:color="auto"/>
          </w:divBdr>
        </w:div>
        <w:div w:id="393162212">
          <w:marLeft w:val="0"/>
          <w:marRight w:val="0"/>
          <w:marTop w:val="0"/>
          <w:marBottom w:val="0"/>
          <w:divBdr>
            <w:top w:val="none" w:sz="0" w:space="0" w:color="auto"/>
            <w:left w:val="none" w:sz="0" w:space="0" w:color="auto"/>
            <w:bottom w:val="none" w:sz="0" w:space="0" w:color="auto"/>
            <w:right w:val="none" w:sz="0" w:space="0" w:color="auto"/>
          </w:divBdr>
        </w:div>
        <w:div w:id="405760999">
          <w:marLeft w:val="0"/>
          <w:marRight w:val="0"/>
          <w:marTop w:val="0"/>
          <w:marBottom w:val="0"/>
          <w:divBdr>
            <w:top w:val="none" w:sz="0" w:space="0" w:color="auto"/>
            <w:left w:val="none" w:sz="0" w:space="0" w:color="auto"/>
            <w:bottom w:val="none" w:sz="0" w:space="0" w:color="auto"/>
            <w:right w:val="none" w:sz="0" w:space="0" w:color="auto"/>
          </w:divBdr>
        </w:div>
        <w:div w:id="575869761">
          <w:marLeft w:val="0"/>
          <w:marRight w:val="0"/>
          <w:marTop w:val="0"/>
          <w:marBottom w:val="0"/>
          <w:divBdr>
            <w:top w:val="none" w:sz="0" w:space="0" w:color="auto"/>
            <w:left w:val="none" w:sz="0" w:space="0" w:color="auto"/>
            <w:bottom w:val="none" w:sz="0" w:space="0" w:color="auto"/>
            <w:right w:val="none" w:sz="0" w:space="0" w:color="auto"/>
          </w:divBdr>
        </w:div>
        <w:div w:id="617026598">
          <w:marLeft w:val="0"/>
          <w:marRight w:val="0"/>
          <w:marTop w:val="0"/>
          <w:marBottom w:val="0"/>
          <w:divBdr>
            <w:top w:val="none" w:sz="0" w:space="0" w:color="auto"/>
            <w:left w:val="none" w:sz="0" w:space="0" w:color="auto"/>
            <w:bottom w:val="none" w:sz="0" w:space="0" w:color="auto"/>
            <w:right w:val="none" w:sz="0" w:space="0" w:color="auto"/>
          </w:divBdr>
        </w:div>
        <w:div w:id="682316324">
          <w:marLeft w:val="0"/>
          <w:marRight w:val="0"/>
          <w:marTop w:val="0"/>
          <w:marBottom w:val="0"/>
          <w:divBdr>
            <w:top w:val="none" w:sz="0" w:space="0" w:color="auto"/>
            <w:left w:val="none" w:sz="0" w:space="0" w:color="auto"/>
            <w:bottom w:val="none" w:sz="0" w:space="0" w:color="auto"/>
            <w:right w:val="none" w:sz="0" w:space="0" w:color="auto"/>
          </w:divBdr>
        </w:div>
        <w:div w:id="877398305">
          <w:marLeft w:val="0"/>
          <w:marRight w:val="0"/>
          <w:marTop w:val="0"/>
          <w:marBottom w:val="0"/>
          <w:divBdr>
            <w:top w:val="none" w:sz="0" w:space="0" w:color="auto"/>
            <w:left w:val="none" w:sz="0" w:space="0" w:color="auto"/>
            <w:bottom w:val="none" w:sz="0" w:space="0" w:color="auto"/>
            <w:right w:val="none" w:sz="0" w:space="0" w:color="auto"/>
          </w:divBdr>
        </w:div>
        <w:div w:id="1272785350">
          <w:marLeft w:val="0"/>
          <w:marRight w:val="0"/>
          <w:marTop w:val="0"/>
          <w:marBottom w:val="0"/>
          <w:divBdr>
            <w:top w:val="none" w:sz="0" w:space="0" w:color="auto"/>
            <w:left w:val="none" w:sz="0" w:space="0" w:color="auto"/>
            <w:bottom w:val="none" w:sz="0" w:space="0" w:color="auto"/>
            <w:right w:val="none" w:sz="0" w:space="0" w:color="auto"/>
          </w:divBdr>
        </w:div>
        <w:div w:id="1385327426">
          <w:marLeft w:val="0"/>
          <w:marRight w:val="0"/>
          <w:marTop w:val="0"/>
          <w:marBottom w:val="0"/>
          <w:divBdr>
            <w:top w:val="none" w:sz="0" w:space="0" w:color="auto"/>
            <w:left w:val="none" w:sz="0" w:space="0" w:color="auto"/>
            <w:bottom w:val="none" w:sz="0" w:space="0" w:color="auto"/>
            <w:right w:val="none" w:sz="0" w:space="0" w:color="auto"/>
          </w:divBdr>
        </w:div>
        <w:div w:id="1524903289">
          <w:marLeft w:val="0"/>
          <w:marRight w:val="0"/>
          <w:marTop w:val="0"/>
          <w:marBottom w:val="0"/>
          <w:divBdr>
            <w:top w:val="none" w:sz="0" w:space="0" w:color="auto"/>
            <w:left w:val="none" w:sz="0" w:space="0" w:color="auto"/>
            <w:bottom w:val="none" w:sz="0" w:space="0" w:color="auto"/>
            <w:right w:val="none" w:sz="0" w:space="0" w:color="auto"/>
          </w:divBdr>
        </w:div>
        <w:div w:id="1581253592">
          <w:marLeft w:val="0"/>
          <w:marRight w:val="0"/>
          <w:marTop w:val="0"/>
          <w:marBottom w:val="0"/>
          <w:divBdr>
            <w:top w:val="none" w:sz="0" w:space="0" w:color="auto"/>
            <w:left w:val="none" w:sz="0" w:space="0" w:color="auto"/>
            <w:bottom w:val="none" w:sz="0" w:space="0" w:color="auto"/>
            <w:right w:val="none" w:sz="0" w:space="0" w:color="auto"/>
          </w:divBdr>
        </w:div>
        <w:div w:id="1585920827">
          <w:marLeft w:val="0"/>
          <w:marRight w:val="0"/>
          <w:marTop w:val="0"/>
          <w:marBottom w:val="0"/>
          <w:divBdr>
            <w:top w:val="none" w:sz="0" w:space="0" w:color="auto"/>
            <w:left w:val="none" w:sz="0" w:space="0" w:color="auto"/>
            <w:bottom w:val="none" w:sz="0" w:space="0" w:color="auto"/>
            <w:right w:val="none" w:sz="0" w:space="0" w:color="auto"/>
          </w:divBdr>
        </w:div>
        <w:div w:id="1649163744">
          <w:marLeft w:val="0"/>
          <w:marRight w:val="0"/>
          <w:marTop w:val="0"/>
          <w:marBottom w:val="0"/>
          <w:divBdr>
            <w:top w:val="none" w:sz="0" w:space="0" w:color="auto"/>
            <w:left w:val="none" w:sz="0" w:space="0" w:color="auto"/>
            <w:bottom w:val="none" w:sz="0" w:space="0" w:color="auto"/>
            <w:right w:val="none" w:sz="0" w:space="0" w:color="auto"/>
          </w:divBdr>
        </w:div>
        <w:div w:id="1722173038">
          <w:marLeft w:val="0"/>
          <w:marRight w:val="0"/>
          <w:marTop w:val="0"/>
          <w:marBottom w:val="0"/>
          <w:divBdr>
            <w:top w:val="none" w:sz="0" w:space="0" w:color="auto"/>
            <w:left w:val="none" w:sz="0" w:space="0" w:color="auto"/>
            <w:bottom w:val="none" w:sz="0" w:space="0" w:color="auto"/>
            <w:right w:val="none" w:sz="0" w:space="0" w:color="auto"/>
          </w:divBdr>
        </w:div>
        <w:div w:id="1860466112">
          <w:marLeft w:val="0"/>
          <w:marRight w:val="0"/>
          <w:marTop w:val="0"/>
          <w:marBottom w:val="0"/>
          <w:divBdr>
            <w:top w:val="none" w:sz="0" w:space="0" w:color="auto"/>
            <w:left w:val="none" w:sz="0" w:space="0" w:color="auto"/>
            <w:bottom w:val="none" w:sz="0" w:space="0" w:color="auto"/>
            <w:right w:val="none" w:sz="0" w:space="0" w:color="auto"/>
          </w:divBdr>
        </w:div>
        <w:div w:id="2089694532">
          <w:marLeft w:val="0"/>
          <w:marRight w:val="0"/>
          <w:marTop w:val="0"/>
          <w:marBottom w:val="0"/>
          <w:divBdr>
            <w:top w:val="none" w:sz="0" w:space="0" w:color="auto"/>
            <w:left w:val="none" w:sz="0" w:space="0" w:color="auto"/>
            <w:bottom w:val="none" w:sz="0" w:space="0" w:color="auto"/>
            <w:right w:val="none" w:sz="0" w:space="0" w:color="auto"/>
          </w:divBdr>
        </w:div>
        <w:div w:id="2118327557">
          <w:marLeft w:val="0"/>
          <w:marRight w:val="0"/>
          <w:marTop w:val="0"/>
          <w:marBottom w:val="0"/>
          <w:divBdr>
            <w:top w:val="none" w:sz="0" w:space="0" w:color="auto"/>
            <w:left w:val="none" w:sz="0" w:space="0" w:color="auto"/>
            <w:bottom w:val="none" w:sz="0" w:space="0" w:color="auto"/>
            <w:right w:val="none" w:sz="0" w:space="0" w:color="auto"/>
          </w:divBdr>
        </w:div>
      </w:divsChild>
    </w:div>
    <w:div w:id="703212523">
      <w:bodyDiv w:val="1"/>
      <w:marLeft w:val="0"/>
      <w:marRight w:val="0"/>
      <w:marTop w:val="0"/>
      <w:marBottom w:val="0"/>
      <w:divBdr>
        <w:top w:val="none" w:sz="0" w:space="0" w:color="auto"/>
        <w:left w:val="none" w:sz="0" w:space="0" w:color="auto"/>
        <w:bottom w:val="none" w:sz="0" w:space="0" w:color="auto"/>
        <w:right w:val="none" w:sz="0" w:space="0" w:color="auto"/>
      </w:divBdr>
    </w:div>
    <w:div w:id="720717087">
      <w:bodyDiv w:val="1"/>
      <w:marLeft w:val="0"/>
      <w:marRight w:val="0"/>
      <w:marTop w:val="0"/>
      <w:marBottom w:val="0"/>
      <w:divBdr>
        <w:top w:val="none" w:sz="0" w:space="0" w:color="auto"/>
        <w:left w:val="none" w:sz="0" w:space="0" w:color="auto"/>
        <w:bottom w:val="none" w:sz="0" w:space="0" w:color="auto"/>
        <w:right w:val="none" w:sz="0" w:space="0" w:color="auto"/>
      </w:divBdr>
    </w:div>
    <w:div w:id="753283557">
      <w:bodyDiv w:val="1"/>
      <w:marLeft w:val="0"/>
      <w:marRight w:val="0"/>
      <w:marTop w:val="0"/>
      <w:marBottom w:val="0"/>
      <w:divBdr>
        <w:top w:val="none" w:sz="0" w:space="0" w:color="auto"/>
        <w:left w:val="none" w:sz="0" w:space="0" w:color="auto"/>
        <w:bottom w:val="none" w:sz="0" w:space="0" w:color="auto"/>
        <w:right w:val="none" w:sz="0" w:space="0" w:color="auto"/>
      </w:divBdr>
    </w:div>
    <w:div w:id="899360888">
      <w:bodyDiv w:val="1"/>
      <w:marLeft w:val="0"/>
      <w:marRight w:val="0"/>
      <w:marTop w:val="0"/>
      <w:marBottom w:val="0"/>
      <w:divBdr>
        <w:top w:val="none" w:sz="0" w:space="0" w:color="auto"/>
        <w:left w:val="none" w:sz="0" w:space="0" w:color="auto"/>
        <w:bottom w:val="none" w:sz="0" w:space="0" w:color="auto"/>
        <w:right w:val="none" w:sz="0" w:space="0" w:color="auto"/>
      </w:divBdr>
    </w:div>
    <w:div w:id="899556849">
      <w:bodyDiv w:val="1"/>
      <w:marLeft w:val="0"/>
      <w:marRight w:val="0"/>
      <w:marTop w:val="0"/>
      <w:marBottom w:val="0"/>
      <w:divBdr>
        <w:top w:val="none" w:sz="0" w:space="0" w:color="auto"/>
        <w:left w:val="none" w:sz="0" w:space="0" w:color="auto"/>
        <w:bottom w:val="none" w:sz="0" w:space="0" w:color="auto"/>
        <w:right w:val="none" w:sz="0" w:space="0" w:color="auto"/>
      </w:divBdr>
      <w:divsChild>
        <w:div w:id="1817603244">
          <w:marLeft w:val="480"/>
          <w:marRight w:val="0"/>
          <w:marTop w:val="0"/>
          <w:marBottom w:val="0"/>
          <w:divBdr>
            <w:top w:val="none" w:sz="0" w:space="0" w:color="auto"/>
            <w:left w:val="none" w:sz="0" w:space="0" w:color="auto"/>
            <w:bottom w:val="none" w:sz="0" w:space="0" w:color="auto"/>
            <w:right w:val="none" w:sz="0" w:space="0" w:color="auto"/>
          </w:divBdr>
          <w:divsChild>
            <w:div w:id="10188393">
              <w:marLeft w:val="0"/>
              <w:marRight w:val="0"/>
              <w:marTop w:val="0"/>
              <w:marBottom w:val="0"/>
              <w:divBdr>
                <w:top w:val="none" w:sz="0" w:space="0" w:color="auto"/>
                <w:left w:val="none" w:sz="0" w:space="0" w:color="auto"/>
                <w:bottom w:val="none" w:sz="0" w:space="0" w:color="auto"/>
                <w:right w:val="none" w:sz="0" w:space="0" w:color="auto"/>
              </w:divBdr>
            </w:div>
            <w:div w:id="33043599">
              <w:marLeft w:val="0"/>
              <w:marRight w:val="0"/>
              <w:marTop w:val="0"/>
              <w:marBottom w:val="0"/>
              <w:divBdr>
                <w:top w:val="none" w:sz="0" w:space="0" w:color="auto"/>
                <w:left w:val="none" w:sz="0" w:space="0" w:color="auto"/>
                <w:bottom w:val="none" w:sz="0" w:space="0" w:color="auto"/>
                <w:right w:val="none" w:sz="0" w:space="0" w:color="auto"/>
              </w:divBdr>
            </w:div>
            <w:div w:id="80025645">
              <w:marLeft w:val="0"/>
              <w:marRight w:val="0"/>
              <w:marTop w:val="0"/>
              <w:marBottom w:val="0"/>
              <w:divBdr>
                <w:top w:val="none" w:sz="0" w:space="0" w:color="auto"/>
                <w:left w:val="none" w:sz="0" w:space="0" w:color="auto"/>
                <w:bottom w:val="none" w:sz="0" w:space="0" w:color="auto"/>
                <w:right w:val="none" w:sz="0" w:space="0" w:color="auto"/>
              </w:divBdr>
            </w:div>
            <w:div w:id="204607799">
              <w:marLeft w:val="0"/>
              <w:marRight w:val="0"/>
              <w:marTop w:val="0"/>
              <w:marBottom w:val="0"/>
              <w:divBdr>
                <w:top w:val="none" w:sz="0" w:space="0" w:color="auto"/>
                <w:left w:val="none" w:sz="0" w:space="0" w:color="auto"/>
                <w:bottom w:val="none" w:sz="0" w:space="0" w:color="auto"/>
                <w:right w:val="none" w:sz="0" w:space="0" w:color="auto"/>
              </w:divBdr>
            </w:div>
            <w:div w:id="338121302">
              <w:marLeft w:val="0"/>
              <w:marRight w:val="0"/>
              <w:marTop w:val="0"/>
              <w:marBottom w:val="0"/>
              <w:divBdr>
                <w:top w:val="none" w:sz="0" w:space="0" w:color="auto"/>
                <w:left w:val="none" w:sz="0" w:space="0" w:color="auto"/>
                <w:bottom w:val="none" w:sz="0" w:space="0" w:color="auto"/>
                <w:right w:val="none" w:sz="0" w:space="0" w:color="auto"/>
              </w:divBdr>
            </w:div>
            <w:div w:id="467011132">
              <w:marLeft w:val="0"/>
              <w:marRight w:val="0"/>
              <w:marTop w:val="0"/>
              <w:marBottom w:val="0"/>
              <w:divBdr>
                <w:top w:val="none" w:sz="0" w:space="0" w:color="auto"/>
                <w:left w:val="none" w:sz="0" w:space="0" w:color="auto"/>
                <w:bottom w:val="none" w:sz="0" w:space="0" w:color="auto"/>
                <w:right w:val="none" w:sz="0" w:space="0" w:color="auto"/>
              </w:divBdr>
            </w:div>
            <w:div w:id="651759436">
              <w:marLeft w:val="0"/>
              <w:marRight w:val="0"/>
              <w:marTop w:val="0"/>
              <w:marBottom w:val="0"/>
              <w:divBdr>
                <w:top w:val="none" w:sz="0" w:space="0" w:color="auto"/>
                <w:left w:val="none" w:sz="0" w:space="0" w:color="auto"/>
                <w:bottom w:val="none" w:sz="0" w:space="0" w:color="auto"/>
                <w:right w:val="none" w:sz="0" w:space="0" w:color="auto"/>
              </w:divBdr>
            </w:div>
            <w:div w:id="683282854">
              <w:marLeft w:val="0"/>
              <w:marRight w:val="0"/>
              <w:marTop w:val="0"/>
              <w:marBottom w:val="0"/>
              <w:divBdr>
                <w:top w:val="none" w:sz="0" w:space="0" w:color="auto"/>
                <w:left w:val="none" w:sz="0" w:space="0" w:color="auto"/>
                <w:bottom w:val="none" w:sz="0" w:space="0" w:color="auto"/>
                <w:right w:val="none" w:sz="0" w:space="0" w:color="auto"/>
              </w:divBdr>
            </w:div>
            <w:div w:id="899444883">
              <w:marLeft w:val="0"/>
              <w:marRight w:val="0"/>
              <w:marTop w:val="0"/>
              <w:marBottom w:val="0"/>
              <w:divBdr>
                <w:top w:val="none" w:sz="0" w:space="0" w:color="auto"/>
                <w:left w:val="none" w:sz="0" w:space="0" w:color="auto"/>
                <w:bottom w:val="none" w:sz="0" w:space="0" w:color="auto"/>
                <w:right w:val="none" w:sz="0" w:space="0" w:color="auto"/>
              </w:divBdr>
            </w:div>
            <w:div w:id="920329644">
              <w:marLeft w:val="0"/>
              <w:marRight w:val="0"/>
              <w:marTop w:val="0"/>
              <w:marBottom w:val="0"/>
              <w:divBdr>
                <w:top w:val="none" w:sz="0" w:space="0" w:color="auto"/>
                <w:left w:val="none" w:sz="0" w:space="0" w:color="auto"/>
                <w:bottom w:val="none" w:sz="0" w:space="0" w:color="auto"/>
                <w:right w:val="none" w:sz="0" w:space="0" w:color="auto"/>
              </w:divBdr>
            </w:div>
            <w:div w:id="1008100402">
              <w:marLeft w:val="0"/>
              <w:marRight w:val="0"/>
              <w:marTop w:val="0"/>
              <w:marBottom w:val="0"/>
              <w:divBdr>
                <w:top w:val="none" w:sz="0" w:space="0" w:color="auto"/>
                <w:left w:val="none" w:sz="0" w:space="0" w:color="auto"/>
                <w:bottom w:val="none" w:sz="0" w:space="0" w:color="auto"/>
                <w:right w:val="none" w:sz="0" w:space="0" w:color="auto"/>
              </w:divBdr>
            </w:div>
            <w:div w:id="1261568890">
              <w:marLeft w:val="0"/>
              <w:marRight w:val="0"/>
              <w:marTop w:val="0"/>
              <w:marBottom w:val="0"/>
              <w:divBdr>
                <w:top w:val="none" w:sz="0" w:space="0" w:color="auto"/>
                <w:left w:val="none" w:sz="0" w:space="0" w:color="auto"/>
                <w:bottom w:val="none" w:sz="0" w:space="0" w:color="auto"/>
                <w:right w:val="none" w:sz="0" w:space="0" w:color="auto"/>
              </w:divBdr>
            </w:div>
            <w:div w:id="1289436041">
              <w:marLeft w:val="0"/>
              <w:marRight w:val="0"/>
              <w:marTop w:val="0"/>
              <w:marBottom w:val="0"/>
              <w:divBdr>
                <w:top w:val="none" w:sz="0" w:space="0" w:color="auto"/>
                <w:left w:val="none" w:sz="0" w:space="0" w:color="auto"/>
                <w:bottom w:val="none" w:sz="0" w:space="0" w:color="auto"/>
                <w:right w:val="none" w:sz="0" w:space="0" w:color="auto"/>
              </w:divBdr>
            </w:div>
            <w:div w:id="1372268622">
              <w:marLeft w:val="0"/>
              <w:marRight w:val="0"/>
              <w:marTop w:val="0"/>
              <w:marBottom w:val="0"/>
              <w:divBdr>
                <w:top w:val="none" w:sz="0" w:space="0" w:color="auto"/>
                <w:left w:val="none" w:sz="0" w:space="0" w:color="auto"/>
                <w:bottom w:val="none" w:sz="0" w:space="0" w:color="auto"/>
                <w:right w:val="none" w:sz="0" w:space="0" w:color="auto"/>
              </w:divBdr>
            </w:div>
            <w:div w:id="1422799702">
              <w:marLeft w:val="0"/>
              <w:marRight w:val="0"/>
              <w:marTop w:val="0"/>
              <w:marBottom w:val="0"/>
              <w:divBdr>
                <w:top w:val="none" w:sz="0" w:space="0" w:color="auto"/>
                <w:left w:val="none" w:sz="0" w:space="0" w:color="auto"/>
                <w:bottom w:val="none" w:sz="0" w:space="0" w:color="auto"/>
                <w:right w:val="none" w:sz="0" w:space="0" w:color="auto"/>
              </w:divBdr>
            </w:div>
            <w:div w:id="1566454344">
              <w:marLeft w:val="0"/>
              <w:marRight w:val="0"/>
              <w:marTop w:val="0"/>
              <w:marBottom w:val="0"/>
              <w:divBdr>
                <w:top w:val="none" w:sz="0" w:space="0" w:color="auto"/>
                <w:left w:val="none" w:sz="0" w:space="0" w:color="auto"/>
                <w:bottom w:val="none" w:sz="0" w:space="0" w:color="auto"/>
                <w:right w:val="none" w:sz="0" w:space="0" w:color="auto"/>
              </w:divBdr>
            </w:div>
            <w:div w:id="1598057908">
              <w:marLeft w:val="0"/>
              <w:marRight w:val="0"/>
              <w:marTop w:val="0"/>
              <w:marBottom w:val="0"/>
              <w:divBdr>
                <w:top w:val="none" w:sz="0" w:space="0" w:color="auto"/>
                <w:left w:val="none" w:sz="0" w:space="0" w:color="auto"/>
                <w:bottom w:val="none" w:sz="0" w:space="0" w:color="auto"/>
                <w:right w:val="none" w:sz="0" w:space="0" w:color="auto"/>
              </w:divBdr>
            </w:div>
            <w:div w:id="1617175166">
              <w:marLeft w:val="0"/>
              <w:marRight w:val="0"/>
              <w:marTop w:val="0"/>
              <w:marBottom w:val="0"/>
              <w:divBdr>
                <w:top w:val="none" w:sz="0" w:space="0" w:color="auto"/>
                <w:left w:val="none" w:sz="0" w:space="0" w:color="auto"/>
                <w:bottom w:val="none" w:sz="0" w:space="0" w:color="auto"/>
                <w:right w:val="none" w:sz="0" w:space="0" w:color="auto"/>
              </w:divBdr>
            </w:div>
            <w:div w:id="1954944068">
              <w:marLeft w:val="0"/>
              <w:marRight w:val="0"/>
              <w:marTop w:val="0"/>
              <w:marBottom w:val="0"/>
              <w:divBdr>
                <w:top w:val="none" w:sz="0" w:space="0" w:color="auto"/>
                <w:left w:val="none" w:sz="0" w:space="0" w:color="auto"/>
                <w:bottom w:val="none" w:sz="0" w:space="0" w:color="auto"/>
                <w:right w:val="none" w:sz="0" w:space="0" w:color="auto"/>
              </w:divBdr>
            </w:div>
            <w:div w:id="1979454915">
              <w:marLeft w:val="0"/>
              <w:marRight w:val="0"/>
              <w:marTop w:val="0"/>
              <w:marBottom w:val="0"/>
              <w:divBdr>
                <w:top w:val="none" w:sz="0" w:space="0" w:color="auto"/>
                <w:left w:val="none" w:sz="0" w:space="0" w:color="auto"/>
                <w:bottom w:val="none" w:sz="0" w:space="0" w:color="auto"/>
                <w:right w:val="none" w:sz="0" w:space="0" w:color="auto"/>
              </w:divBdr>
            </w:div>
            <w:div w:id="2021350710">
              <w:marLeft w:val="0"/>
              <w:marRight w:val="0"/>
              <w:marTop w:val="0"/>
              <w:marBottom w:val="0"/>
              <w:divBdr>
                <w:top w:val="none" w:sz="0" w:space="0" w:color="auto"/>
                <w:left w:val="none" w:sz="0" w:space="0" w:color="auto"/>
                <w:bottom w:val="none" w:sz="0" w:space="0" w:color="auto"/>
                <w:right w:val="none" w:sz="0" w:space="0" w:color="auto"/>
              </w:divBdr>
            </w:div>
            <w:div w:id="2025594374">
              <w:marLeft w:val="0"/>
              <w:marRight w:val="0"/>
              <w:marTop w:val="0"/>
              <w:marBottom w:val="0"/>
              <w:divBdr>
                <w:top w:val="none" w:sz="0" w:space="0" w:color="auto"/>
                <w:left w:val="none" w:sz="0" w:space="0" w:color="auto"/>
                <w:bottom w:val="none" w:sz="0" w:space="0" w:color="auto"/>
                <w:right w:val="none" w:sz="0" w:space="0" w:color="auto"/>
              </w:divBdr>
            </w:div>
            <w:div w:id="2072998164">
              <w:marLeft w:val="0"/>
              <w:marRight w:val="0"/>
              <w:marTop w:val="0"/>
              <w:marBottom w:val="0"/>
              <w:divBdr>
                <w:top w:val="none" w:sz="0" w:space="0" w:color="auto"/>
                <w:left w:val="none" w:sz="0" w:space="0" w:color="auto"/>
                <w:bottom w:val="none" w:sz="0" w:space="0" w:color="auto"/>
                <w:right w:val="none" w:sz="0" w:space="0" w:color="auto"/>
              </w:divBdr>
            </w:div>
            <w:div w:id="2077974314">
              <w:marLeft w:val="0"/>
              <w:marRight w:val="0"/>
              <w:marTop w:val="0"/>
              <w:marBottom w:val="0"/>
              <w:divBdr>
                <w:top w:val="none" w:sz="0" w:space="0" w:color="auto"/>
                <w:left w:val="none" w:sz="0" w:space="0" w:color="auto"/>
                <w:bottom w:val="none" w:sz="0" w:space="0" w:color="auto"/>
                <w:right w:val="none" w:sz="0" w:space="0" w:color="auto"/>
              </w:divBdr>
            </w:div>
            <w:div w:id="211505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77454">
      <w:bodyDiv w:val="1"/>
      <w:marLeft w:val="0"/>
      <w:marRight w:val="0"/>
      <w:marTop w:val="0"/>
      <w:marBottom w:val="0"/>
      <w:divBdr>
        <w:top w:val="none" w:sz="0" w:space="0" w:color="auto"/>
        <w:left w:val="none" w:sz="0" w:space="0" w:color="auto"/>
        <w:bottom w:val="none" w:sz="0" w:space="0" w:color="auto"/>
        <w:right w:val="none" w:sz="0" w:space="0" w:color="auto"/>
      </w:divBdr>
    </w:div>
    <w:div w:id="1085221890">
      <w:bodyDiv w:val="1"/>
      <w:marLeft w:val="0"/>
      <w:marRight w:val="0"/>
      <w:marTop w:val="0"/>
      <w:marBottom w:val="0"/>
      <w:divBdr>
        <w:top w:val="none" w:sz="0" w:space="0" w:color="auto"/>
        <w:left w:val="none" w:sz="0" w:space="0" w:color="auto"/>
        <w:bottom w:val="none" w:sz="0" w:space="0" w:color="auto"/>
        <w:right w:val="none" w:sz="0" w:space="0" w:color="auto"/>
      </w:divBdr>
    </w:div>
    <w:div w:id="1089929653">
      <w:bodyDiv w:val="1"/>
      <w:marLeft w:val="0"/>
      <w:marRight w:val="0"/>
      <w:marTop w:val="0"/>
      <w:marBottom w:val="0"/>
      <w:divBdr>
        <w:top w:val="none" w:sz="0" w:space="0" w:color="auto"/>
        <w:left w:val="none" w:sz="0" w:space="0" w:color="auto"/>
        <w:bottom w:val="none" w:sz="0" w:space="0" w:color="auto"/>
        <w:right w:val="none" w:sz="0" w:space="0" w:color="auto"/>
      </w:divBdr>
    </w:div>
    <w:div w:id="1102384866">
      <w:bodyDiv w:val="1"/>
      <w:marLeft w:val="0"/>
      <w:marRight w:val="0"/>
      <w:marTop w:val="0"/>
      <w:marBottom w:val="0"/>
      <w:divBdr>
        <w:top w:val="none" w:sz="0" w:space="0" w:color="auto"/>
        <w:left w:val="none" w:sz="0" w:space="0" w:color="auto"/>
        <w:bottom w:val="none" w:sz="0" w:space="0" w:color="auto"/>
        <w:right w:val="none" w:sz="0" w:space="0" w:color="auto"/>
      </w:divBdr>
    </w:div>
    <w:div w:id="1116750473">
      <w:bodyDiv w:val="1"/>
      <w:marLeft w:val="0"/>
      <w:marRight w:val="0"/>
      <w:marTop w:val="0"/>
      <w:marBottom w:val="0"/>
      <w:divBdr>
        <w:top w:val="none" w:sz="0" w:space="0" w:color="auto"/>
        <w:left w:val="none" w:sz="0" w:space="0" w:color="auto"/>
        <w:bottom w:val="none" w:sz="0" w:space="0" w:color="auto"/>
        <w:right w:val="none" w:sz="0" w:space="0" w:color="auto"/>
      </w:divBdr>
    </w:div>
    <w:div w:id="1216966966">
      <w:bodyDiv w:val="1"/>
      <w:marLeft w:val="0"/>
      <w:marRight w:val="0"/>
      <w:marTop w:val="0"/>
      <w:marBottom w:val="0"/>
      <w:divBdr>
        <w:top w:val="none" w:sz="0" w:space="0" w:color="auto"/>
        <w:left w:val="none" w:sz="0" w:space="0" w:color="auto"/>
        <w:bottom w:val="none" w:sz="0" w:space="0" w:color="auto"/>
        <w:right w:val="none" w:sz="0" w:space="0" w:color="auto"/>
      </w:divBdr>
    </w:div>
    <w:div w:id="1254436875">
      <w:bodyDiv w:val="1"/>
      <w:marLeft w:val="0"/>
      <w:marRight w:val="0"/>
      <w:marTop w:val="0"/>
      <w:marBottom w:val="0"/>
      <w:divBdr>
        <w:top w:val="none" w:sz="0" w:space="0" w:color="auto"/>
        <w:left w:val="none" w:sz="0" w:space="0" w:color="auto"/>
        <w:bottom w:val="none" w:sz="0" w:space="0" w:color="auto"/>
        <w:right w:val="none" w:sz="0" w:space="0" w:color="auto"/>
      </w:divBdr>
    </w:div>
    <w:div w:id="1268853436">
      <w:bodyDiv w:val="1"/>
      <w:marLeft w:val="0"/>
      <w:marRight w:val="0"/>
      <w:marTop w:val="0"/>
      <w:marBottom w:val="0"/>
      <w:divBdr>
        <w:top w:val="none" w:sz="0" w:space="0" w:color="auto"/>
        <w:left w:val="none" w:sz="0" w:space="0" w:color="auto"/>
        <w:bottom w:val="none" w:sz="0" w:space="0" w:color="auto"/>
        <w:right w:val="none" w:sz="0" w:space="0" w:color="auto"/>
      </w:divBdr>
    </w:div>
    <w:div w:id="1341736546">
      <w:bodyDiv w:val="1"/>
      <w:marLeft w:val="0"/>
      <w:marRight w:val="0"/>
      <w:marTop w:val="0"/>
      <w:marBottom w:val="0"/>
      <w:divBdr>
        <w:top w:val="none" w:sz="0" w:space="0" w:color="auto"/>
        <w:left w:val="none" w:sz="0" w:space="0" w:color="auto"/>
        <w:bottom w:val="none" w:sz="0" w:space="0" w:color="auto"/>
        <w:right w:val="none" w:sz="0" w:space="0" w:color="auto"/>
      </w:divBdr>
      <w:divsChild>
        <w:div w:id="57747767">
          <w:marLeft w:val="0"/>
          <w:marRight w:val="0"/>
          <w:marTop w:val="0"/>
          <w:marBottom w:val="0"/>
          <w:divBdr>
            <w:top w:val="none" w:sz="0" w:space="0" w:color="auto"/>
            <w:left w:val="none" w:sz="0" w:space="0" w:color="auto"/>
            <w:bottom w:val="none" w:sz="0" w:space="0" w:color="auto"/>
            <w:right w:val="none" w:sz="0" w:space="0" w:color="auto"/>
          </w:divBdr>
        </w:div>
        <w:div w:id="809253964">
          <w:marLeft w:val="0"/>
          <w:marRight w:val="0"/>
          <w:marTop w:val="0"/>
          <w:marBottom w:val="0"/>
          <w:divBdr>
            <w:top w:val="none" w:sz="0" w:space="0" w:color="auto"/>
            <w:left w:val="none" w:sz="0" w:space="0" w:color="auto"/>
            <w:bottom w:val="none" w:sz="0" w:space="0" w:color="auto"/>
            <w:right w:val="none" w:sz="0" w:space="0" w:color="auto"/>
          </w:divBdr>
        </w:div>
      </w:divsChild>
    </w:div>
    <w:div w:id="1399280336">
      <w:bodyDiv w:val="1"/>
      <w:marLeft w:val="0"/>
      <w:marRight w:val="0"/>
      <w:marTop w:val="0"/>
      <w:marBottom w:val="0"/>
      <w:divBdr>
        <w:top w:val="none" w:sz="0" w:space="0" w:color="auto"/>
        <w:left w:val="none" w:sz="0" w:space="0" w:color="auto"/>
        <w:bottom w:val="none" w:sz="0" w:space="0" w:color="auto"/>
        <w:right w:val="none" w:sz="0" w:space="0" w:color="auto"/>
      </w:divBdr>
    </w:div>
    <w:div w:id="1417942032">
      <w:bodyDiv w:val="1"/>
      <w:marLeft w:val="0"/>
      <w:marRight w:val="0"/>
      <w:marTop w:val="0"/>
      <w:marBottom w:val="0"/>
      <w:divBdr>
        <w:top w:val="none" w:sz="0" w:space="0" w:color="auto"/>
        <w:left w:val="none" w:sz="0" w:space="0" w:color="auto"/>
        <w:bottom w:val="none" w:sz="0" w:space="0" w:color="auto"/>
        <w:right w:val="none" w:sz="0" w:space="0" w:color="auto"/>
      </w:divBdr>
    </w:div>
    <w:div w:id="1504658726">
      <w:bodyDiv w:val="1"/>
      <w:marLeft w:val="0"/>
      <w:marRight w:val="0"/>
      <w:marTop w:val="0"/>
      <w:marBottom w:val="0"/>
      <w:divBdr>
        <w:top w:val="none" w:sz="0" w:space="0" w:color="auto"/>
        <w:left w:val="none" w:sz="0" w:space="0" w:color="auto"/>
        <w:bottom w:val="none" w:sz="0" w:space="0" w:color="auto"/>
        <w:right w:val="none" w:sz="0" w:space="0" w:color="auto"/>
      </w:divBdr>
    </w:div>
    <w:div w:id="1525898772">
      <w:bodyDiv w:val="1"/>
      <w:marLeft w:val="0"/>
      <w:marRight w:val="0"/>
      <w:marTop w:val="0"/>
      <w:marBottom w:val="0"/>
      <w:divBdr>
        <w:top w:val="none" w:sz="0" w:space="0" w:color="auto"/>
        <w:left w:val="none" w:sz="0" w:space="0" w:color="auto"/>
        <w:bottom w:val="none" w:sz="0" w:space="0" w:color="auto"/>
        <w:right w:val="none" w:sz="0" w:space="0" w:color="auto"/>
      </w:divBdr>
    </w:div>
    <w:div w:id="1572304319">
      <w:bodyDiv w:val="1"/>
      <w:marLeft w:val="0"/>
      <w:marRight w:val="0"/>
      <w:marTop w:val="0"/>
      <w:marBottom w:val="0"/>
      <w:divBdr>
        <w:top w:val="none" w:sz="0" w:space="0" w:color="auto"/>
        <w:left w:val="none" w:sz="0" w:space="0" w:color="auto"/>
        <w:bottom w:val="none" w:sz="0" w:space="0" w:color="auto"/>
        <w:right w:val="none" w:sz="0" w:space="0" w:color="auto"/>
      </w:divBdr>
    </w:div>
    <w:div w:id="1583685507">
      <w:bodyDiv w:val="1"/>
      <w:marLeft w:val="0"/>
      <w:marRight w:val="0"/>
      <w:marTop w:val="0"/>
      <w:marBottom w:val="0"/>
      <w:divBdr>
        <w:top w:val="none" w:sz="0" w:space="0" w:color="auto"/>
        <w:left w:val="none" w:sz="0" w:space="0" w:color="auto"/>
        <w:bottom w:val="none" w:sz="0" w:space="0" w:color="auto"/>
        <w:right w:val="none" w:sz="0" w:space="0" w:color="auto"/>
      </w:divBdr>
    </w:div>
    <w:div w:id="1665814522">
      <w:bodyDiv w:val="1"/>
      <w:marLeft w:val="0"/>
      <w:marRight w:val="0"/>
      <w:marTop w:val="0"/>
      <w:marBottom w:val="0"/>
      <w:divBdr>
        <w:top w:val="none" w:sz="0" w:space="0" w:color="auto"/>
        <w:left w:val="none" w:sz="0" w:space="0" w:color="auto"/>
        <w:bottom w:val="none" w:sz="0" w:space="0" w:color="auto"/>
        <w:right w:val="none" w:sz="0" w:space="0" w:color="auto"/>
      </w:divBdr>
    </w:div>
    <w:div w:id="1679649017">
      <w:bodyDiv w:val="1"/>
      <w:marLeft w:val="0"/>
      <w:marRight w:val="0"/>
      <w:marTop w:val="0"/>
      <w:marBottom w:val="0"/>
      <w:divBdr>
        <w:top w:val="none" w:sz="0" w:space="0" w:color="auto"/>
        <w:left w:val="none" w:sz="0" w:space="0" w:color="auto"/>
        <w:bottom w:val="none" w:sz="0" w:space="0" w:color="auto"/>
        <w:right w:val="none" w:sz="0" w:space="0" w:color="auto"/>
      </w:divBdr>
    </w:div>
    <w:div w:id="1681083099">
      <w:bodyDiv w:val="1"/>
      <w:marLeft w:val="0"/>
      <w:marRight w:val="0"/>
      <w:marTop w:val="0"/>
      <w:marBottom w:val="0"/>
      <w:divBdr>
        <w:top w:val="none" w:sz="0" w:space="0" w:color="auto"/>
        <w:left w:val="none" w:sz="0" w:space="0" w:color="auto"/>
        <w:bottom w:val="none" w:sz="0" w:space="0" w:color="auto"/>
        <w:right w:val="none" w:sz="0" w:space="0" w:color="auto"/>
      </w:divBdr>
    </w:div>
    <w:div w:id="1828135362">
      <w:bodyDiv w:val="1"/>
      <w:marLeft w:val="0"/>
      <w:marRight w:val="0"/>
      <w:marTop w:val="0"/>
      <w:marBottom w:val="0"/>
      <w:divBdr>
        <w:top w:val="none" w:sz="0" w:space="0" w:color="auto"/>
        <w:left w:val="none" w:sz="0" w:space="0" w:color="auto"/>
        <w:bottom w:val="none" w:sz="0" w:space="0" w:color="auto"/>
        <w:right w:val="none" w:sz="0" w:space="0" w:color="auto"/>
      </w:divBdr>
      <w:divsChild>
        <w:div w:id="397214516">
          <w:marLeft w:val="360"/>
          <w:marRight w:val="0"/>
          <w:marTop w:val="200"/>
          <w:marBottom w:val="0"/>
          <w:divBdr>
            <w:top w:val="none" w:sz="0" w:space="0" w:color="auto"/>
            <w:left w:val="none" w:sz="0" w:space="0" w:color="auto"/>
            <w:bottom w:val="none" w:sz="0" w:space="0" w:color="auto"/>
            <w:right w:val="none" w:sz="0" w:space="0" w:color="auto"/>
          </w:divBdr>
        </w:div>
        <w:div w:id="886338116">
          <w:marLeft w:val="360"/>
          <w:marRight w:val="0"/>
          <w:marTop w:val="200"/>
          <w:marBottom w:val="0"/>
          <w:divBdr>
            <w:top w:val="none" w:sz="0" w:space="0" w:color="auto"/>
            <w:left w:val="none" w:sz="0" w:space="0" w:color="auto"/>
            <w:bottom w:val="none" w:sz="0" w:space="0" w:color="auto"/>
            <w:right w:val="none" w:sz="0" w:space="0" w:color="auto"/>
          </w:divBdr>
        </w:div>
        <w:div w:id="1120487948">
          <w:marLeft w:val="360"/>
          <w:marRight w:val="0"/>
          <w:marTop w:val="200"/>
          <w:marBottom w:val="0"/>
          <w:divBdr>
            <w:top w:val="none" w:sz="0" w:space="0" w:color="auto"/>
            <w:left w:val="none" w:sz="0" w:space="0" w:color="auto"/>
            <w:bottom w:val="none" w:sz="0" w:space="0" w:color="auto"/>
            <w:right w:val="none" w:sz="0" w:space="0" w:color="auto"/>
          </w:divBdr>
        </w:div>
        <w:div w:id="1134639701">
          <w:marLeft w:val="360"/>
          <w:marRight w:val="0"/>
          <w:marTop w:val="200"/>
          <w:marBottom w:val="0"/>
          <w:divBdr>
            <w:top w:val="none" w:sz="0" w:space="0" w:color="auto"/>
            <w:left w:val="none" w:sz="0" w:space="0" w:color="auto"/>
            <w:bottom w:val="none" w:sz="0" w:space="0" w:color="auto"/>
            <w:right w:val="none" w:sz="0" w:space="0" w:color="auto"/>
          </w:divBdr>
        </w:div>
        <w:div w:id="1255675159">
          <w:marLeft w:val="360"/>
          <w:marRight w:val="0"/>
          <w:marTop w:val="200"/>
          <w:marBottom w:val="0"/>
          <w:divBdr>
            <w:top w:val="none" w:sz="0" w:space="0" w:color="auto"/>
            <w:left w:val="none" w:sz="0" w:space="0" w:color="auto"/>
            <w:bottom w:val="none" w:sz="0" w:space="0" w:color="auto"/>
            <w:right w:val="none" w:sz="0" w:space="0" w:color="auto"/>
          </w:divBdr>
        </w:div>
        <w:div w:id="1281567956">
          <w:marLeft w:val="360"/>
          <w:marRight w:val="0"/>
          <w:marTop w:val="200"/>
          <w:marBottom w:val="0"/>
          <w:divBdr>
            <w:top w:val="none" w:sz="0" w:space="0" w:color="auto"/>
            <w:left w:val="none" w:sz="0" w:space="0" w:color="auto"/>
            <w:bottom w:val="none" w:sz="0" w:space="0" w:color="auto"/>
            <w:right w:val="none" w:sz="0" w:space="0" w:color="auto"/>
          </w:divBdr>
        </w:div>
        <w:div w:id="1329555162">
          <w:marLeft w:val="360"/>
          <w:marRight w:val="0"/>
          <w:marTop w:val="200"/>
          <w:marBottom w:val="0"/>
          <w:divBdr>
            <w:top w:val="none" w:sz="0" w:space="0" w:color="auto"/>
            <w:left w:val="none" w:sz="0" w:space="0" w:color="auto"/>
            <w:bottom w:val="none" w:sz="0" w:space="0" w:color="auto"/>
            <w:right w:val="none" w:sz="0" w:space="0" w:color="auto"/>
          </w:divBdr>
        </w:div>
        <w:div w:id="1724868799">
          <w:marLeft w:val="360"/>
          <w:marRight w:val="0"/>
          <w:marTop w:val="200"/>
          <w:marBottom w:val="0"/>
          <w:divBdr>
            <w:top w:val="none" w:sz="0" w:space="0" w:color="auto"/>
            <w:left w:val="none" w:sz="0" w:space="0" w:color="auto"/>
            <w:bottom w:val="none" w:sz="0" w:space="0" w:color="auto"/>
            <w:right w:val="none" w:sz="0" w:space="0" w:color="auto"/>
          </w:divBdr>
        </w:div>
        <w:div w:id="1740396943">
          <w:marLeft w:val="360"/>
          <w:marRight w:val="0"/>
          <w:marTop w:val="200"/>
          <w:marBottom w:val="0"/>
          <w:divBdr>
            <w:top w:val="none" w:sz="0" w:space="0" w:color="auto"/>
            <w:left w:val="none" w:sz="0" w:space="0" w:color="auto"/>
            <w:bottom w:val="none" w:sz="0" w:space="0" w:color="auto"/>
            <w:right w:val="none" w:sz="0" w:space="0" w:color="auto"/>
          </w:divBdr>
        </w:div>
        <w:div w:id="1939177122">
          <w:marLeft w:val="360"/>
          <w:marRight w:val="0"/>
          <w:marTop w:val="200"/>
          <w:marBottom w:val="0"/>
          <w:divBdr>
            <w:top w:val="none" w:sz="0" w:space="0" w:color="auto"/>
            <w:left w:val="none" w:sz="0" w:space="0" w:color="auto"/>
            <w:bottom w:val="none" w:sz="0" w:space="0" w:color="auto"/>
            <w:right w:val="none" w:sz="0" w:space="0" w:color="auto"/>
          </w:divBdr>
        </w:div>
        <w:div w:id="2052802218">
          <w:marLeft w:val="360"/>
          <w:marRight w:val="0"/>
          <w:marTop w:val="200"/>
          <w:marBottom w:val="0"/>
          <w:divBdr>
            <w:top w:val="none" w:sz="0" w:space="0" w:color="auto"/>
            <w:left w:val="none" w:sz="0" w:space="0" w:color="auto"/>
            <w:bottom w:val="none" w:sz="0" w:space="0" w:color="auto"/>
            <w:right w:val="none" w:sz="0" w:space="0" w:color="auto"/>
          </w:divBdr>
        </w:div>
      </w:divsChild>
    </w:div>
    <w:div w:id="1844271398">
      <w:bodyDiv w:val="1"/>
      <w:marLeft w:val="0"/>
      <w:marRight w:val="0"/>
      <w:marTop w:val="0"/>
      <w:marBottom w:val="0"/>
      <w:divBdr>
        <w:top w:val="none" w:sz="0" w:space="0" w:color="auto"/>
        <w:left w:val="none" w:sz="0" w:space="0" w:color="auto"/>
        <w:bottom w:val="none" w:sz="0" w:space="0" w:color="auto"/>
        <w:right w:val="none" w:sz="0" w:space="0" w:color="auto"/>
      </w:divBdr>
    </w:div>
    <w:div w:id="1851213330">
      <w:bodyDiv w:val="1"/>
      <w:marLeft w:val="0"/>
      <w:marRight w:val="0"/>
      <w:marTop w:val="0"/>
      <w:marBottom w:val="0"/>
      <w:divBdr>
        <w:top w:val="none" w:sz="0" w:space="0" w:color="auto"/>
        <w:left w:val="none" w:sz="0" w:space="0" w:color="auto"/>
        <w:bottom w:val="none" w:sz="0" w:space="0" w:color="auto"/>
        <w:right w:val="none" w:sz="0" w:space="0" w:color="auto"/>
      </w:divBdr>
    </w:div>
    <w:div w:id="1888637248">
      <w:bodyDiv w:val="1"/>
      <w:marLeft w:val="0"/>
      <w:marRight w:val="0"/>
      <w:marTop w:val="0"/>
      <w:marBottom w:val="0"/>
      <w:divBdr>
        <w:top w:val="none" w:sz="0" w:space="0" w:color="auto"/>
        <w:left w:val="none" w:sz="0" w:space="0" w:color="auto"/>
        <w:bottom w:val="none" w:sz="0" w:space="0" w:color="auto"/>
        <w:right w:val="none" w:sz="0" w:space="0" w:color="auto"/>
      </w:divBdr>
    </w:div>
    <w:div w:id="1930655785">
      <w:bodyDiv w:val="1"/>
      <w:marLeft w:val="0"/>
      <w:marRight w:val="0"/>
      <w:marTop w:val="0"/>
      <w:marBottom w:val="0"/>
      <w:divBdr>
        <w:top w:val="none" w:sz="0" w:space="0" w:color="auto"/>
        <w:left w:val="none" w:sz="0" w:space="0" w:color="auto"/>
        <w:bottom w:val="none" w:sz="0" w:space="0" w:color="auto"/>
        <w:right w:val="none" w:sz="0" w:space="0" w:color="auto"/>
      </w:divBdr>
    </w:div>
    <w:div w:id="1992976578">
      <w:bodyDiv w:val="1"/>
      <w:marLeft w:val="0"/>
      <w:marRight w:val="0"/>
      <w:marTop w:val="0"/>
      <w:marBottom w:val="0"/>
      <w:divBdr>
        <w:top w:val="none" w:sz="0" w:space="0" w:color="auto"/>
        <w:left w:val="none" w:sz="0" w:space="0" w:color="auto"/>
        <w:bottom w:val="none" w:sz="0" w:space="0" w:color="auto"/>
        <w:right w:val="none" w:sz="0" w:space="0" w:color="auto"/>
      </w:divBdr>
    </w:div>
    <w:div w:id="1994523393">
      <w:bodyDiv w:val="1"/>
      <w:marLeft w:val="0"/>
      <w:marRight w:val="0"/>
      <w:marTop w:val="0"/>
      <w:marBottom w:val="0"/>
      <w:divBdr>
        <w:top w:val="none" w:sz="0" w:space="0" w:color="auto"/>
        <w:left w:val="none" w:sz="0" w:space="0" w:color="auto"/>
        <w:bottom w:val="none" w:sz="0" w:space="0" w:color="auto"/>
        <w:right w:val="none" w:sz="0" w:space="0" w:color="auto"/>
      </w:divBdr>
    </w:div>
    <w:div w:id="2011983968">
      <w:bodyDiv w:val="1"/>
      <w:marLeft w:val="0"/>
      <w:marRight w:val="0"/>
      <w:marTop w:val="0"/>
      <w:marBottom w:val="0"/>
      <w:divBdr>
        <w:top w:val="none" w:sz="0" w:space="0" w:color="auto"/>
        <w:left w:val="none" w:sz="0" w:space="0" w:color="auto"/>
        <w:bottom w:val="none" w:sz="0" w:space="0" w:color="auto"/>
        <w:right w:val="none" w:sz="0" w:space="0" w:color="auto"/>
      </w:divBdr>
    </w:div>
    <w:div w:id="2020496262">
      <w:bodyDiv w:val="1"/>
      <w:marLeft w:val="0"/>
      <w:marRight w:val="0"/>
      <w:marTop w:val="0"/>
      <w:marBottom w:val="0"/>
      <w:divBdr>
        <w:top w:val="none" w:sz="0" w:space="0" w:color="auto"/>
        <w:left w:val="none" w:sz="0" w:space="0" w:color="auto"/>
        <w:bottom w:val="none" w:sz="0" w:space="0" w:color="auto"/>
        <w:right w:val="none" w:sz="0" w:space="0" w:color="auto"/>
      </w:divBdr>
    </w:div>
    <w:div w:id="2027705711">
      <w:bodyDiv w:val="1"/>
      <w:marLeft w:val="0"/>
      <w:marRight w:val="0"/>
      <w:marTop w:val="0"/>
      <w:marBottom w:val="0"/>
      <w:divBdr>
        <w:top w:val="none" w:sz="0" w:space="0" w:color="auto"/>
        <w:left w:val="none" w:sz="0" w:space="0" w:color="auto"/>
        <w:bottom w:val="none" w:sz="0" w:space="0" w:color="auto"/>
        <w:right w:val="none" w:sz="0" w:space="0" w:color="auto"/>
      </w:divBdr>
    </w:div>
    <w:div w:id="2066446642">
      <w:bodyDiv w:val="1"/>
      <w:marLeft w:val="0"/>
      <w:marRight w:val="0"/>
      <w:marTop w:val="0"/>
      <w:marBottom w:val="0"/>
      <w:divBdr>
        <w:top w:val="none" w:sz="0" w:space="0" w:color="auto"/>
        <w:left w:val="none" w:sz="0" w:space="0" w:color="auto"/>
        <w:bottom w:val="none" w:sz="0" w:space="0" w:color="auto"/>
        <w:right w:val="none" w:sz="0" w:space="0" w:color="auto"/>
      </w:divBdr>
    </w:div>
    <w:div w:id="2076274211">
      <w:bodyDiv w:val="1"/>
      <w:marLeft w:val="0"/>
      <w:marRight w:val="0"/>
      <w:marTop w:val="0"/>
      <w:marBottom w:val="0"/>
      <w:divBdr>
        <w:top w:val="none" w:sz="0" w:space="0" w:color="auto"/>
        <w:left w:val="none" w:sz="0" w:space="0" w:color="auto"/>
        <w:bottom w:val="none" w:sz="0" w:space="0" w:color="auto"/>
        <w:right w:val="none" w:sz="0" w:space="0" w:color="auto"/>
      </w:divBdr>
    </w:div>
    <w:div w:id="2081125377">
      <w:bodyDiv w:val="1"/>
      <w:marLeft w:val="0"/>
      <w:marRight w:val="0"/>
      <w:marTop w:val="0"/>
      <w:marBottom w:val="0"/>
      <w:divBdr>
        <w:top w:val="none" w:sz="0" w:space="0" w:color="auto"/>
        <w:left w:val="none" w:sz="0" w:space="0" w:color="auto"/>
        <w:bottom w:val="none" w:sz="0" w:space="0" w:color="auto"/>
        <w:right w:val="none" w:sz="0" w:space="0" w:color="auto"/>
      </w:divBdr>
    </w:div>
    <w:div w:id="2108575740">
      <w:bodyDiv w:val="1"/>
      <w:marLeft w:val="0"/>
      <w:marRight w:val="0"/>
      <w:marTop w:val="0"/>
      <w:marBottom w:val="0"/>
      <w:divBdr>
        <w:top w:val="none" w:sz="0" w:space="0" w:color="auto"/>
        <w:left w:val="none" w:sz="0" w:space="0" w:color="auto"/>
        <w:bottom w:val="none" w:sz="0" w:space="0" w:color="auto"/>
        <w:right w:val="none" w:sz="0" w:space="0" w:color="auto"/>
      </w:divBdr>
      <w:divsChild>
        <w:div w:id="2010861286">
          <w:marLeft w:val="480"/>
          <w:marRight w:val="0"/>
          <w:marTop w:val="0"/>
          <w:marBottom w:val="0"/>
          <w:divBdr>
            <w:top w:val="none" w:sz="0" w:space="0" w:color="auto"/>
            <w:left w:val="none" w:sz="0" w:space="0" w:color="auto"/>
            <w:bottom w:val="none" w:sz="0" w:space="0" w:color="auto"/>
            <w:right w:val="none" w:sz="0" w:space="0" w:color="auto"/>
          </w:divBdr>
          <w:divsChild>
            <w:div w:id="121781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8440">
      <w:bodyDiv w:val="1"/>
      <w:marLeft w:val="0"/>
      <w:marRight w:val="0"/>
      <w:marTop w:val="0"/>
      <w:marBottom w:val="0"/>
      <w:divBdr>
        <w:top w:val="none" w:sz="0" w:space="0" w:color="auto"/>
        <w:left w:val="none" w:sz="0" w:space="0" w:color="auto"/>
        <w:bottom w:val="none" w:sz="0" w:space="0" w:color="auto"/>
        <w:right w:val="none" w:sz="0" w:space="0" w:color="auto"/>
      </w:divBdr>
    </w:div>
    <w:div w:id="21281604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E065A8-0146-48E7-945C-165A6D069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16826</Words>
  <Characters>95911</Characters>
  <Application>Microsoft Office Word</Application>
  <DocSecurity>0</DocSecurity>
  <Lines>799</Lines>
  <Paragraphs>225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GOURDIN</dc:creator>
  <cp:keywords/>
  <dc:description/>
  <cp:lastModifiedBy>Trupti Sudge</cp:lastModifiedBy>
  <cp:revision>2</cp:revision>
  <dcterms:created xsi:type="dcterms:W3CDTF">2025-03-26T15:30:00Z</dcterms:created>
  <dcterms:modified xsi:type="dcterms:W3CDTF">2025-03-26T15:30:00Z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id="AMSnQi1L"/&gt;&lt;style id="http://www.zotero.org/styles/vancouver" locale="fr-FR" hasBibliography="1" bibliographyStyleHasBeenSet="1"/&gt;&lt;prefs&gt;&lt;pref name="fieldType" value="Field"/&gt;&lt;pref name="automati</vt:lpwstr>
  </property>
  <property fmtid="{D5CDD505-2E9C-101B-9397-08002B2CF9AE}" pid="3" name="ZOTERO_PREF_2">
    <vt:lpwstr>cJournalAbbreviations" value="true"/&gt;&lt;pref name="dontAskDelayCitationUpdates" value="true"/&gt;&lt;/prefs&gt;&lt;/data&gt;</vt:lpwstr>
  </property>
</Properties>
</file>