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rPr>
      </w:pPr>
      <w:r w:rsidDel="00000000" w:rsidR="00000000" w:rsidRPr="00000000">
        <w:rPr>
          <w:b w:val="1"/>
          <w:rtl w:val="0"/>
        </w:rPr>
        <w:t xml:space="preserve">Supplementary figures</w:t>
      </w:r>
    </w:p>
    <w:p w:rsidR="00000000" w:rsidDel="00000000" w:rsidP="00000000" w:rsidRDefault="00000000" w:rsidRPr="00000000" w14:paraId="00000002">
      <w:pPr>
        <w:jc w:val="left"/>
        <w:rPr>
          <w:b w:val="1"/>
        </w:rPr>
      </w:pPr>
      <w:r w:rsidDel="00000000" w:rsidR="00000000" w:rsidRPr="00000000">
        <w:rPr>
          <w:rtl w:val="0"/>
        </w:rPr>
      </w:r>
    </w:p>
    <w:p w:rsidR="00000000" w:rsidDel="00000000" w:rsidP="00000000" w:rsidRDefault="00000000" w:rsidRPr="00000000" w14:paraId="00000003">
      <w:pPr>
        <w:jc w:val="center"/>
        <w:rPr>
          <w:b w:val="1"/>
        </w:rPr>
      </w:pPr>
      <w:r w:rsidDel="00000000" w:rsidR="00000000" w:rsidRPr="00000000">
        <w:rPr>
          <w:b w:val="1"/>
        </w:rPr>
        <w:drawing>
          <wp:inline distB="114300" distT="114300" distL="114300" distR="114300">
            <wp:extent cx="5943600" cy="4483100"/>
            <wp:effectExtent b="0" l="0" r="0" t="0"/>
            <wp:docPr id="5"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44831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b w:val="1"/>
        </w:rPr>
      </w:pPr>
      <w:r w:rsidDel="00000000" w:rsidR="00000000" w:rsidRPr="00000000">
        <w:rPr>
          <w:rtl w:val="0"/>
        </w:rPr>
      </w:r>
    </w:p>
    <w:p w:rsidR="00000000" w:rsidDel="00000000" w:rsidP="00000000" w:rsidRDefault="00000000" w:rsidRPr="00000000" w14:paraId="00000005">
      <w:pPr>
        <w:jc w:val="center"/>
        <w:rPr>
          <w:i w:val="1"/>
        </w:rPr>
      </w:pPr>
      <w:r w:rsidDel="00000000" w:rsidR="00000000" w:rsidRPr="00000000">
        <w:rPr>
          <w:i w:val="1"/>
          <w:rtl w:val="0"/>
        </w:rPr>
        <w:t xml:space="preserve">Figure S1: Model calibration for streamflow showing (a) R2, (b) NSE, (c) KGE, (d) bias in peak flows (percentage) and (e) timing error (in days) at the selected gauge stations against daily observed streamflow.</w:t>
      </w:r>
    </w:p>
    <w:p w:rsidR="00000000" w:rsidDel="00000000" w:rsidP="00000000" w:rsidRDefault="00000000" w:rsidRPr="00000000" w14:paraId="00000006">
      <w:pPr>
        <w:jc w:val="center"/>
        <w:rPr>
          <w:b w:val="1"/>
        </w:rPr>
      </w:pPr>
      <w:r w:rsidDel="00000000" w:rsidR="00000000" w:rsidRPr="00000000">
        <w:rPr>
          <w:rtl w:val="0"/>
        </w:rPr>
      </w:r>
    </w:p>
    <w:p w:rsidR="00000000" w:rsidDel="00000000" w:rsidP="00000000" w:rsidRDefault="00000000" w:rsidRPr="00000000" w14:paraId="00000007">
      <w:pPr>
        <w:jc w:val="center"/>
        <w:rPr>
          <w:b w:val="1"/>
        </w:rPr>
      </w:pPr>
      <w:r w:rsidDel="00000000" w:rsidR="00000000" w:rsidRPr="00000000">
        <w:rPr>
          <w:b w:val="1"/>
        </w:rPr>
        <w:drawing>
          <wp:inline distB="114300" distT="114300" distL="114300" distR="114300">
            <wp:extent cx="5480050" cy="4803826"/>
            <wp:effectExtent b="0" l="0" r="0" t="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480050" cy="4803826"/>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b w:val="1"/>
        </w:rPr>
      </w:pPr>
      <w:r w:rsidDel="00000000" w:rsidR="00000000" w:rsidRPr="00000000">
        <w:rPr>
          <w:rtl w:val="0"/>
        </w:rPr>
      </w:r>
    </w:p>
    <w:p w:rsidR="00000000" w:rsidDel="00000000" w:rsidP="00000000" w:rsidRDefault="00000000" w:rsidRPr="00000000" w14:paraId="00000009">
      <w:pPr>
        <w:rPr>
          <w:i w:val="1"/>
        </w:rPr>
      </w:pPr>
      <w:r w:rsidDel="00000000" w:rsidR="00000000" w:rsidRPr="00000000">
        <w:rPr>
          <w:i w:val="1"/>
          <w:rtl w:val="0"/>
        </w:rPr>
        <w:t xml:space="preserve">Figure S2: Model calibration results showing (a) NSE of dam storage against the observations, (b) attained skill (NSE) distributed against dam size, (c) KGE of dam storage against the observations, (d) attained skill (KGE) distributed against dam size</w:t>
      </w:r>
    </w:p>
    <w:p w:rsidR="00000000" w:rsidDel="00000000" w:rsidP="00000000" w:rsidRDefault="00000000" w:rsidRPr="00000000" w14:paraId="0000000A">
      <w:pPr>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00B">
      <w:pPr>
        <w:jc w:val="center"/>
        <w:rPr>
          <w:b w:val="1"/>
        </w:rPr>
      </w:pPr>
      <w:r w:rsidDel="00000000" w:rsidR="00000000" w:rsidRPr="00000000">
        <w:rPr>
          <w:rtl w:val="0"/>
        </w:rPr>
      </w:r>
    </w:p>
    <w:p w:rsidR="00000000" w:rsidDel="00000000" w:rsidP="00000000" w:rsidRDefault="00000000" w:rsidRPr="00000000" w14:paraId="0000000C">
      <w:pPr>
        <w:jc w:val="left"/>
        <w:rPr>
          <w:i w:val="1"/>
        </w:rPr>
      </w:pPr>
      <w:r w:rsidDel="00000000" w:rsidR="00000000" w:rsidRPr="00000000">
        <w:rPr>
          <w:rtl w:val="0"/>
        </w:rPr>
      </w:r>
    </w:p>
    <w:p w:rsidR="00000000" w:rsidDel="00000000" w:rsidP="00000000" w:rsidRDefault="00000000" w:rsidRPr="00000000" w14:paraId="0000000D">
      <w:pPr>
        <w:jc w:val="left"/>
        <w:rPr>
          <w:i w:val="1"/>
        </w:rPr>
      </w:pPr>
      <w:r w:rsidDel="00000000" w:rsidR="00000000" w:rsidRPr="00000000">
        <w:rPr>
          <w:rtl w:val="0"/>
        </w:rPr>
      </w:r>
    </w:p>
    <w:p w:rsidR="00000000" w:rsidDel="00000000" w:rsidP="00000000" w:rsidRDefault="00000000" w:rsidRPr="00000000" w14:paraId="0000000E">
      <w:pPr>
        <w:jc w:val="left"/>
        <w:rPr>
          <w:i w:val="1"/>
        </w:rPr>
      </w:pPr>
      <w:r w:rsidDel="00000000" w:rsidR="00000000" w:rsidRPr="00000000">
        <w:rPr>
          <w:i w:val="1"/>
        </w:rPr>
        <w:drawing>
          <wp:inline distB="114300" distT="114300" distL="114300" distR="114300">
            <wp:extent cx="5943600" cy="6311900"/>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63119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jc w:val="left"/>
        <w:rPr>
          <w:i w:val="1"/>
        </w:rPr>
      </w:pPr>
      <w:r w:rsidDel="00000000" w:rsidR="00000000" w:rsidRPr="00000000">
        <w:rPr>
          <w:rtl w:val="0"/>
        </w:rPr>
      </w:r>
    </w:p>
    <w:p w:rsidR="00000000" w:rsidDel="00000000" w:rsidP="00000000" w:rsidRDefault="00000000" w:rsidRPr="00000000" w14:paraId="00000010">
      <w:pPr>
        <w:jc w:val="left"/>
        <w:rPr>
          <w:i w:val="1"/>
        </w:rPr>
      </w:pPr>
      <w:r w:rsidDel="00000000" w:rsidR="00000000" w:rsidRPr="00000000">
        <w:rPr>
          <w:i w:val="1"/>
          <w:rtl w:val="0"/>
        </w:rPr>
        <w:t xml:space="preserve">Figure S3: Decrease in the high flows magnitude exceeding 99th percentiles in (a) monsoon and individual months of (b) June, (c) July, (d) August and (e) September in the dam downstream</w:t>
      </w:r>
    </w:p>
    <w:p w:rsidR="00000000" w:rsidDel="00000000" w:rsidP="00000000" w:rsidRDefault="00000000" w:rsidRPr="00000000" w14:paraId="00000011">
      <w:pPr>
        <w:jc w:val="left"/>
        <w:rPr>
          <w:i w:val="1"/>
        </w:rPr>
      </w:pPr>
      <w:r w:rsidDel="00000000" w:rsidR="00000000" w:rsidRPr="00000000">
        <w:rPr>
          <w:rtl w:val="0"/>
        </w:rPr>
      </w:r>
    </w:p>
    <w:p w:rsidR="00000000" w:rsidDel="00000000" w:rsidP="00000000" w:rsidRDefault="00000000" w:rsidRPr="00000000" w14:paraId="00000012">
      <w:pPr>
        <w:rPr/>
      </w:pPr>
      <w:r w:rsidDel="00000000" w:rsidR="00000000" w:rsidRPr="00000000">
        <w:br w:type="page"/>
      </w:r>
      <w:r w:rsidDel="00000000" w:rsidR="00000000" w:rsidRPr="00000000">
        <w:rPr>
          <w:rtl w:val="0"/>
        </w:rPr>
      </w:r>
    </w:p>
    <w:p w:rsidR="00000000" w:rsidDel="00000000" w:rsidP="00000000" w:rsidRDefault="00000000" w:rsidRPr="00000000" w14:paraId="00000013">
      <w:pPr>
        <w:jc w:val="center"/>
        <w:rPr/>
      </w:pPr>
      <w:r w:rsidDel="00000000" w:rsidR="00000000" w:rsidRPr="00000000">
        <w:rPr/>
        <w:drawing>
          <wp:inline distB="114300" distT="114300" distL="114300" distR="114300">
            <wp:extent cx="5943600" cy="4178300"/>
            <wp:effectExtent b="0" l="0" r="0" t="0"/>
            <wp:docPr id="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943600" cy="41783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jc w:val="center"/>
        <w:rPr/>
      </w:pPr>
      <w:r w:rsidDel="00000000" w:rsidR="00000000" w:rsidRPr="00000000">
        <w:rPr>
          <w:rtl w:val="0"/>
        </w:rPr>
      </w:r>
    </w:p>
    <w:p w:rsidR="00000000" w:rsidDel="00000000" w:rsidP="00000000" w:rsidRDefault="00000000" w:rsidRPr="00000000" w14:paraId="00000015">
      <w:pPr>
        <w:spacing w:line="360" w:lineRule="auto"/>
        <w:jc w:val="left"/>
        <w:rPr>
          <w:i w:val="1"/>
        </w:rPr>
      </w:pPr>
      <w:r w:rsidDel="00000000" w:rsidR="00000000" w:rsidRPr="00000000">
        <w:rPr>
          <w:i w:val="1"/>
          <w:rtl w:val="0"/>
        </w:rPr>
        <w:t xml:space="preserve">Figure S4: Decrease in the high flows exceeding (a-e) 90th percentile, (f-j) 95th percentile and (k-o) 99th percentile in the monsoon period and individual months of June, July, August and September</w:t>
      </w:r>
    </w:p>
    <w:p w:rsidR="00000000" w:rsidDel="00000000" w:rsidP="00000000" w:rsidRDefault="00000000" w:rsidRPr="00000000" w14:paraId="00000016">
      <w:pPr>
        <w:spacing w:line="360" w:lineRule="auto"/>
        <w:rPr>
          <w:i w:val="1"/>
        </w:rPr>
      </w:pPr>
      <w:r w:rsidDel="00000000" w:rsidR="00000000" w:rsidRPr="00000000">
        <w:rPr>
          <w:rtl w:val="0"/>
        </w:rPr>
      </w:r>
    </w:p>
    <w:p w:rsidR="00000000" w:rsidDel="00000000" w:rsidP="00000000" w:rsidRDefault="00000000" w:rsidRPr="00000000" w14:paraId="00000017">
      <w:pPr>
        <w:spacing w:line="360" w:lineRule="auto"/>
        <w:rPr>
          <w:i w:val="1"/>
        </w:rPr>
      </w:pPr>
      <w:r w:rsidDel="00000000" w:rsidR="00000000" w:rsidRPr="00000000">
        <w:rPr>
          <w:i w:val="1"/>
        </w:rPr>
        <w:drawing>
          <wp:inline distB="114300" distT="114300" distL="114300" distR="114300">
            <wp:extent cx="5943600" cy="4775200"/>
            <wp:effectExtent b="0" l="0" r="0" t="0"/>
            <wp:docPr id="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943600" cy="47752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line="360" w:lineRule="auto"/>
        <w:jc w:val="left"/>
        <w:rPr>
          <w:i w:val="1"/>
        </w:rPr>
      </w:pPr>
      <w:r w:rsidDel="00000000" w:rsidR="00000000" w:rsidRPr="00000000">
        <w:rPr>
          <w:rtl w:val="0"/>
        </w:rPr>
      </w:r>
    </w:p>
    <w:p w:rsidR="00000000" w:rsidDel="00000000" w:rsidP="00000000" w:rsidRDefault="00000000" w:rsidRPr="00000000" w14:paraId="00000019">
      <w:pPr>
        <w:spacing w:line="360" w:lineRule="auto"/>
        <w:jc w:val="left"/>
        <w:rPr>
          <w:i w:val="1"/>
        </w:rPr>
      </w:pPr>
      <w:r w:rsidDel="00000000" w:rsidR="00000000" w:rsidRPr="00000000">
        <w:rPr>
          <w:i w:val="1"/>
          <w:rtl w:val="0"/>
        </w:rPr>
        <w:t xml:space="preserve">Figure S5: Scatter plot between (a) Annual precipitation in the dam catchment vs percentage change in the high flows, (b) Antecedent dam storage vs percentage change in the high flows (c) months of the occurrence of high flow events (d) Histogram of antecedent dam storage (percentage) when the high flows occurred in both the cases.</w:t>
      </w:r>
    </w:p>
    <w:p w:rsidR="00000000" w:rsidDel="00000000" w:rsidP="00000000" w:rsidRDefault="00000000" w:rsidRPr="00000000" w14:paraId="0000001A">
      <w:pPr>
        <w:spacing w:line="360" w:lineRule="auto"/>
        <w:rPr>
          <w:i w:val="1"/>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spacing w:line="276" w:lineRule="auto"/>
        <w:jc w:val="cente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