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DA470">
      <w:pPr>
        <w:widowControl/>
        <w:spacing w:line="240" w:lineRule="atLeast"/>
        <w:jc w:val="left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b/>
          <w:color w:val="auto"/>
          <w:sz w:val="24"/>
          <w:shd w:val="clear" w:color="auto" w:fill="FFFFFF"/>
        </w:rPr>
        <w:t xml:space="preserve">Table </w:t>
      </w:r>
      <w:r>
        <w:rPr>
          <w:rFonts w:hint="eastAsia" w:ascii="Times New Roman" w:hAnsi="Times New Roman"/>
          <w:b/>
          <w:color w:val="auto"/>
          <w:sz w:val="24"/>
          <w:shd w:val="clear" w:color="auto" w:fill="FFFFFF"/>
          <w:lang w:val="en-US" w:eastAsia="zh-CN"/>
        </w:rPr>
        <w:t>1</w:t>
      </w:r>
      <w:r>
        <w:rPr>
          <w:rFonts w:ascii="Times New Roman" w:hAnsi="Times New Roman"/>
          <w:b/>
          <w:color w:val="auto"/>
          <w:sz w:val="24"/>
          <w:shd w:val="clear" w:color="auto" w:fill="FFFFFF"/>
        </w:rPr>
        <w:t>.</w:t>
      </w:r>
      <w:r>
        <w:rPr>
          <w:rFonts w:ascii="Times New Roman" w:hAnsi="Times New Roman" w:eastAsia="PMingLiU"/>
          <w:b/>
          <w:color w:val="auto"/>
          <w:sz w:val="24"/>
          <w:shd w:val="clear" w:color="auto" w:fill="FFFFFF"/>
          <w:lang w:eastAsia="zh-TW"/>
        </w:rPr>
        <w:t xml:space="preserve"> </w:t>
      </w:r>
      <w:r>
        <w:rPr>
          <w:rFonts w:ascii="Times New Roman" w:hAnsi="Times New Roman"/>
          <w:color w:val="auto"/>
          <w:sz w:val="24"/>
        </w:rPr>
        <w:t>Neuroimaging features of posterior fossa abnormalities.</w:t>
      </w:r>
    </w:p>
    <w:p w14:paraId="70BD4F64">
      <w:pPr>
        <w:widowControl/>
        <w:spacing w:line="240" w:lineRule="atLeast"/>
        <w:jc w:val="left"/>
        <w:rPr>
          <w:rFonts w:ascii="Times New Roman" w:hAnsi="Times New Roman"/>
          <w:color w:val="auto"/>
          <w:sz w:val="24"/>
        </w:rPr>
      </w:pPr>
    </w:p>
    <w:tbl>
      <w:tblPr>
        <w:tblStyle w:val="8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9"/>
        <w:gridCol w:w="1726"/>
        <w:gridCol w:w="2197"/>
        <w:gridCol w:w="2509"/>
        <w:gridCol w:w="2353"/>
        <w:gridCol w:w="1882"/>
        <w:gridCol w:w="2584"/>
      </w:tblGrid>
      <w:tr w14:paraId="57AAC39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38" w:type="pct"/>
            <w:tcBorders>
              <w:bottom w:val="single" w:color="auto" w:sz="4" w:space="0"/>
            </w:tcBorders>
            <w:vAlign w:val="center"/>
          </w:tcPr>
          <w:p w14:paraId="5800303E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Subtype</w:t>
            </w:r>
          </w:p>
        </w:tc>
        <w:tc>
          <w:tcPr>
            <w:tcW w:w="542" w:type="pct"/>
            <w:tcBorders>
              <w:bottom w:val="single" w:color="auto" w:sz="4" w:space="0"/>
            </w:tcBorders>
            <w:vAlign w:val="center"/>
          </w:tcPr>
          <w:p w14:paraId="1E246B66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Posterior cranial fossa</w:t>
            </w:r>
          </w:p>
        </w:tc>
        <w:tc>
          <w:tcPr>
            <w:tcW w:w="690" w:type="pct"/>
            <w:tcBorders>
              <w:bottom w:val="single" w:color="auto" w:sz="4" w:space="0"/>
            </w:tcBorders>
            <w:vAlign w:val="center"/>
          </w:tcPr>
          <w:p w14:paraId="677C07AA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Cerebellar vermis</w:t>
            </w:r>
          </w:p>
        </w:tc>
        <w:tc>
          <w:tcPr>
            <w:tcW w:w="788" w:type="pct"/>
            <w:tcBorders>
              <w:bottom w:val="single" w:color="auto" w:sz="4" w:space="0"/>
            </w:tcBorders>
            <w:vAlign w:val="center"/>
          </w:tcPr>
          <w:p w14:paraId="06FA30E2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Apex of the fourth ventricle</w:t>
            </w:r>
          </w:p>
        </w:tc>
        <w:tc>
          <w:tcPr>
            <w:tcW w:w="739" w:type="pct"/>
            <w:tcBorders>
              <w:bottom w:val="single" w:color="auto" w:sz="4" w:space="0"/>
            </w:tcBorders>
            <w:vAlign w:val="center"/>
          </w:tcPr>
          <w:p w14:paraId="6657C9D4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The fourth ventricle</w:t>
            </w:r>
          </w:p>
        </w:tc>
        <w:tc>
          <w:tcPr>
            <w:tcW w:w="591" w:type="pct"/>
            <w:tcBorders>
              <w:bottom w:val="single" w:color="auto" w:sz="4" w:space="0"/>
            </w:tcBorders>
            <w:vAlign w:val="center"/>
          </w:tcPr>
          <w:p w14:paraId="41537E19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Hydrocephalus</w:t>
            </w:r>
          </w:p>
        </w:tc>
        <w:tc>
          <w:tcPr>
            <w:tcW w:w="811" w:type="pct"/>
            <w:tcBorders>
              <w:bottom w:val="single" w:color="auto" w:sz="4" w:space="0"/>
            </w:tcBorders>
            <w:vAlign w:val="center"/>
          </w:tcPr>
          <w:p w14:paraId="215C754A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Position of confluence of sinuses</w:t>
            </w:r>
          </w:p>
        </w:tc>
      </w:tr>
      <w:tr w14:paraId="706D4EF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38" w:type="pct"/>
            <w:tcBorders>
              <w:top w:val="single" w:color="auto" w:sz="4" w:space="0"/>
              <w:bottom w:val="nil"/>
            </w:tcBorders>
            <w:vAlign w:val="center"/>
          </w:tcPr>
          <w:p w14:paraId="7481FCA7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  <w:shd w:val="clear" w:color="auto" w:fill="FFFFFF"/>
              </w:rPr>
              <w:t>Dandy-Walker malformation (DWM)</w:t>
            </w:r>
          </w:p>
        </w:tc>
        <w:tc>
          <w:tcPr>
            <w:tcW w:w="542" w:type="pct"/>
            <w:tcBorders>
              <w:top w:val="single" w:color="auto" w:sz="4" w:space="0"/>
              <w:bottom w:val="nil"/>
            </w:tcBorders>
            <w:vAlign w:val="center"/>
          </w:tcPr>
          <w:p w14:paraId="6A2A6C17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Expanded</w:t>
            </w:r>
          </w:p>
        </w:tc>
        <w:tc>
          <w:tcPr>
            <w:tcW w:w="690" w:type="pct"/>
            <w:tcBorders>
              <w:top w:val="single" w:color="auto" w:sz="4" w:space="0"/>
              <w:bottom w:val="nil"/>
            </w:tcBorders>
            <w:vAlign w:val="center"/>
          </w:tcPr>
          <w:p w14:paraId="0B9278EC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Impaired or hypoplastic</w:t>
            </w:r>
          </w:p>
        </w:tc>
        <w:tc>
          <w:tcPr>
            <w:tcW w:w="788" w:type="pct"/>
            <w:tcBorders>
              <w:top w:val="single" w:color="auto" w:sz="4" w:space="0"/>
              <w:bottom w:val="nil"/>
            </w:tcBorders>
            <w:vAlign w:val="center"/>
          </w:tcPr>
          <w:p w14:paraId="370B1BD9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 xml:space="preserve">&gt; </w:t>
            </w:r>
            <w:r>
              <w:rPr>
                <w:rFonts w:ascii="Times New Roman" w:hAnsi="Times New Roman"/>
                <w:color w:val="auto"/>
                <w:sz w:val="24"/>
              </w:rPr>
              <w:t>45</w:t>
            </w:r>
            <w:r>
              <w:rPr>
                <w:rFonts w:ascii="Times New Roman" w:hAnsi="Times New Roman"/>
                <w:color w:val="auto"/>
                <w:sz w:val="24"/>
                <w:vertAlign w:val="superscript"/>
              </w:rPr>
              <w:t>0</w:t>
            </w:r>
          </w:p>
        </w:tc>
        <w:tc>
          <w:tcPr>
            <w:tcW w:w="739" w:type="pct"/>
            <w:tcBorders>
              <w:top w:val="single" w:color="auto" w:sz="4" w:space="0"/>
              <w:bottom w:val="nil"/>
            </w:tcBorders>
            <w:vAlign w:val="center"/>
          </w:tcPr>
          <w:p w14:paraId="26720E3C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Dilated</w:t>
            </w:r>
          </w:p>
        </w:tc>
        <w:tc>
          <w:tcPr>
            <w:tcW w:w="591" w:type="pct"/>
            <w:tcBorders>
              <w:top w:val="single" w:color="auto" w:sz="4" w:space="0"/>
              <w:bottom w:val="nil"/>
            </w:tcBorders>
            <w:vAlign w:val="center"/>
          </w:tcPr>
          <w:p w14:paraId="3FFA5D02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Common</w:t>
            </w:r>
          </w:p>
        </w:tc>
        <w:tc>
          <w:tcPr>
            <w:tcW w:w="811" w:type="pct"/>
            <w:tcBorders>
              <w:top w:val="single" w:color="auto" w:sz="4" w:space="0"/>
              <w:bottom w:val="nil"/>
            </w:tcBorders>
            <w:vAlign w:val="center"/>
          </w:tcPr>
          <w:p w14:paraId="6B83069A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Elevated</w:t>
            </w:r>
          </w:p>
        </w:tc>
      </w:tr>
      <w:tr w14:paraId="343F500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38" w:type="pct"/>
            <w:tcBorders>
              <w:top w:val="nil"/>
            </w:tcBorders>
            <w:vAlign w:val="center"/>
          </w:tcPr>
          <w:p w14:paraId="4EBBCD6D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  <w:shd w:val="clear" w:color="auto" w:fill="FFFFFF"/>
              </w:rPr>
              <w:t xml:space="preserve">Dandy-Walker variant </w:t>
            </w:r>
            <w:r>
              <w:rPr>
                <w:rFonts w:ascii="Times New Roman" w:hAnsi="Times New Roman"/>
                <w:color w:val="auto"/>
                <w:sz w:val="24"/>
              </w:rPr>
              <w:t>(DWV)</w:t>
            </w:r>
          </w:p>
        </w:tc>
        <w:tc>
          <w:tcPr>
            <w:tcW w:w="542" w:type="pct"/>
            <w:tcBorders>
              <w:top w:val="nil"/>
            </w:tcBorders>
            <w:vAlign w:val="center"/>
          </w:tcPr>
          <w:p w14:paraId="517D6CE3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  <w:tc>
          <w:tcPr>
            <w:tcW w:w="690" w:type="pct"/>
            <w:tcBorders>
              <w:top w:val="nil"/>
            </w:tcBorders>
            <w:vAlign w:val="center"/>
          </w:tcPr>
          <w:p w14:paraId="7071081D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H</w:t>
            </w:r>
            <w:r>
              <w:rPr>
                <w:rFonts w:ascii="Times New Roman" w:hAnsi="Times New Roman"/>
                <w:color w:val="auto"/>
                <w:sz w:val="24"/>
              </w:rPr>
              <w:t>ypoplastic to a certain degree</w:t>
            </w:r>
          </w:p>
        </w:tc>
        <w:tc>
          <w:tcPr>
            <w:tcW w:w="788" w:type="pct"/>
            <w:tcBorders>
              <w:top w:val="nil"/>
            </w:tcBorders>
            <w:vAlign w:val="center"/>
          </w:tcPr>
          <w:p w14:paraId="6F7BB908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  <w:shd w:val="clear" w:color="auto" w:fill="FFFFFF"/>
              </w:rPr>
              <w:t>No report</w:t>
            </w:r>
          </w:p>
        </w:tc>
        <w:tc>
          <w:tcPr>
            <w:tcW w:w="739" w:type="pct"/>
            <w:tcBorders>
              <w:top w:val="nil"/>
            </w:tcBorders>
            <w:vAlign w:val="center"/>
          </w:tcPr>
          <w:p w14:paraId="5CF12B16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Mild</w:t>
            </w:r>
          </w:p>
        </w:tc>
        <w:tc>
          <w:tcPr>
            <w:tcW w:w="591" w:type="pct"/>
            <w:tcBorders>
              <w:top w:val="nil"/>
            </w:tcBorders>
            <w:vAlign w:val="center"/>
          </w:tcPr>
          <w:p w14:paraId="4F7783E6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Observed</w:t>
            </w:r>
          </w:p>
        </w:tc>
        <w:tc>
          <w:tcPr>
            <w:tcW w:w="811" w:type="pct"/>
            <w:tcBorders>
              <w:top w:val="nil"/>
            </w:tcBorders>
            <w:vAlign w:val="center"/>
          </w:tcPr>
          <w:p w14:paraId="36099E03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</w:tr>
      <w:tr w14:paraId="4C0CEB1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38" w:type="pct"/>
            <w:vAlign w:val="center"/>
          </w:tcPr>
          <w:p w14:paraId="5A7663BF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Blake’s pouch cyst</w:t>
            </w:r>
          </w:p>
        </w:tc>
        <w:tc>
          <w:tcPr>
            <w:tcW w:w="542" w:type="pct"/>
            <w:vAlign w:val="center"/>
          </w:tcPr>
          <w:p w14:paraId="4CB5F10D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  <w:tc>
          <w:tcPr>
            <w:tcW w:w="690" w:type="pct"/>
            <w:vAlign w:val="center"/>
          </w:tcPr>
          <w:p w14:paraId="0FCFE01E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  <w:tc>
          <w:tcPr>
            <w:tcW w:w="788" w:type="pct"/>
            <w:vAlign w:val="center"/>
          </w:tcPr>
          <w:p w14:paraId="3FEA210F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 xml:space="preserve">&lt; </w:t>
            </w:r>
            <w:r>
              <w:rPr>
                <w:rFonts w:ascii="Times New Roman" w:hAnsi="Times New Roman"/>
                <w:color w:val="auto"/>
                <w:sz w:val="24"/>
              </w:rPr>
              <w:t>30</w:t>
            </w:r>
            <w:r>
              <w:rPr>
                <w:rFonts w:ascii="Times New Roman" w:hAnsi="Times New Roman"/>
                <w:color w:val="auto"/>
                <w:sz w:val="24"/>
                <w:vertAlign w:val="superscript"/>
              </w:rPr>
              <w:t>0</w:t>
            </w:r>
          </w:p>
        </w:tc>
        <w:tc>
          <w:tcPr>
            <w:tcW w:w="739" w:type="pct"/>
            <w:vAlign w:val="center"/>
          </w:tcPr>
          <w:p w14:paraId="3ACEBB45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Dilated</w:t>
            </w:r>
          </w:p>
        </w:tc>
        <w:tc>
          <w:tcPr>
            <w:tcW w:w="591" w:type="pct"/>
            <w:vAlign w:val="center"/>
          </w:tcPr>
          <w:p w14:paraId="0520EC1D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Common</w:t>
            </w:r>
          </w:p>
        </w:tc>
        <w:tc>
          <w:tcPr>
            <w:tcW w:w="811" w:type="pct"/>
            <w:vAlign w:val="center"/>
          </w:tcPr>
          <w:p w14:paraId="63E24590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</w:tr>
      <w:tr w14:paraId="2AF0DE1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38" w:type="pct"/>
            <w:vAlign w:val="center"/>
          </w:tcPr>
          <w:p w14:paraId="2EFC21C0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Mega</w:t>
            </w: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 xml:space="preserve"> </w:t>
            </w:r>
            <w:r>
              <w:rPr>
                <w:rFonts w:ascii="Times New Roman" w:hAnsi="Times New Roman"/>
                <w:color w:val="auto"/>
                <w:sz w:val="24"/>
              </w:rPr>
              <w:t>cisterna magna</w:t>
            </w:r>
          </w:p>
        </w:tc>
        <w:tc>
          <w:tcPr>
            <w:tcW w:w="542" w:type="pct"/>
            <w:vAlign w:val="center"/>
          </w:tcPr>
          <w:p w14:paraId="49DE27C3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  <w:tc>
          <w:tcPr>
            <w:tcW w:w="690" w:type="pct"/>
            <w:vAlign w:val="center"/>
          </w:tcPr>
          <w:p w14:paraId="3C031122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  <w:tc>
          <w:tcPr>
            <w:tcW w:w="788" w:type="pct"/>
            <w:vAlign w:val="center"/>
          </w:tcPr>
          <w:p w14:paraId="21551861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  <w:tc>
          <w:tcPr>
            <w:tcW w:w="739" w:type="pct"/>
            <w:vAlign w:val="center"/>
          </w:tcPr>
          <w:p w14:paraId="1CFB7B15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  <w:tc>
          <w:tcPr>
            <w:tcW w:w="591" w:type="pct"/>
            <w:vAlign w:val="center"/>
          </w:tcPr>
          <w:p w14:paraId="16374E09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None</w:t>
            </w:r>
          </w:p>
        </w:tc>
        <w:tc>
          <w:tcPr>
            <w:tcW w:w="811" w:type="pct"/>
            <w:vAlign w:val="center"/>
          </w:tcPr>
          <w:p w14:paraId="34373D9C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</w:tr>
      <w:tr w14:paraId="7D6084E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38" w:type="pct"/>
            <w:vAlign w:val="center"/>
          </w:tcPr>
          <w:p w14:paraId="0169C71E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Arachnoid cysts</w:t>
            </w:r>
          </w:p>
        </w:tc>
        <w:tc>
          <w:tcPr>
            <w:tcW w:w="542" w:type="pct"/>
            <w:vAlign w:val="center"/>
          </w:tcPr>
          <w:p w14:paraId="58CABC97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  <w:tc>
          <w:tcPr>
            <w:tcW w:w="690" w:type="pct"/>
            <w:vAlign w:val="center"/>
          </w:tcPr>
          <w:p w14:paraId="19BA355C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  <w:tc>
          <w:tcPr>
            <w:tcW w:w="788" w:type="pct"/>
            <w:vAlign w:val="center"/>
          </w:tcPr>
          <w:p w14:paraId="284A8B1D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  <w:tc>
          <w:tcPr>
            <w:tcW w:w="739" w:type="pct"/>
            <w:vAlign w:val="center"/>
          </w:tcPr>
          <w:p w14:paraId="6BE213B5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 or reduced</w:t>
            </w:r>
          </w:p>
        </w:tc>
        <w:tc>
          <w:tcPr>
            <w:tcW w:w="591" w:type="pct"/>
            <w:vAlign w:val="center"/>
          </w:tcPr>
          <w:p w14:paraId="7B4000E5">
            <w:pPr>
              <w:widowControl/>
              <w:spacing w:line="240" w:lineRule="atLeast"/>
              <w:jc w:val="left"/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Observed</w:t>
            </w:r>
          </w:p>
        </w:tc>
        <w:tc>
          <w:tcPr>
            <w:tcW w:w="811" w:type="pct"/>
            <w:vAlign w:val="center"/>
          </w:tcPr>
          <w:p w14:paraId="1FE14318">
            <w:pPr>
              <w:widowControl/>
              <w:spacing w:line="240" w:lineRule="atLeast"/>
              <w:jc w:val="left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 w:eastAsia="PMingLiU"/>
                <w:color w:val="auto"/>
                <w:sz w:val="24"/>
                <w:lang w:eastAsia="zh-TW"/>
              </w:rPr>
              <w:t>Normal</w:t>
            </w:r>
          </w:p>
        </w:tc>
      </w:tr>
    </w:tbl>
    <w:p w14:paraId="3D0FF074">
      <w:pPr>
        <w:widowControl/>
        <w:spacing w:line="240" w:lineRule="atLeast"/>
        <w:jc w:val="left"/>
        <w:rPr>
          <w:rFonts w:ascii="Times New Roman" w:hAnsi="Times New Roman" w:eastAsia="PMingLiU"/>
          <w:color w:val="auto"/>
          <w:sz w:val="24"/>
          <w:lang w:eastAsia="zh-TW"/>
        </w:rPr>
      </w:pPr>
      <w:bookmarkStart w:id="0" w:name="_GoBack"/>
      <w:bookmarkEnd w:id="0"/>
    </w:p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Q0MjE1MjYwMzUxMrNQ0lEKTi0uzszPAykwqwUALt4cWywAAAA="/>
    <w:docVar w:name="commondata" w:val="eyJoZGlkIjoiNWQ1OWY5YzZiNzllZDE0NGVlZWNiYTRiMzJkMzBkMmMifQ=="/>
    <w:docVar w:name="KY_MEDREF_DOCUID" w:val="{78DA92F7-DBB0-4F73-A8AB-774695FD5F22}"/>
    <w:docVar w:name="KY_MEDREF_VERSION" w:val="3"/>
  </w:docVars>
  <w:rsids>
    <w:rsidRoot w:val="B3994EED"/>
    <w:rsid w:val="000738E7"/>
    <w:rsid w:val="00094355"/>
    <w:rsid w:val="000E124D"/>
    <w:rsid w:val="001A5D39"/>
    <w:rsid w:val="001B3269"/>
    <w:rsid w:val="001C25E2"/>
    <w:rsid w:val="001D12DB"/>
    <w:rsid w:val="001D5E90"/>
    <w:rsid w:val="00273822"/>
    <w:rsid w:val="00286F88"/>
    <w:rsid w:val="00293FF5"/>
    <w:rsid w:val="002B13E3"/>
    <w:rsid w:val="002E7160"/>
    <w:rsid w:val="002E734B"/>
    <w:rsid w:val="0033494F"/>
    <w:rsid w:val="00385676"/>
    <w:rsid w:val="003C4956"/>
    <w:rsid w:val="003D60FF"/>
    <w:rsid w:val="003E27DF"/>
    <w:rsid w:val="004246E8"/>
    <w:rsid w:val="004738EB"/>
    <w:rsid w:val="004D0C1C"/>
    <w:rsid w:val="004D3A9C"/>
    <w:rsid w:val="004D753E"/>
    <w:rsid w:val="00500B59"/>
    <w:rsid w:val="00524B6A"/>
    <w:rsid w:val="00540117"/>
    <w:rsid w:val="00553B9A"/>
    <w:rsid w:val="0056337E"/>
    <w:rsid w:val="00572E7C"/>
    <w:rsid w:val="00607935"/>
    <w:rsid w:val="0061468F"/>
    <w:rsid w:val="00622044"/>
    <w:rsid w:val="00627B76"/>
    <w:rsid w:val="0064446B"/>
    <w:rsid w:val="0069217C"/>
    <w:rsid w:val="006B19D8"/>
    <w:rsid w:val="006B297F"/>
    <w:rsid w:val="006C6D81"/>
    <w:rsid w:val="006D37FB"/>
    <w:rsid w:val="00766903"/>
    <w:rsid w:val="00772501"/>
    <w:rsid w:val="007A4E82"/>
    <w:rsid w:val="007B1BE6"/>
    <w:rsid w:val="007E3EA0"/>
    <w:rsid w:val="007E778C"/>
    <w:rsid w:val="0085401A"/>
    <w:rsid w:val="00867D88"/>
    <w:rsid w:val="00867E12"/>
    <w:rsid w:val="00871BFA"/>
    <w:rsid w:val="0092696A"/>
    <w:rsid w:val="009502A6"/>
    <w:rsid w:val="0096526E"/>
    <w:rsid w:val="009874BD"/>
    <w:rsid w:val="009909EE"/>
    <w:rsid w:val="009B3CF0"/>
    <w:rsid w:val="009E5E93"/>
    <w:rsid w:val="00A41986"/>
    <w:rsid w:val="00A627D2"/>
    <w:rsid w:val="00A823A8"/>
    <w:rsid w:val="00A834B9"/>
    <w:rsid w:val="00A95544"/>
    <w:rsid w:val="00A95B87"/>
    <w:rsid w:val="00B74978"/>
    <w:rsid w:val="00BA629D"/>
    <w:rsid w:val="00BB5BAE"/>
    <w:rsid w:val="00BC116F"/>
    <w:rsid w:val="00BC4DE7"/>
    <w:rsid w:val="00BD0C7E"/>
    <w:rsid w:val="00BE12C4"/>
    <w:rsid w:val="00BE2F2E"/>
    <w:rsid w:val="00C10C5A"/>
    <w:rsid w:val="00C2023C"/>
    <w:rsid w:val="00C33ADC"/>
    <w:rsid w:val="00C54B70"/>
    <w:rsid w:val="00C664FD"/>
    <w:rsid w:val="00C80220"/>
    <w:rsid w:val="00CB1E3A"/>
    <w:rsid w:val="00CF57EE"/>
    <w:rsid w:val="00D1014C"/>
    <w:rsid w:val="00D13DD9"/>
    <w:rsid w:val="00D55053"/>
    <w:rsid w:val="00D757FE"/>
    <w:rsid w:val="00D75E34"/>
    <w:rsid w:val="00DD20C3"/>
    <w:rsid w:val="00DE3084"/>
    <w:rsid w:val="00E035ED"/>
    <w:rsid w:val="00E3357C"/>
    <w:rsid w:val="00E40365"/>
    <w:rsid w:val="00E45DC4"/>
    <w:rsid w:val="00E543AF"/>
    <w:rsid w:val="00EB6318"/>
    <w:rsid w:val="00EC2699"/>
    <w:rsid w:val="00EC37AF"/>
    <w:rsid w:val="00ED15A3"/>
    <w:rsid w:val="00EE7C77"/>
    <w:rsid w:val="00F052E7"/>
    <w:rsid w:val="00F23122"/>
    <w:rsid w:val="00F4018B"/>
    <w:rsid w:val="00F71FA4"/>
    <w:rsid w:val="00FF3497"/>
    <w:rsid w:val="02E927F9"/>
    <w:rsid w:val="15FF17E2"/>
    <w:rsid w:val="1CCB706C"/>
    <w:rsid w:val="39761D81"/>
    <w:rsid w:val="397B2068"/>
    <w:rsid w:val="3EE50C20"/>
    <w:rsid w:val="419121E4"/>
    <w:rsid w:val="47FEECDA"/>
    <w:rsid w:val="49562FE0"/>
    <w:rsid w:val="520F518B"/>
    <w:rsid w:val="578707D4"/>
    <w:rsid w:val="5C221472"/>
    <w:rsid w:val="5C661C7C"/>
    <w:rsid w:val="5CBE16E6"/>
    <w:rsid w:val="5CF5B94F"/>
    <w:rsid w:val="5F2F007E"/>
    <w:rsid w:val="66A70788"/>
    <w:rsid w:val="6A514EA8"/>
    <w:rsid w:val="6FF7A3FD"/>
    <w:rsid w:val="70B66388"/>
    <w:rsid w:val="73FF6AC2"/>
    <w:rsid w:val="76BD3CDE"/>
    <w:rsid w:val="7A7B50B2"/>
    <w:rsid w:val="9C9B3F5F"/>
    <w:rsid w:val="B3994EED"/>
    <w:rsid w:val="D9F8AF4F"/>
    <w:rsid w:val="EDF1F429"/>
    <w:rsid w:val="EEDFDFEB"/>
    <w:rsid w:val="EF4F484D"/>
    <w:rsid w:val="FBFB5703"/>
    <w:rsid w:val="FE2CD5E1"/>
    <w:rsid w:val="FF75682F"/>
    <w:rsid w:val="FFDFC5C4"/>
    <w:rsid w:val="FFFFB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Arial" w:hAnsi="Arial" w:eastAsia="黑体"/>
      <w:sz w:val="20"/>
    </w:r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alloon Text"/>
    <w:basedOn w:val="1"/>
    <w:link w:val="14"/>
    <w:qFormat/>
    <w:uiPriority w:val="0"/>
    <w:rPr>
      <w:rFonts w:asciiTheme="majorHAnsi" w:hAnsiTheme="majorHAnsi" w:eastAsiaTheme="majorEastAsia" w:cstheme="majorBidi"/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6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7">
    <w:name w:val="annotation subject"/>
    <w:basedOn w:val="3"/>
    <w:next w:val="3"/>
    <w:link w:val="20"/>
    <w:qFormat/>
    <w:uiPriority w:val="0"/>
    <w:rPr>
      <w:b/>
      <w:bCs/>
    </w:rPr>
  </w:style>
  <w:style w:type="character" w:styleId="10">
    <w:name w:val="Emphasis"/>
    <w:basedOn w:val="9"/>
    <w:qFormat/>
    <w:uiPriority w:val="0"/>
    <w:rPr>
      <w:i/>
    </w:rPr>
  </w:style>
  <w:style w:type="character" w:styleId="11">
    <w:name w:val="annotation reference"/>
    <w:basedOn w:val="9"/>
    <w:qFormat/>
    <w:uiPriority w:val="0"/>
    <w:rPr>
      <w:sz w:val="18"/>
      <w:szCs w:val="18"/>
    </w:rPr>
  </w:style>
  <w:style w:type="character" w:customStyle="1" w:styleId="12">
    <w:name w:val="页眉 字符"/>
    <w:basedOn w:val="9"/>
    <w:link w:val="6"/>
    <w:qFormat/>
    <w:uiPriority w:val="0"/>
    <w:rPr>
      <w:rFonts w:ascii="Calibri" w:hAnsi="Calibri" w:eastAsia="宋体" w:cs="Times New Roman"/>
      <w:kern w:val="2"/>
      <w:lang w:eastAsia="zh-CN"/>
    </w:rPr>
  </w:style>
  <w:style w:type="character" w:customStyle="1" w:styleId="13">
    <w:name w:val="页脚 字符"/>
    <w:basedOn w:val="9"/>
    <w:link w:val="5"/>
    <w:qFormat/>
    <w:uiPriority w:val="0"/>
    <w:rPr>
      <w:rFonts w:ascii="Calibri" w:hAnsi="Calibri" w:eastAsia="宋体" w:cs="Times New Roman"/>
      <w:kern w:val="2"/>
      <w:lang w:eastAsia="zh-CN"/>
    </w:rPr>
  </w:style>
  <w:style w:type="character" w:customStyle="1" w:styleId="14">
    <w:name w:val="批注框文本 字符"/>
    <w:basedOn w:val="9"/>
    <w:link w:val="4"/>
    <w:qFormat/>
    <w:uiPriority w:val="0"/>
    <w:rPr>
      <w:rFonts w:asciiTheme="majorHAnsi" w:hAnsiTheme="majorHAnsi" w:eastAsiaTheme="majorEastAsia" w:cstheme="majorBidi"/>
      <w:kern w:val="2"/>
      <w:sz w:val="18"/>
      <w:szCs w:val="18"/>
      <w:lang w:eastAsia="zh-CN"/>
    </w:rPr>
  </w:style>
  <w:style w:type="paragraph" w:customStyle="1" w:styleId="15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6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7">
    <w:name w:val="font0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8">
    <w:name w:val="List Paragraph"/>
    <w:basedOn w:val="1"/>
    <w:qFormat/>
    <w:uiPriority w:val="99"/>
    <w:pPr>
      <w:ind w:left="480" w:leftChars="200"/>
    </w:pPr>
  </w:style>
  <w:style w:type="character" w:customStyle="1" w:styleId="19">
    <w:name w:val="批注文字 字符"/>
    <w:basedOn w:val="9"/>
    <w:link w:val="3"/>
    <w:qFormat/>
    <w:uiPriority w:val="0"/>
    <w:rPr>
      <w:rFonts w:ascii="Calibri" w:hAnsi="Calibri" w:eastAsia="宋体" w:cs="Times New Roman"/>
      <w:kern w:val="2"/>
      <w:sz w:val="21"/>
      <w:szCs w:val="24"/>
      <w:lang w:eastAsia="zh-CN"/>
    </w:rPr>
  </w:style>
  <w:style w:type="character" w:customStyle="1" w:styleId="20">
    <w:name w:val="批注主题 字符"/>
    <w:basedOn w:val="19"/>
    <w:link w:val="7"/>
    <w:qFormat/>
    <w:uiPriority w:val="0"/>
    <w:rPr>
      <w:rFonts w:ascii="Calibri" w:hAnsi="Calibri" w:eastAsia="宋体" w:cs="Times New Roman"/>
      <w:b/>
      <w:bCs/>
      <w:kern w:val="2"/>
      <w:sz w:val="21"/>
      <w:szCs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514</Characters>
  <Lines>85</Lines>
  <Paragraphs>23</Paragraphs>
  <TotalTime>20</TotalTime>
  <ScaleCrop>false</ScaleCrop>
  <LinksUpToDate>false</LinksUpToDate>
  <CharactersWithSpaces>554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2023-10-12T18:06:00Z</dcterms:created>
  <dc:creator>刘备</dc:creator>
  <cp:lastModifiedBy>刘备</cp:lastModifiedBy>
  <cp:lastPrinted>2023-09-07T14:34:00Z</cp:lastPrinted>
  <dcterms:modified xsi:type="dcterms:W3CDTF">2024-12-01T04:09:05Z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0291F0CF55314E319601B93EE3A12333_13</vt:lpwstr>
  </property>
</Properties>
</file>