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B02C8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  <w:lang w:val="en-GB"/>
        </w:rPr>
      </w:pPr>
      <w:r w:rsidRPr="00A514CB">
        <w:rPr>
          <w:rFonts w:ascii="Times New Roman" w:eastAsia="Yu Mincho" w:hAnsi="Times New Roman" w:cs="Times New Roman"/>
          <w:sz w:val="22"/>
          <w:szCs w:val="22"/>
          <w:lang w:val="en-GB"/>
        </w:rPr>
        <w:t>Table 1 Mean (M), standard deviations (SD), factor loadings (FL_Aw and FL_Ac), communalities (Com), and item-total correlation (I-T) for the two-factor model derived from the CFA</w:t>
      </w:r>
    </w:p>
    <w:p w14:paraId="10A67FB0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  <w:lang w:val="en-GB"/>
        </w:rPr>
      </w:pPr>
      <w:r w:rsidRPr="00A514CB">
        <w:rPr>
          <w:rFonts w:ascii="Times New Roman" w:eastAsia="Yu Mincho" w:hAnsi="Times New Roman" w:cs="Times New Roman"/>
          <w:noProof/>
          <w:sz w:val="22"/>
          <w:szCs w:val="22"/>
        </w:rPr>
        <w:drawing>
          <wp:inline distT="0" distB="0" distL="0" distR="0" wp14:anchorId="030AE44A" wp14:editId="53E49F68">
            <wp:extent cx="3834765" cy="2716964"/>
            <wp:effectExtent l="0" t="0" r="635" b="1270"/>
            <wp:docPr id="14847778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77785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6912" cy="2810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D2BEC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53396282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5B850219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sz w:val="22"/>
          <w:szCs w:val="22"/>
        </w:rPr>
        <w:t>Table 2  Construct validity (i.e., convergent and discriminant validity) and reliability for the final impermanence two-factor model</w:t>
      </w:r>
    </w:p>
    <w:p w14:paraId="18AE5000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noProof/>
          <w:sz w:val="22"/>
          <w:szCs w:val="22"/>
        </w:rPr>
        <w:drawing>
          <wp:inline distT="0" distB="0" distL="0" distR="0" wp14:anchorId="1745C270" wp14:editId="6A410273">
            <wp:extent cx="2941163" cy="408264"/>
            <wp:effectExtent l="0" t="0" r="0" b="0"/>
            <wp:docPr id="1435337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3374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6916" cy="485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FDE72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sz w:val="22"/>
          <w:szCs w:val="22"/>
        </w:rPr>
        <w:t>*</w:t>
      </w:r>
      <w:r w:rsidRPr="00A514CB">
        <w:rPr>
          <w:rFonts w:ascii="Times New Roman" w:eastAsia="Yu Mincho" w:hAnsi="Times New Roman" w:cs="Times New Roman"/>
          <w:i/>
          <w:iCs/>
          <w:sz w:val="22"/>
          <w:szCs w:val="22"/>
        </w:rPr>
        <w:t>p</w:t>
      </w:r>
      <w:r w:rsidRPr="00A514CB">
        <w:rPr>
          <w:rFonts w:ascii="Times New Roman" w:eastAsia="Yu Mincho" w:hAnsi="Times New Roman" w:cs="Times New Roman"/>
          <w:sz w:val="22"/>
          <w:szCs w:val="22"/>
        </w:rPr>
        <w:t xml:space="preserve"> &lt; 0.01</w:t>
      </w:r>
    </w:p>
    <w:p w14:paraId="09EF0DDA" w14:textId="77777777" w:rsidR="00937C01" w:rsidRDefault="00937C01" w:rsidP="00522EE0"/>
    <w:p w14:paraId="0D8C2444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BFBA3DA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83702D7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78031D1E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3393A58F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27035946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67CC6786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1F093A68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1D23CF0E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6402E5C0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77908189" w14:textId="01CB0170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sz w:val="22"/>
          <w:szCs w:val="22"/>
        </w:rPr>
        <w:t>Table 3  Model Fit Indices for the impermanence two-factor model</w:t>
      </w:r>
    </w:p>
    <w:p w14:paraId="7DC665CB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noProof/>
          <w:sz w:val="22"/>
          <w:szCs w:val="22"/>
        </w:rPr>
        <w:drawing>
          <wp:inline distT="0" distB="0" distL="0" distR="0" wp14:anchorId="59070589" wp14:editId="7D6C41D1">
            <wp:extent cx="4476206" cy="3085140"/>
            <wp:effectExtent l="0" t="0" r="0" b="1270"/>
            <wp:docPr id="16156129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61299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3432" cy="310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C14DB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2CF0A57C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2E45D26A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3DEBD94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6784054A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7DFB3806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2B477750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2913468D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323ACD5F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3635C44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7D42E2F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13D66C9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024535CA" w14:textId="77777777" w:rsidR="00522EE0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31AA0BD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7EF8F5FD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3001E259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sz w:val="22"/>
          <w:szCs w:val="22"/>
        </w:rPr>
        <w:lastRenderedPageBreak/>
        <w:t>Table 4   factor loadings (FL_Aw,  FL_Ac and G (=General factor)), communalities (Com), and item total correlation (I-T) for the bifactor model derived from the CFA</w:t>
      </w:r>
    </w:p>
    <w:p w14:paraId="5355387D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noProof/>
          <w:sz w:val="22"/>
          <w:szCs w:val="22"/>
        </w:rPr>
        <w:drawing>
          <wp:inline distT="0" distB="0" distL="0" distR="0" wp14:anchorId="3D25E217" wp14:editId="715F6D3C">
            <wp:extent cx="5155501" cy="3985146"/>
            <wp:effectExtent l="0" t="0" r="1270" b="3175"/>
            <wp:docPr id="1615343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3438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73088" cy="3998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4EA2E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</w:p>
    <w:p w14:paraId="4578A739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sz w:val="22"/>
          <w:szCs w:val="22"/>
        </w:rPr>
        <w:t>Table 5  Model Fit Indices for the impermanence bifactor model</w:t>
      </w:r>
    </w:p>
    <w:p w14:paraId="40B41E9B" w14:textId="77777777" w:rsidR="00522EE0" w:rsidRPr="00A514CB" w:rsidRDefault="00522EE0" w:rsidP="00522EE0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noProof/>
          <w:sz w:val="22"/>
          <w:szCs w:val="22"/>
        </w:rPr>
        <w:drawing>
          <wp:inline distT="0" distB="0" distL="0" distR="0" wp14:anchorId="74EE91AD" wp14:editId="7F5795DA">
            <wp:extent cx="4630366" cy="3064167"/>
            <wp:effectExtent l="0" t="0" r="5715" b="0"/>
            <wp:docPr id="6544117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41171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9052" cy="308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67536" w14:textId="77777777" w:rsidR="006E0CE5" w:rsidRPr="00A514CB" w:rsidRDefault="006E0CE5" w:rsidP="006E0CE5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sz w:val="22"/>
          <w:szCs w:val="22"/>
        </w:rPr>
        <w:lastRenderedPageBreak/>
        <w:t>Table 6  Zero-order correlations between all study variables</w:t>
      </w:r>
    </w:p>
    <w:p w14:paraId="510B766D" w14:textId="77777777" w:rsidR="006E0CE5" w:rsidRPr="00A514CB" w:rsidRDefault="006E0CE5" w:rsidP="006E0CE5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noProof/>
          <w:sz w:val="22"/>
          <w:szCs w:val="22"/>
        </w:rPr>
        <w:drawing>
          <wp:inline distT="0" distB="0" distL="0" distR="0" wp14:anchorId="6E30B7F1" wp14:editId="5E0D7AA1">
            <wp:extent cx="5410213" cy="1325880"/>
            <wp:effectExtent l="0" t="0" r="0" b="0"/>
            <wp:docPr id="6496784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6784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6817" cy="142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B1D52" w14:textId="77777777" w:rsidR="006E0CE5" w:rsidRPr="00A514CB" w:rsidRDefault="006E0CE5" w:rsidP="006E0CE5">
      <w:pPr>
        <w:rPr>
          <w:rFonts w:ascii="Times New Roman" w:eastAsia="Yu Mincho" w:hAnsi="Times New Roman" w:cs="Times New Roman"/>
          <w:sz w:val="22"/>
          <w:szCs w:val="22"/>
        </w:rPr>
      </w:pPr>
      <w:r w:rsidRPr="00A514CB">
        <w:rPr>
          <w:rFonts w:ascii="Times New Roman" w:eastAsia="Yu Mincho" w:hAnsi="Times New Roman" w:cs="Times New Roman"/>
          <w:sz w:val="22"/>
          <w:szCs w:val="22"/>
        </w:rPr>
        <w:t>Note. *</w:t>
      </w:r>
      <w:r w:rsidRPr="00A514CB">
        <w:rPr>
          <w:rFonts w:ascii="Times New Roman" w:eastAsia="Yu Mincho" w:hAnsi="Times New Roman" w:cs="Times New Roman"/>
          <w:i/>
          <w:iCs/>
          <w:sz w:val="22"/>
          <w:szCs w:val="22"/>
        </w:rPr>
        <w:t>p</w:t>
      </w:r>
      <w:r w:rsidRPr="00A514CB">
        <w:rPr>
          <w:rFonts w:ascii="Times New Roman" w:eastAsia="Yu Mincho" w:hAnsi="Times New Roman" w:cs="Times New Roman"/>
          <w:sz w:val="22"/>
          <w:szCs w:val="22"/>
        </w:rPr>
        <w:t xml:space="preserve"> &lt; 0.05, ** </w:t>
      </w:r>
      <w:r w:rsidRPr="00A514CB">
        <w:rPr>
          <w:rFonts w:ascii="Times New Roman" w:eastAsia="Yu Mincho" w:hAnsi="Times New Roman" w:cs="Times New Roman"/>
          <w:i/>
          <w:iCs/>
          <w:sz w:val="22"/>
          <w:szCs w:val="22"/>
        </w:rPr>
        <w:t>p</w:t>
      </w:r>
      <w:r w:rsidRPr="00A514CB">
        <w:rPr>
          <w:rFonts w:ascii="Times New Roman" w:eastAsia="Yu Mincho" w:hAnsi="Times New Roman" w:cs="Times New Roman"/>
          <w:sz w:val="22"/>
          <w:szCs w:val="22"/>
        </w:rPr>
        <w:t xml:space="preserve"> &lt; 0.01</w:t>
      </w:r>
    </w:p>
    <w:p w14:paraId="1AC0F555" w14:textId="77777777" w:rsidR="00522EE0" w:rsidRPr="00522EE0" w:rsidRDefault="00522EE0" w:rsidP="00522EE0"/>
    <w:sectPr w:rsidR="00522EE0" w:rsidRPr="00522E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E0"/>
    <w:rsid w:val="00522EE0"/>
    <w:rsid w:val="006612B3"/>
    <w:rsid w:val="006E0CE5"/>
    <w:rsid w:val="00937C01"/>
    <w:rsid w:val="00B47FB6"/>
    <w:rsid w:val="00F6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E47AF"/>
  <w15:chartTrackingRefBased/>
  <w15:docId w15:val="{4DB6809E-D633-48D3-A0DE-E52EE6BD4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EE0"/>
    <w:rPr>
      <w:rFonts w:eastAsiaTheme="minorEastAsia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2E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E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E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E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E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E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E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E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E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E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E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E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E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E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E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E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E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E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E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22E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E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22E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EE0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22E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EE0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522E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E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E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E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</Words>
  <Characters>636</Characters>
  <Application>Microsoft Office Word</Application>
  <DocSecurity>0</DocSecurity>
  <Lines>5</Lines>
  <Paragraphs>1</Paragraphs>
  <ScaleCrop>false</ScaleCrop>
  <Company>Springer Nature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3</cp:revision>
  <dcterms:created xsi:type="dcterms:W3CDTF">2025-04-04T18:19:00Z</dcterms:created>
  <dcterms:modified xsi:type="dcterms:W3CDTF">2025-04-04T18:22:00Z</dcterms:modified>
</cp:coreProperties>
</file>