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2F232" w14:textId="4F365D29" w:rsidR="00A14345" w:rsidRDefault="002E27DF" w:rsidP="00A6029A">
      <w:pPr>
        <w:pStyle w:val="NormalWeb"/>
        <w:jc w:val="center"/>
        <w:rPr>
          <w:rStyle w:val="Strong"/>
          <w:rFonts w:eastAsiaTheme="majorEastAsia"/>
          <w:sz w:val="32"/>
          <w:szCs w:val="32"/>
        </w:rPr>
      </w:pPr>
      <w:r w:rsidRPr="001E6DBD">
        <w:rPr>
          <w:b/>
          <w:bCs/>
          <w:sz w:val="32"/>
          <w:szCs w:val="32"/>
        </w:rPr>
        <w:t>Oceanic Fronts Shape Hemispheric Contrasts in Polar Stratospheric Extremes</w:t>
      </w:r>
      <w:r w:rsidRPr="001E6DBD" w:rsidDel="0069650F">
        <w:rPr>
          <w:rStyle w:val="Strong"/>
          <w:rFonts w:eastAsiaTheme="majorEastAsia"/>
          <w:sz w:val="32"/>
          <w:szCs w:val="32"/>
        </w:rPr>
        <w:t xml:space="preserve"> </w:t>
      </w:r>
    </w:p>
    <w:p w14:paraId="72EBDC23" w14:textId="77777777" w:rsidR="00A14345" w:rsidRPr="002E27DF" w:rsidRDefault="00A14345" w:rsidP="002E27DF">
      <w:pPr>
        <w:pStyle w:val="NormalWeb"/>
        <w:jc w:val="center"/>
        <w:rPr>
          <w:b/>
          <w:bCs/>
        </w:rPr>
      </w:pPr>
    </w:p>
    <w:p w14:paraId="66BA8FA1" w14:textId="73F088D6" w:rsidR="00A14345" w:rsidRPr="00EC2861" w:rsidRDefault="00A14345" w:rsidP="00A1434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</w:rPr>
      </w:pPr>
      <w:r w:rsidRPr="00EC2861">
        <w:rPr>
          <w:rFonts w:ascii="Times New Roman" w:hAnsi="Times New Roman" w:cs="Times New Roman"/>
        </w:rPr>
        <w:t>Nour-Eddine Omrani</w:t>
      </w:r>
      <w:r w:rsidRPr="00EC2861">
        <w:rPr>
          <w:rFonts w:ascii="Times New Roman" w:hAnsi="Times New Roman" w:cs="Times New Roman"/>
          <w:vertAlign w:val="superscript"/>
        </w:rPr>
        <w:t>1</w:t>
      </w:r>
      <w:r w:rsidRPr="00EC2861">
        <w:rPr>
          <w:rFonts w:ascii="Times New Roman" w:hAnsi="Times New Roman" w:cs="Times New Roman"/>
        </w:rPr>
        <w:t>, Fumiaki Ogawa</w:t>
      </w:r>
      <w:r w:rsidR="00101769">
        <w:rPr>
          <w:rFonts w:ascii="Times New Roman" w:hAnsi="Times New Roman" w:cs="Times New Roman"/>
          <w:vertAlign w:val="superscript"/>
        </w:rPr>
        <w:t>2</w:t>
      </w:r>
      <w:r w:rsidRPr="00EC2861">
        <w:rPr>
          <w:rFonts w:ascii="Times New Roman" w:hAnsi="Times New Roman" w:cs="Times New Roman"/>
          <w:vertAlign w:val="superscript"/>
        </w:rPr>
        <w:t xml:space="preserve">, </w:t>
      </w:r>
      <w:proofErr w:type="spellStart"/>
      <w:r w:rsidRPr="00EC2861">
        <w:rPr>
          <w:rFonts w:ascii="Times New Roman" w:hAnsi="Times New Roman" w:cs="Times New Roman"/>
        </w:rPr>
        <w:t>Hisachi</w:t>
      </w:r>
      <w:proofErr w:type="spellEnd"/>
      <w:r w:rsidRPr="00EC2861">
        <w:rPr>
          <w:rFonts w:ascii="Times New Roman" w:hAnsi="Times New Roman" w:cs="Times New Roman"/>
        </w:rPr>
        <w:t xml:space="preserve"> Nakamura</w:t>
      </w:r>
      <w:r w:rsidR="00101769">
        <w:rPr>
          <w:rFonts w:ascii="Times New Roman" w:hAnsi="Times New Roman" w:cs="Times New Roman"/>
          <w:vertAlign w:val="superscript"/>
        </w:rPr>
        <w:t>3,4</w:t>
      </w:r>
      <w:r w:rsidRPr="00EC2861">
        <w:rPr>
          <w:rFonts w:ascii="Times New Roman" w:hAnsi="Times New Roman" w:cs="Times New Roman"/>
        </w:rPr>
        <w:t>, Sandro W. Lubis</w:t>
      </w:r>
      <w:r w:rsidR="00101769">
        <w:rPr>
          <w:rFonts w:ascii="Times New Roman" w:hAnsi="Times New Roman" w:cs="Times New Roman"/>
          <w:vertAlign w:val="superscript"/>
        </w:rPr>
        <w:t>5</w:t>
      </w:r>
      <w:r w:rsidRPr="00EC2861">
        <w:rPr>
          <w:rFonts w:ascii="Times New Roman" w:hAnsi="Times New Roman" w:cs="Times New Roman"/>
        </w:rPr>
        <w:t>, Noel Keenlyside</w:t>
      </w:r>
      <w:r w:rsidRPr="00EC2861">
        <w:rPr>
          <w:rFonts w:ascii="Times New Roman" w:hAnsi="Times New Roman" w:cs="Times New Roman"/>
          <w:vertAlign w:val="superscript"/>
        </w:rPr>
        <w:t>1</w:t>
      </w:r>
      <w:r w:rsidRPr="00EC2861">
        <w:rPr>
          <w:rFonts w:ascii="Times New Roman" w:hAnsi="Times New Roman" w:cs="Times New Roman"/>
        </w:rPr>
        <w:t xml:space="preserve"> and Luca </w:t>
      </w:r>
      <w:proofErr w:type="spellStart"/>
      <w:r w:rsidRPr="00EC2861">
        <w:rPr>
          <w:rFonts w:ascii="Times New Roman" w:hAnsi="Times New Roman" w:cs="Times New Roman"/>
        </w:rPr>
        <w:t>Famooss</w:t>
      </w:r>
      <w:proofErr w:type="spellEnd"/>
      <w:r w:rsidRPr="00EC2861">
        <w:rPr>
          <w:rFonts w:ascii="Times New Roman" w:hAnsi="Times New Roman" w:cs="Times New Roman"/>
        </w:rPr>
        <w:t xml:space="preserve"> Paolini</w:t>
      </w:r>
      <w:r w:rsidR="00101769">
        <w:rPr>
          <w:rFonts w:ascii="Times New Roman" w:hAnsi="Times New Roman" w:cs="Times New Roman"/>
          <w:vertAlign w:val="superscript"/>
        </w:rPr>
        <w:t>6</w:t>
      </w:r>
    </w:p>
    <w:p w14:paraId="1E2512CB" w14:textId="77777777" w:rsidR="00A14345" w:rsidRDefault="00A14345" w:rsidP="00A1434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14:paraId="1AE82A01" w14:textId="77777777" w:rsidR="00A6029A" w:rsidRDefault="00A6029A" w:rsidP="00A1434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14:paraId="29B63041" w14:textId="77777777" w:rsidR="00A6029A" w:rsidRPr="00EC2861" w:rsidRDefault="00A6029A" w:rsidP="00A1434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14:paraId="0F4EC087" w14:textId="77777777" w:rsidR="00A14345" w:rsidRDefault="00A14345" w:rsidP="0010176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GB"/>
        </w:rPr>
      </w:pPr>
      <w:r w:rsidRPr="00EC2861">
        <w:rPr>
          <w:rFonts w:ascii="Times New Roman" w:hAnsi="Times New Roman" w:cs="Times New Roman"/>
          <w:b/>
          <w:bCs/>
          <w:vertAlign w:val="superscript"/>
          <w:lang w:val="en-GB"/>
        </w:rPr>
        <w:t>1</w:t>
      </w:r>
      <w:r w:rsidRPr="00EC2861">
        <w:rPr>
          <w:rFonts w:ascii="Times New Roman" w:hAnsi="Times New Roman" w:cs="Times New Roman"/>
          <w:vertAlign w:val="superscript"/>
          <w:lang w:val="en-GB"/>
        </w:rPr>
        <w:t xml:space="preserve"> </w:t>
      </w:r>
      <w:r w:rsidRPr="00EC2861">
        <w:rPr>
          <w:rFonts w:ascii="Times New Roman" w:hAnsi="Times New Roman" w:cs="Times New Roman"/>
          <w:lang w:val="en-GB"/>
        </w:rPr>
        <w:t xml:space="preserve">Geophysical Institute, University of Bergen and </w:t>
      </w:r>
      <w:proofErr w:type="spellStart"/>
      <w:r w:rsidRPr="00EC2861">
        <w:rPr>
          <w:rFonts w:ascii="Times New Roman" w:hAnsi="Times New Roman" w:cs="Times New Roman"/>
          <w:lang w:val="en-GB"/>
        </w:rPr>
        <w:t>Bjerknes</w:t>
      </w:r>
      <w:proofErr w:type="spellEnd"/>
      <w:r w:rsidRPr="00EC2861">
        <w:rPr>
          <w:rFonts w:ascii="Times New Roman" w:hAnsi="Times New Roman" w:cs="Times New Roman"/>
          <w:lang w:val="en-GB"/>
        </w:rPr>
        <w:t xml:space="preserve"> Centre for Climate Research, Bergen, Norway.</w:t>
      </w:r>
    </w:p>
    <w:p w14:paraId="570DD829" w14:textId="20838DC0" w:rsidR="00101769" w:rsidRPr="00101769" w:rsidRDefault="00101769" w:rsidP="00101769">
      <w:pPr>
        <w:spacing w:line="48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  <w:vertAlign w:val="superscript"/>
          <w:lang w:val="en-GB"/>
        </w:rPr>
        <w:t>2</w:t>
      </w:r>
      <w:r w:rsidRPr="00EC2861">
        <w:rPr>
          <w:rFonts w:ascii="Times New Roman" w:hAnsi="Times New Roman" w:cs="Times New Roman"/>
          <w:b/>
          <w:bCs/>
          <w:iCs/>
          <w:vertAlign w:val="superscript"/>
          <w:lang w:val="en-GB"/>
        </w:rPr>
        <w:t xml:space="preserve"> </w:t>
      </w:r>
      <w:r w:rsidRPr="00EC2861">
        <w:rPr>
          <w:rFonts w:ascii="Times New Roman" w:hAnsi="Times New Roman" w:cs="Times New Roman"/>
          <w:iCs/>
        </w:rPr>
        <w:t xml:space="preserve">Faculty of Bioresources, Mie University, </w:t>
      </w:r>
      <w:proofErr w:type="spellStart"/>
      <w:r w:rsidRPr="00EC2861">
        <w:rPr>
          <w:rFonts w:ascii="Times New Roman" w:hAnsi="Times New Roman" w:cs="Times New Roman"/>
          <w:iCs/>
        </w:rPr>
        <w:t>Tsu</w:t>
      </w:r>
      <w:proofErr w:type="spellEnd"/>
      <w:r w:rsidRPr="00EC2861">
        <w:rPr>
          <w:rFonts w:ascii="Times New Roman" w:hAnsi="Times New Roman" w:cs="Times New Roman"/>
          <w:iCs/>
        </w:rPr>
        <w:t>, Japan.</w:t>
      </w:r>
    </w:p>
    <w:p w14:paraId="1E32F4F2" w14:textId="76C4A70A" w:rsidR="00101769" w:rsidRPr="00101769" w:rsidRDefault="00101769" w:rsidP="0010176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Cs/>
          <w:vertAlign w:val="superscript"/>
        </w:rPr>
        <w:t xml:space="preserve">3 </w:t>
      </w:r>
      <w:r w:rsidRPr="00101769">
        <w:rPr>
          <w:rFonts w:ascii="Times New Roman" w:hAnsi="Times New Roman" w:cs="Times New Roman"/>
        </w:rPr>
        <w:t>Research Center for Advanced Science and Technology, University of Tokyo, Tokyo, Japan</w:t>
      </w:r>
    </w:p>
    <w:p w14:paraId="404EA77D" w14:textId="2694476A" w:rsidR="00101769" w:rsidRPr="00101769" w:rsidRDefault="00101769" w:rsidP="0010176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Cs/>
          <w:vertAlign w:val="superscript"/>
          <w:lang w:val="en-GB"/>
        </w:rPr>
        <w:t xml:space="preserve">4 </w:t>
      </w:r>
      <w:r w:rsidRPr="00101769">
        <w:rPr>
          <w:rFonts w:ascii="Times New Roman" w:hAnsi="Times New Roman" w:cs="Times New Roman"/>
        </w:rPr>
        <w:t>Japan Agency for Marine-Earth Science and Technology, Yokohama, Japan</w:t>
      </w:r>
    </w:p>
    <w:p w14:paraId="5B3CB928" w14:textId="2910C7EF" w:rsidR="00A14345" w:rsidRPr="00EC2861" w:rsidRDefault="00101769" w:rsidP="0010176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vertAlign w:val="superscript"/>
          <w:lang w:val="en-GB"/>
        </w:rPr>
        <w:t>5</w:t>
      </w:r>
      <w:r w:rsidR="00A14345" w:rsidRPr="00EC2861">
        <w:rPr>
          <w:rFonts w:ascii="Times New Roman" w:hAnsi="Times New Roman" w:cs="Times New Roman"/>
          <w:vertAlign w:val="superscript"/>
          <w:lang w:val="en-GB"/>
        </w:rPr>
        <w:t xml:space="preserve"> </w:t>
      </w:r>
      <w:r w:rsidR="00A14345" w:rsidRPr="00EC2861">
        <w:rPr>
          <w:rFonts w:ascii="Times New Roman" w:hAnsi="Times New Roman" w:cs="Times New Roman"/>
          <w:color w:val="000000"/>
          <w:shd w:val="clear" w:color="auto" w:fill="FFFFFF"/>
        </w:rPr>
        <w:t>Pacific Northwest National Laboratory, Richland, WA, USA</w:t>
      </w:r>
    </w:p>
    <w:p w14:paraId="3E9B80C6" w14:textId="4F2FEC0B" w:rsidR="00A14345" w:rsidRPr="00EC2861" w:rsidRDefault="00101769" w:rsidP="0010176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Cs/>
          <w:vertAlign w:val="superscript"/>
          <w:lang w:val="en-GB"/>
        </w:rPr>
        <w:t>6</w:t>
      </w:r>
      <w:r w:rsidR="00A14345" w:rsidRPr="00EC2861">
        <w:rPr>
          <w:rFonts w:ascii="Times New Roman" w:hAnsi="Times New Roman" w:cs="Times New Roman"/>
          <w:b/>
          <w:bCs/>
          <w:iCs/>
          <w:vertAlign w:val="superscript"/>
          <w:lang w:val="en-GB"/>
        </w:rPr>
        <w:t xml:space="preserve"> </w:t>
      </w:r>
      <w:r w:rsidR="00A14345" w:rsidRPr="00EC2861">
        <w:rPr>
          <w:rFonts w:ascii="Times New Roman" w:hAnsi="Times New Roman" w:cs="Times New Roman"/>
        </w:rPr>
        <w:t xml:space="preserve">Department of Physics and Astronomy “Augusto </w:t>
      </w:r>
      <w:proofErr w:type="spellStart"/>
      <w:r w:rsidR="00A14345" w:rsidRPr="00EC2861">
        <w:rPr>
          <w:rFonts w:ascii="Times New Roman" w:hAnsi="Times New Roman" w:cs="Times New Roman"/>
        </w:rPr>
        <w:t>Righi</w:t>
      </w:r>
      <w:proofErr w:type="spellEnd"/>
      <w:r w:rsidR="00A14345" w:rsidRPr="00EC2861">
        <w:rPr>
          <w:rFonts w:ascii="Times New Roman" w:hAnsi="Times New Roman" w:cs="Times New Roman"/>
        </w:rPr>
        <w:t>”, University of Bologna, Bologna, Italy</w:t>
      </w:r>
    </w:p>
    <w:p w14:paraId="6EA808FD" w14:textId="77777777" w:rsidR="00A14345" w:rsidRPr="00EC2861" w:rsidRDefault="00A14345" w:rsidP="00A14345">
      <w:pPr>
        <w:pStyle w:val="NormalWeb"/>
        <w:jc w:val="both"/>
      </w:pPr>
    </w:p>
    <w:p w14:paraId="749AF70E" w14:textId="77777777" w:rsidR="00E71DCC" w:rsidRDefault="00E71DCC" w:rsidP="005E2450"/>
    <w:p w14:paraId="2F660A8B" w14:textId="77777777" w:rsidR="00A14345" w:rsidRDefault="00A14345" w:rsidP="002E27DF"/>
    <w:p w14:paraId="7417D98C" w14:textId="77777777" w:rsidR="00A14345" w:rsidRDefault="00A14345" w:rsidP="002E27DF"/>
    <w:p w14:paraId="28EE5AB4" w14:textId="77777777" w:rsidR="00A14345" w:rsidRDefault="00A14345" w:rsidP="002E27DF"/>
    <w:p w14:paraId="1E1AD7CC" w14:textId="77777777" w:rsidR="00A14345" w:rsidRDefault="00A14345" w:rsidP="002E27DF"/>
    <w:p w14:paraId="44377D08" w14:textId="77777777" w:rsidR="00A14345" w:rsidRDefault="00A14345" w:rsidP="002E27DF"/>
    <w:p w14:paraId="514FF641" w14:textId="77777777" w:rsidR="00A14345" w:rsidRDefault="00A14345" w:rsidP="002E27DF"/>
    <w:p w14:paraId="2843DA15" w14:textId="1FC485DB" w:rsidR="002E27DF" w:rsidRPr="002E27DF" w:rsidRDefault="002E27DF" w:rsidP="002E27DF">
      <w:r w:rsidRPr="002E27DF">
        <w:t>This Supplementary Information provides additional details on the experiments and supporting figures that underpin the main results of the study.</w:t>
      </w:r>
    </w:p>
    <w:p w14:paraId="44A4A119" w14:textId="1548846A" w:rsidR="005E2450" w:rsidRDefault="005E2450" w:rsidP="005E2450"/>
    <w:p w14:paraId="7AC516E4" w14:textId="77777777" w:rsidR="005E2450" w:rsidRDefault="005E2450" w:rsidP="005E2450"/>
    <w:tbl>
      <w:tblPr>
        <w:tblStyle w:val="TableGrid"/>
        <w:tblW w:w="10328" w:type="dxa"/>
        <w:tblLook w:val="04A0" w:firstRow="1" w:lastRow="0" w:firstColumn="1" w:lastColumn="0" w:noHBand="0" w:noVBand="1"/>
      </w:tblPr>
      <w:tblGrid>
        <w:gridCol w:w="2582"/>
        <w:gridCol w:w="2582"/>
        <w:gridCol w:w="3021"/>
        <w:gridCol w:w="2143"/>
      </w:tblGrid>
      <w:tr w:rsidR="005E2450" w:rsidRPr="00C90CA7" w14:paraId="3316B05E" w14:textId="77777777" w:rsidTr="00515DA6">
        <w:trPr>
          <w:trHeight w:val="868"/>
        </w:trPr>
        <w:tc>
          <w:tcPr>
            <w:tcW w:w="2582" w:type="dxa"/>
          </w:tcPr>
          <w:p w14:paraId="760C2EB9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6138D7">
              <w:rPr>
                <w:b/>
                <w:bCs/>
                <w:sz w:val="28"/>
                <w:szCs w:val="28"/>
              </w:rPr>
              <w:t>Experiment Name</w:t>
            </w:r>
          </w:p>
        </w:tc>
        <w:tc>
          <w:tcPr>
            <w:tcW w:w="2582" w:type="dxa"/>
          </w:tcPr>
          <w:p w14:paraId="4C695FD3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6138D7">
              <w:rPr>
                <w:b/>
                <w:bCs/>
                <w:sz w:val="28"/>
                <w:szCs w:val="28"/>
              </w:rPr>
              <w:t xml:space="preserve">Land-Sea </w:t>
            </w:r>
            <w:r>
              <w:rPr>
                <w:b/>
                <w:bCs/>
                <w:sz w:val="28"/>
                <w:szCs w:val="28"/>
              </w:rPr>
              <w:t xml:space="preserve">Thermal </w:t>
            </w:r>
            <w:r w:rsidRPr="006138D7">
              <w:rPr>
                <w:b/>
                <w:bCs/>
                <w:sz w:val="28"/>
                <w:szCs w:val="28"/>
              </w:rPr>
              <w:t>Contrast &amp; Orography</w:t>
            </w:r>
          </w:p>
        </w:tc>
        <w:tc>
          <w:tcPr>
            <w:tcW w:w="3021" w:type="dxa"/>
          </w:tcPr>
          <w:p w14:paraId="018DFBCC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6138D7">
              <w:rPr>
                <w:b/>
                <w:bCs/>
                <w:sz w:val="28"/>
                <w:szCs w:val="28"/>
              </w:rPr>
              <w:t>SST Front</w:t>
            </w:r>
          </w:p>
        </w:tc>
        <w:tc>
          <w:tcPr>
            <w:tcW w:w="2143" w:type="dxa"/>
          </w:tcPr>
          <w:p w14:paraId="3F0161EE" w14:textId="77777777" w:rsidR="005E2450" w:rsidRPr="0060623E" w:rsidRDefault="005E2450" w:rsidP="00515DA6">
            <w:pPr>
              <w:rPr>
                <w:b/>
                <w:bCs/>
                <w:sz w:val="28"/>
                <w:szCs w:val="28"/>
              </w:rPr>
            </w:pPr>
            <w:r w:rsidRPr="0060623E">
              <w:rPr>
                <w:b/>
                <w:bCs/>
                <w:sz w:val="28"/>
                <w:szCs w:val="28"/>
              </w:rPr>
              <w:t>SSW-frequency per decade</w:t>
            </w:r>
          </w:p>
        </w:tc>
      </w:tr>
      <w:tr w:rsidR="005E2450" w:rsidRPr="00C90CA7" w14:paraId="5A911BE4" w14:textId="77777777" w:rsidTr="00515DA6">
        <w:trPr>
          <w:trHeight w:val="279"/>
        </w:trPr>
        <w:tc>
          <w:tcPr>
            <w:tcW w:w="2582" w:type="dxa"/>
          </w:tcPr>
          <w:p w14:paraId="0878E157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proofErr w:type="spellStart"/>
            <w:r w:rsidRPr="006138D7">
              <w:rPr>
                <w:b/>
                <w:bCs/>
                <w:sz w:val="28"/>
                <w:szCs w:val="28"/>
              </w:rPr>
              <w:t>AP_NoFr</w:t>
            </w:r>
            <w:proofErr w:type="spellEnd"/>
          </w:p>
        </w:tc>
        <w:tc>
          <w:tcPr>
            <w:tcW w:w="2582" w:type="dxa"/>
          </w:tcPr>
          <w:p w14:paraId="20697C42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No</w:t>
            </w:r>
          </w:p>
        </w:tc>
        <w:tc>
          <w:tcPr>
            <w:tcW w:w="3021" w:type="dxa"/>
          </w:tcPr>
          <w:p w14:paraId="09D0A58E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No</w:t>
            </w:r>
          </w:p>
        </w:tc>
        <w:tc>
          <w:tcPr>
            <w:tcW w:w="2143" w:type="dxa"/>
          </w:tcPr>
          <w:p w14:paraId="246BE731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0</w:t>
            </w:r>
          </w:p>
        </w:tc>
      </w:tr>
      <w:tr w:rsidR="005E2450" w:rsidRPr="00C90CA7" w14:paraId="0E354BC6" w14:textId="77777777" w:rsidTr="00515DA6">
        <w:trPr>
          <w:trHeight w:val="574"/>
        </w:trPr>
        <w:tc>
          <w:tcPr>
            <w:tcW w:w="2582" w:type="dxa"/>
          </w:tcPr>
          <w:p w14:paraId="0BE7D28C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proofErr w:type="spellStart"/>
            <w:r w:rsidRPr="006138D7">
              <w:rPr>
                <w:b/>
                <w:bCs/>
                <w:sz w:val="28"/>
                <w:szCs w:val="28"/>
              </w:rPr>
              <w:t>AP_Fr</w:t>
            </w:r>
            <w:proofErr w:type="spellEnd"/>
            <w:r w:rsidRPr="006138D7">
              <w:rPr>
                <w:sz w:val="28"/>
                <w:szCs w:val="28"/>
              </w:rPr>
              <w:tab/>
            </w:r>
          </w:p>
        </w:tc>
        <w:tc>
          <w:tcPr>
            <w:tcW w:w="2582" w:type="dxa"/>
          </w:tcPr>
          <w:p w14:paraId="5784FABB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No</w:t>
            </w:r>
          </w:p>
        </w:tc>
        <w:tc>
          <w:tcPr>
            <w:tcW w:w="3021" w:type="dxa"/>
          </w:tcPr>
          <w:p w14:paraId="2393C8C7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Yes (Zonally averaged)</w:t>
            </w:r>
          </w:p>
        </w:tc>
        <w:tc>
          <w:tcPr>
            <w:tcW w:w="2143" w:type="dxa"/>
          </w:tcPr>
          <w:p w14:paraId="778A42E5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0</w:t>
            </w:r>
          </w:p>
        </w:tc>
      </w:tr>
      <w:tr w:rsidR="005E2450" w:rsidRPr="00C90CA7" w14:paraId="75B63C0A" w14:textId="77777777" w:rsidTr="00515DA6">
        <w:trPr>
          <w:trHeight w:val="294"/>
        </w:trPr>
        <w:tc>
          <w:tcPr>
            <w:tcW w:w="2582" w:type="dxa"/>
          </w:tcPr>
          <w:p w14:paraId="2DA892B8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proofErr w:type="spellStart"/>
            <w:r w:rsidRPr="006138D7">
              <w:rPr>
                <w:b/>
                <w:bCs/>
                <w:sz w:val="28"/>
                <w:szCs w:val="28"/>
              </w:rPr>
              <w:t>LSCO_NoFr</w:t>
            </w:r>
            <w:proofErr w:type="spellEnd"/>
          </w:p>
        </w:tc>
        <w:tc>
          <w:tcPr>
            <w:tcW w:w="2582" w:type="dxa"/>
          </w:tcPr>
          <w:p w14:paraId="371161A1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Yes</w:t>
            </w:r>
          </w:p>
        </w:tc>
        <w:tc>
          <w:tcPr>
            <w:tcW w:w="3021" w:type="dxa"/>
          </w:tcPr>
          <w:p w14:paraId="30DB2D96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No</w:t>
            </w:r>
          </w:p>
        </w:tc>
        <w:tc>
          <w:tcPr>
            <w:tcW w:w="2143" w:type="dxa"/>
          </w:tcPr>
          <w:p w14:paraId="6370B3FF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E2450" w:rsidRPr="00C90CA7" w14:paraId="704F3D2E" w14:textId="77777777" w:rsidTr="00515DA6">
        <w:trPr>
          <w:trHeight w:val="279"/>
        </w:trPr>
        <w:tc>
          <w:tcPr>
            <w:tcW w:w="2582" w:type="dxa"/>
          </w:tcPr>
          <w:p w14:paraId="6B2A35E1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proofErr w:type="spellStart"/>
            <w:r w:rsidRPr="006138D7">
              <w:rPr>
                <w:b/>
                <w:bCs/>
                <w:sz w:val="28"/>
                <w:szCs w:val="28"/>
              </w:rPr>
              <w:t>LSCO_Fr</w:t>
            </w:r>
            <w:proofErr w:type="spellEnd"/>
          </w:p>
        </w:tc>
        <w:tc>
          <w:tcPr>
            <w:tcW w:w="2582" w:type="dxa"/>
          </w:tcPr>
          <w:p w14:paraId="4D61E84E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Yes</w:t>
            </w:r>
          </w:p>
        </w:tc>
        <w:tc>
          <w:tcPr>
            <w:tcW w:w="3021" w:type="dxa"/>
          </w:tcPr>
          <w:p w14:paraId="4019E402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Yes</w:t>
            </w:r>
          </w:p>
        </w:tc>
        <w:tc>
          <w:tcPr>
            <w:tcW w:w="2143" w:type="dxa"/>
          </w:tcPr>
          <w:p w14:paraId="3C4CFB3E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8.</w:t>
            </w:r>
            <w:r>
              <w:rPr>
                <w:sz w:val="28"/>
                <w:szCs w:val="28"/>
              </w:rPr>
              <w:t>2</w:t>
            </w:r>
          </w:p>
        </w:tc>
      </w:tr>
      <w:tr w:rsidR="005E2450" w:rsidRPr="00C90CA7" w14:paraId="27FD11CC" w14:textId="77777777" w:rsidTr="00515DA6">
        <w:trPr>
          <w:trHeight w:val="574"/>
        </w:trPr>
        <w:tc>
          <w:tcPr>
            <w:tcW w:w="2582" w:type="dxa"/>
          </w:tcPr>
          <w:p w14:paraId="2AEB0EBD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proofErr w:type="spellStart"/>
            <w:r w:rsidRPr="006138D7">
              <w:rPr>
                <w:b/>
                <w:bCs/>
                <w:sz w:val="28"/>
                <w:szCs w:val="28"/>
              </w:rPr>
              <w:t>LSCO_A</w:t>
            </w:r>
            <w:r w:rsidRPr="00C90CA7">
              <w:rPr>
                <w:b/>
                <w:bCs/>
                <w:sz w:val="28"/>
                <w:szCs w:val="28"/>
              </w:rPr>
              <w:t>t</w:t>
            </w:r>
            <w:r w:rsidRPr="006138D7">
              <w:rPr>
                <w:b/>
                <w:bCs/>
                <w:sz w:val="28"/>
                <w:szCs w:val="28"/>
              </w:rPr>
              <w:t>Fr</w:t>
            </w:r>
            <w:proofErr w:type="spellEnd"/>
          </w:p>
        </w:tc>
        <w:tc>
          <w:tcPr>
            <w:tcW w:w="2582" w:type="dxa"/>
          </w:tcPr>
          <w:p w14:paraId="16A13A43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Yes</w:t>
            </w:r>
          </w:p>
        </w:tc>
        <w:tc>
          <w:tcPr>
            <w:tcW w:w="3021" w:type="dxa"/>
          </w:tcPr>
          <w:p w14:paraId="4244C866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6138D7">
              <w:rPr>
                <w:sz w:val="28"/>
                <w:szCs w:val="28"/>
              </w:rPr>
              <w:t>Yes (Atlantic Only)</w:t>
            </w:r>
          </w:p>
        </w:tc>
        <w:tc>
          <w:tcPr>
            <w:tcW w:w="2143" w:type="dxa"/>
          </w:tcPr>
          <w:p w14:paraId="63C8C366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0.</w:t>
            </w:r>
            <w:r>
              <w:rPr>
                <w:sz w:val="28"/>
                <w:szCs w:val="28"/>
              </w:rPr>
              <w:t>5</w:t>
            </w:r>
          </w:p>
        </w:tc>
      </w:tr>
      <w:tr w:rsidR="005E2450" w:rsidRPr="00C90CA7" w14:paraId="6026D929" w14:textId="77777777" w:rsidTr="00515DA6">
        <w:trPr>
          <w:trHeight w:val="574"/>
        </w:trPr>
        <w:tc>
          <w:tcPr>
            <w:tcW w:w="2582" w:type="dxa"/>
          </w:tcPr>
          <w:p w14:paraId="32A08E9C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proofErr w:type="spellStart"/>
            <w:r w:rsidRPr="006138D7">
              <w:rPr>
                <w:b/>
                <w:bCs/>
                <w:sz w:val="28"/>
                <w:szCs w:val="28"/>
              </w:rPr>
              <w:t>LSCO_PFr</w:t>
            </w:r>
            <w:proofErr w:type="spellEnd"/>
          </w:p>
        </w:tc>
        <w:tc>
          <w:tcPr>
            <w:tcW w:w="2582" w:type="dxa"/>
          </w:tcPr>
          <w:p w14:paraId="548BC5CC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C90CA7">
              <w:rPr>
                <w:sz w:val="28"/>
                <w:szCs w:val="28"/>
              </w:rPr>
              <w:t>Yes</w:t>
            </w:r>
          </w:p>
        </w:tc>
        <w:tc>
          <w:tcPr>
            <w:tcW w:w="3021" w:type="dxa"/>
          </w:tcPr>
          <w:p w14:paraId="112FF5C2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 w:rsidRPr="006138D7">
              <w:rPr>
                <w:sz w:val="28"/>
                <w:szCs w:val="28"/>
              </w:rPr>
              <w:t>Yes (Pacific Only)</w:t>
            </w:r>
          </w:p>
        </w:tc>
        <w:tc>
          <w:tcPr>
            <w:tcW w:w="2143" w:type="dxa"/>
          </w:tcPr>
          <w:p w14:paraId="77F3D45D" w14:textId="77777777" w:rsidR="005E2450" w:rsidRPr="00C90CA7" w:rsidRDefault="005E2450" w:rsidP="00515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C90CA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</w:p>
        </w:tc>
      </w:tr>
    </w:tbl>
    <w:p w14:paraId="4D65F0F5" w14:textId="77777777" w:rsidR="005E2450" w:rsidRDefault="005E2450" w:rsidP="005E2450">
      <w:pPr>
        <w:rPr>
          <w:sz w:val="28"/>
          <w:szCs w:val="28"/>
        </w:rPr>
      </w:pPr>
    </w:p>
    <w:p w14:paraId="5AD9B288" w14:textId="77777777" w:rsidR="005E2450" w:rsidRPr="00C90CA7" w:rsidRDefault="005E2450" w:rsidP="005E2450">
      <w:pPr>
        <w:rPr>
          <w:sz w:val="28"/>
          <w:szCs w:val="28"/>
        </w:rPr>
      </w:pPr>
      <w:r w:rsidRPr="005E4BCE">
        <w:rPr>
          <w:b/>
          <w:bCs/>
          <w:sz w:val="28"/>
          <w:szCs w:val="28"/>
        </w:rPr>
        <w:t>Stable. 1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table describing the experiments performed and simulated SSW-frequency in events per decade.</w:t>
      </w:r>
    </w:p>
    <w:p w14:paraId="6CA2E8D7" w14:textId="77777777" w:rsidR="005E2450" w:rsidRDefault="005E2450" w:rsidP="005E2450"/>
    <w:p w14:paraId="40CB6D5A" w14:textId="77777777" w:rsidR="005E2450" w:rsidRDefault="005E2450" w:rsidP="005E2450"/>
    <w:p w14:paraId="572EE917" w14:textId="77777777" w:rsidR="005E2450" w:rsidRDefault="005E2450" w:rsidP="005E2450"/>
    <w:p w14:paraId="3DB0F790" w14:textId="77777777" w:rsidR="005E2450" w:rsidRDefault="005E2450" w:rsidP="005E2450"/>
    <w:p w14:paraId="491631D8" w14:textId="77777777" w:rsidR="005E2450" w:rsidRDefault="005E2450" w:rsidP="005E2450">
      <w:r>
        <w:rPr>
          <w:noProof/>
        </w:rPr>
        <w:lastRenderedPageBreak/>
        <w:drawing>
          <wp:inline distT="0" distB="0" distL="0" distR="0" wp14:anchorId="6181302A" wp14:editId="342194CC">
            <wp:extent cx="5943600" cy="4457700"/>
            <wp:effectExtent l="0" t="0" r="0" b="0"/>
            <wp:docPr id="1821550229" name="Picture 8" descr="A diagram of a global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50229" name="Picture 8" descr="A diagram of a global graph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FFD6" w14:textId="7310DD4E" w:rsidR="005E2450" w:rsidRPr="00D07AED" w:rsidRDefault="005E2450" w:rsidP="005E2450">
      <w:pPr>
        <w:autoSpaceDE w:val="0"/>
        <w:autoSpaceDN w:val="0"/>
        <w:adjustRightInd w:val="0"/>
        <w:spacing w:line="400" w:lineRule="atLeast"/>
        <w:rPr>
          <w:rFonts w:ascii="Times" w:hAnsi="Times" w:cs="Times"/>
          <w:color w:val="000000"/>
          <w:kern w:val="0"/>
          <w:lang w:val="en-GB"/>
        </w:rPr>
      </w:pPr>
      <w:proofErr w:type="spellStart"/>
      <w:r w:rsidRPr="005E4BCE">
        <w:rPr>
          <w:b/>
          <w:bCs/>
        </w:rPr>
        <w:t>Sfig</w:t>
      </w:r>
      <w:proofErr w:type="spellEnd"/>
      <w:r w:rsidRPr="005E4BCE">
        <w:rPr>
          <w:b/>
          <w:bCs/>
        </w:rPr>
        <w:t>. 1 SST forcing</w:t>
      </w:r>
      <w:r w:rsidR="00804ABA">
        <w:rPr>
          <w:b/>
          <w:bCs/>
        </w:rPr>
        <w:t xml:space="preserve"> (taken from Omrani et al. 2019, </w:t>
      </w:r>
      <w:r w:rsidR="00804ABA">
        <w:rPr>
          <w:b/>
          <w:bCs/>
        </w:rPr>
        <w:fldChar w:fldCharType="begin"/>
      </w:r>
      <w:r w:rsidR="00804ABA">
        <w:rPr>
          <w:b/>
          <w:bCs/>
        </w:rPr>
        <w:instrText xml:space="preserve"> ADDIN EN.CITE &lt;EndNote&gt;&lt;Cite&gt;&lt;Author&gt;Omrani&lt;/Author&gt;&lt;Year&gt;2019&lt;/Year&gt;&lt;RecNum&gt;1374&lt;/RecNum&gt;&lt;DisplayText&gt;(&lt;style face="italic"&gt;1&lt;/style&gt;)&lt;/DisplayText&gt;&lt;record&gt;&lt;rec-number&gt;1374&lt;/rec-number&gt;&lt;foreign-keys&gt;&lt;key app="EN" db-id="zasz9pwajt2szkew5xdxwsd8wvf5d0rzwvr2" timestamp="1554042257"&gt;1374&lt;/key&gt;&lt;/foreign-keys&gt;&lt;ref-type name="Journal Article"&gt;17&lt;/ref-type&gt;&lt;contributors&gt;&lt;authors&gt;&lt;author&gt;Omrani, Nour-Eddine&lt;/author&gt;&lt;author&gt;Ogawa, Fumiaki&lt;/author&gt;&lt;author&gt;Nakamura, Hisashi&lt;/author&gt;&lt;author&gt;Keenlyside, Noel&lt;/author&gt;&lt;author&gt;Lubis, Sandro W.&lt;/author&gt;&lt;author&gt;Matthes, Katja&lt;/author&gt;&lt;/authors&gt;&lt;/contributors&gt;&lt;titles&gt;&lt;title&gt;Key Role of the Ocean Western Boundary currents in shaping the Northern Hemisphere climate&lt;/title&gt;&lt;secondary-title&gt;Scientific Reports&lt;/secondary-title&gt;&lt;/titles&gt;&lt;periodical&gt;&lt;full-title&gt;Scientific Reports&lt;/full-title&gt;&lt;abbr-1&gt;Sci Rep-Uk&lt;/abbr-1&gt;&lt;/periodical&gt;&lt;pages&gt;3014&lt;/pages&gt;&lt;volume&gt;9&lt;/volume&gt;&lt;number&gt;1&lt;/number&gt;&lt;dates&gt;&lt;year&gt;2019&lt;/year&gt;&lt;pub-dates&gt;&lt;date&gt;2019/02/28&lt;/date&gt;&lt;/pub-dates&gt;&lt;/dates&gt;&lt;isbn&gt;2045-2322&lt;/isbn&gt;&lt;urls&gt;&lt;related-urls&gt;&lt;url&gt;https://doi.org/10.1038/s41598-019-39392-y&lt;/url&gt;&lt;/related-urls&gt;&lt;/urls&gt;&lt;electronic-resource-num&gt;10.1038/s41598-019-39392-y&lt;/electronic-resource-num&gt;&lt;/record&gt;&lt;/Cite&gt;&lt;/EndNote&gt;</w:instrText>
      </w:r>
      <w:r w:rsidR="00804ABA">
        <w:rPr>
          <w:b/>
          <w:bCs/>
        </w:rPr>
        <w:fldChar w:fldCharType="separate"/>
      </w:r>
      <w:r w:rsidR="00804ABA">
        <w:rPr>
          <w:b/>
          <w:bCs/>
          <w:noProof/>
        </w:rPr>
        <w:t>(</w:t>
      </w:r>
      <w:r w:rsidR="00804ABA" w:rsidRPr="00804ABA">
        <w:rPr>
          <w:b/>
          <w:bCs/>
          <w:i/>
          <w:noProof/>
        </w:rPr>
        <w:t>1</w:t>
      </w:r>
      <w:r w:rsidR="00804ABA">
        <w:rPr>
          <w:b/>
          <w:bCs/>
          <w:noProof/>
        </w:rPr>
        <w:t>)</w:t>
      </w:r>
      <w:r w:rsidR="00804ABA">
        <w:rPr>
          <w:b/>
          <w:bCs/>
        </w:rPr>
        <w:fldChar w:fldCharType="end"/>
      </w:r>
      <w:r w:rsidR="00804ABA">
        <w:rPr>
          <w:b/>
          <w:bCs/>
        </w:rPr>
        <w:t>)</w:t>
      </w:r>
      <w:r w:rsidRPr="005E4BCE">
        <w:rPr>
          <w:b/>
          <w:bCs/>
        </w:rPr>
        <w:t>:</w:t>
      </w:r>
      <w:r>
        <w:t xml:space="preserve"> </w:t>
      </w:r>
      <w:r w:rsidRPr="008268DA">
        <w:t xml:space="preserve"> </w:t>
      </w:r>
      <w:r>
        <w:t xml:space="preserve">(a) and (b) represent the </w:t>
      </w:r>
      <w:r w:rsidRPr="008268DA">
        <w:t>January SST and its meridional gradients plotted for (</w:t>
      </w:r>
      <w:r w:rsidRPr="008268DA">
        <w:rPr>
          <w:b/>
          <w:bCs/>
        </w:rPr>
        <w:t>a</w:t>
      </w:r>
      <w:r w:rsidRPr="008268DA">
        <w:t>) non-front (NF)-experiment and (</w:t>
      </w:r>
      <w:r w:rsidRPr="008268DA">
        <w:rPr>
          <w:b/>
          <w:bCs/>
        </w:rPr>
        <w:t>b</w:t>
      </w:r>
      <w:r w:rsidRPr="008268DA">
        <w:t xml:space="preserve">) both (Atlantic and Pacific) climatological SST fronts </w:t>
      </w:r>
      <w:r>
        <w:t xml:space="preserve">in the </w:t>
      </w:r>
      <w:proofErr w:type="spellStart"/>
      <w:r w:rsidRPr="006138D7">
        <w:rPr>
          <w:b/>
          <w:bCs/>
          <w:sz w:val="28"/>
          <w:szCs w:val="28"/>
        </w:rPr>
        <w:t>LSCO_Fr</w:t>
      </w:r>
      <w:proofErr w:type="spellEnd"/>
      <w:r w:rsidRPr="008268DA">
        <w:t xml:space="preserve"> </w:t>
      </w:r>
      <w:r>
        <w:t>experiment</w:t>
      </w:r>
      <w:r w:rsidRPr="008268DA">
        <w:t xml:space="preserve"> (Method</w:t>
      </w:r>
      <w:r>
        <w:t xml:space="preserve">s). (c) </w:t>
      </w:r>
      <w:r w:rsidRPr="00D07AED">
        <w:rPr>
          <w:rFonts w:ascii="Calibri" w:hAnsi="Calibri" w:cs="Calibri"/>
          <w:color w:val="000000"/>
          <w:kern w:val="0"/>
          <w:lang w:val="en-GB"/>
        </w:rPr>
        <w:t xml:space="preserve">. (c) represents the global zonally averaged SST-gradient used in NF-experiments (in black), </w:t>
      </w:r>
      <w:r>
        <w:rPr>
          <w:rFonts w:ascii="Calibri" w:hAnsi="Calibri" w:cs="Calibri"/>
          <w:color w:val="000000"/>
          <w:kern w:val="0"/>
          <w:lang w:val="en-GB"/>
        </w:rPr>
        <w:t xml:space="preserve">and the SST-gradient in the north Atlantic (in green) and north </w:t>
      </w:r>
      <w:r w:rsidRPr="00D07AED">
        <w:rPr>
          <w:rFonts w:ascii="Calibri" w:hAnsi="Calibri" w:cs="Calibri"/>
          <w:color w:val="000000"/>
          <w:kern w:val="0"/>
          <w:lang w:val="en-GB"/>
        </w:rPr>
        <w:t>Pacific (in pink)</w:t>
      </w:r>
      <w:r>
        <w:rPr>
          <w:rFonts w:ascii="Calibri" w:hAnsi="Calibri" w:cs="Calibri"/>
          <w:color w:val="000000"/>
          <w:kern w:val="0"/>
          <w:lang w:val="en-GB"/>
        </w:rPr>
        <w:t xml:space="preserve"> western boundary current.</w:t>
      </w:r>
    </w:p>
    <w:p w14:paraId="039DA2D1" w14:textId="77777777" w:rsidR="005E2450" w:rsidRPr="00D07AED" w:rsidRDefault="005E2450" w:rsidP="005E2450">
      <w:pPr>
        <w:rPr>
          <w:lang w:val="en-GB"/>
        </w:rPr>
      </w:pPr>
    </w:p>
    <w:p w14:paraId="517BD8F5" w14:textId="77777777" w:rsidR="005E2450" w:rsidRPr="00A05950" w:rsidRDefault="005E2450" w:rsidP="005E2450">
      <w:pPr>
        <w:rPr>
          <w:lang w:val="en-GB"/>
        </w:rPr>
      </w:pPr>
    </w:p>
    <w:p w14:paraId="173F0F37" w14:textId="77777777" w:rsidR="005E2450" w:rsidRDefault="005E2450" w:rsidP="005E2450">
      <w:r>
        <w:rPr>
          <w:noProof/>
        </w:rPr>
        <w:lastRenderedPageBreak/>
        <w:drawing>
          <wp:inline distT="0" distB="0" distL="0" distR="0" wp14:anchorId="07563246" wp14:editId="10D36AF1">
            <wp:extent cx="5943423" cy="3107410"/>
            <wp:effectExtent l="0" t="0" r="635" b="4445"/>
            <wp:docPr id="1854512234" name="Picture 12" descr="A graph showing the same number of day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12234" name="Picture 12" descr="A graph showing the same number of days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2" b="19338"/>
                    <a:stretch/>
                  </pic:blipFill>
                  <pic:spPr bwMode="auto">
                    <a:xfrm>
                      <a:off x="0" y="0"/>
                      <a:ext cx="5943600" cy="310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76D25" w14:textId="77777777" w:rsidR="005E2450" w:rsidRPr="000B3ACA" w:rsidRDefault="005E2450" w:rsidP="005E2450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bCs/>
          <w:sz w:val="22"/>
          <w:szCs w:val="22"/>
        </w:rPr>
        <w:t>Sf</w:t>
      </w:r>
      <w:r w:rsidRPr="000B3ACA">
        <w:rPr>
          <w:rFonts w:ascii="Times New Roman" w:hAnsi="Times New Roman" w:cs="Times New Roman"/>
          <w:b/>
          <w:bCs/>
          <w:sz w:val="22"/>
          <w:szCs w:val="22"/>
        </w:rPr>
        <w:t>ig</w:t>
      </w:r>
      <w:proofErr w:type="spellEnd"/>
      <w:r w:rsidRPr="000B3ACA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0B3ACA">
        <w:rPr>
          <w:rFonts w:ascii="Times New Roman" w:hAnsi="Times New Roman" w:cs="Times New Roman"/>
          <w:b/>
          <w:bCs/>
          <w:sz w:val="22"/>
          <w:szCs w:val="22"/>
        </w:rPr>
        <w:t xml:space="preserve"> Seasonal evolution</w:t>
      </w:r>
      <w:r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Pr="000B3ACA">
        <w:rPr>
          <w:rFonts w:ascii="Times New Roman" w:hAnsi="Times New Roman" w:cs="Times New Roman"/>
          <w:b/>
          <w:bCs/>
          <w:sz w:val="22"/>
          <w:szCs w:val="22"/>
        </w:rPr>
        <w:t xml:space="preserve"> of the stratospheric zonally averaged zonal wind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(NCEP reanalysis)</w:t>
      </w:r>
      <w:r w:rsidRPr="000B3ACA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0B3AC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Like Fig. 1, t</w:t>
      </w:r>
      <w:r w:rsidRPr="000B3ACA">
        <w:rPr>
          <w:rFonts w:ascii="Times New Roman" w:hAnsi="Times New Roman" w:cs="Times New Roman"/>
          <w:sz w:val="22"/>
          <w:szCs w:val="22"/>
        </w:rPr>
        <w:t>h</w:t>
      </w:r>
      <w:r>
        <w:rPr>
          <w:rFonts w:ascii="Times New Roman" w:hAnsi="Times New Roman" w:cs="Times New Roman"/>
          <w:sz w:val="22"/>
          <w:szCs w:val="22"/>
        </w:rPr>
        <w:t>ese</w:t>
      </w:r>
      <w:r w:rsidRPr="000B3ACA">
        <w:rPr>
          <w:rFonts w:ascii="Times New Roman" w:hAnsi="Times New Roman" w:cs="Times New Roman"/>
          <w:sz w:val="22"/>
          <w:szCs w:val="22"/>
        </w:rPr>
        <w:t xml:space="preserve"> panels depict the seasonal evolution on daily timescales of the zonally averaged westerly wind (u) at 10 </w:t>
      </w:r>
      <w:proofErr w:type="spellStart"/>
      <w:r w:rsidRPr="000B3ACA">
        <w:rPr>
          <w:rFonts w:ascii="Times New Roman" w:hAnsi="Times New Roman" w:cs="Times New Roman"/>
          <w:sz w:val="22"/>
          <w:szCs w:val="22"/>
        </w:rPr>
        <w:t>hPa</w:t>
      </w:r>
      <w:proofErr w:type="spellEnd"/>
      <w:r w:rsidRPr="000B3ACA">
        <w:rPr>
          <w:rFonts w:ascii="Times New Roman" w:hAnsi="Times New Roman" w:cs="Times New Roman"/>
          <w:sz w:val="22"/>
          <w:szCs w:val="22"/>
        </w:rPr>
        <w:t xml:space="preserve"> and 60° </w:t>
      </w:r>
      <w:r>
        <w:rPr>
          <w:rFonts w:ascii="Times New Roman" w:hAnsi="Times New Roman" w:cs="Times New Roman"/>
          <w:sz w:val="22"/>
          <w:szCs w:val="22"/>
        </w:rPr>
        <w:t>in the (a) Southern Hemisphere (SH) and (b) Northern Hemisphere (NH)</w:t>
      </w:r>
      <w:r w:rsidRPr="000B3ACA">
        <w:rPr>
          <w:rFonts w:ascii="Times New Roman" w:hAnsi="Times New Roman" w:cs="Times New Roman"/>
          <w:sz w:val="22"/>
          <w:szCs w:val="22"/>
        </w:rPr>
        <w:t xml:space="preserve">. The black lines indicate the mean seasonal cycle, while the blue and red lines represent the ±1 and ±2 standard deviation margins, respectively. The dark yellow horizontal line denotes the zero-wind threshold, indicating the transition from westerly to easterly winds, which </w:t>
      </w:r>
      <w:r>
        <w:rPr>
          <w:rFonts w:ascii="Times New Roman" w:hAnsi="Times New Roman" w:cs="Times New Roman"/>
          <w:sz w:val="22"/>
          <w:szCs w:val="22"/>
        </w:rPr>
        <w:t>leads to</w:t>
      </w:r>
      <w:r w:rsidRPr="000B3ACA">
        <w:rPr>
          <w:rFonts w:ascii="Times New Roman" w:hAnsi="Times New Roman" w:cs="Times New Roman"/>
          <w:sz w:val="22"/>
          <w:szCs w:val="22"/>
        </w:rPr>
        <w:t xml:space="preserve"> the occurrence of Sudden Stratospheric Warmings (SSWs).</w:t>
      </w:r>
    </w:p>
    <w:p w14:paraId="0E631F2D" w14:textId="77777777" w:rsidR="005E2450" w:rsidRDefault="005E2450" w:rsidP="005E2450"/>
    <w:p w14:paraId="0BAFC90F" w14:textId="77777777" w:rsidR="005E2450" w:rsidRDefault="005E2450" w:rsidP="005E2450">
      <w:r>
        <w:rPr>
          <w:noProof/>
        </w:rPr>
        <w:lastRenderedPageBreak/>
        <w:drawing>
          <wp:inline distT="0" distB="0" distL="0" distR="0" wp14:anchorId="19BA6C48" wp14:editId="1FD8B9A2">
            <wp:extent cx="5943600" cy="4457700"/>
            <wp:effectExtent l="0" t="0" r="0" b="0"/>
            <wp:docPr id="671706160" name="Picture 15" descr="A group of graphs showing different types of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06160" name="Picture 15" descr="A group of graphs showing different types of dat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F167" w14:textId="77777777" w:rsidR="005E2450" w:rsidRPr="000B3ACA" w:rsidRDefault="005E2450" w:rsidP="005E2450">
      <w:pPr>
        <w:jc w:val="both"/>
      </w:pPr>
      <w:proofErr w:type="spellStart"/>
      <w:r>
        <w:rPr>
          <w:b/>
          <w:bCs/>
        </w:rPr>
        <w:t>Sf</w:t>
      </w:r>
      <w:r w:rsidRPr="000B3ACA">
        <w:rPr>
          <w:b/>
          <w:bCs/>
        </w:rPr>
        <w:t>ig</w:t>
      </w:r>
      <w:proofErr w:type="spellEnd"/>
      <w:r w:rsidRPr="000B3ACA">
        <w:rPr>
          <w:b/>
          <w:bCs/>
        </w:rPr>
        <w:t xml:space="preserve">. </w:t>
      </w:r>
      <w:r>
        <w:rPr>
          <w:b/>
          <w:bCs/>
        </w:rPr>
        <w:t>3</w:t>
      </w:r>
      <w:r w:rsidRPr="000B3ACA">
        <w:rPr>
          <w:b/>
          <w:bCs/>
        </w:rPr>
        <w:t xml:space="preserve"> Seasonal evolutions of PPSC type I and II</w:t>
      </w:r>
      <w:r>
        <w:rPr>
          <w:b/>
          <w:bCs/>
        </w:rPr>
        <w:t xml:space="preserve"> (NCEP)</w:t>
      </w:r>
      <w:r w:rsidRPr="000B3ACA">
        <w:rPr>
          <w:b/>
          <w:bCs/>
        </w:rPr>
        <w:t>:</w:t>
      </w:r>
      <w:r w:rsidRPr="000B3ACA">
        <w:t xml:space="preserve"> </w:t>
      </w:r>
      <w:r>
        <w:t>Like Fig. 2, t</w:t>
      </w:r>
      <w:r w:rsidRPr="000B3ACA">
        <w:t>he</w:t>
      </w:r>
      <w:r>
        <w:t>se</w:t>
      </w:r>
      <w:r w:rsidRPr="000B3ACA">
        <w:t xml:space="preserve"> panels illustrate the seasonal evolution of the potential </w:t>
      </w:r>
      <w:r>
        <w:t>formation of</w:t>
      </w:r>
      <w:r w:rsidRPr="000B3ACA">
        <w:t xml:space="preserve"> polar stratospheric clouds (PPSC</w:t>
      </w:r>
      <w:r>
        <w:t>, Methods</w:t>
      </w:r>
      <w:r w:rsidRPr="000B3ACA">
        <w:t xml:space="preserve">) </w:t>
      </w:r>
      <w:r>
        <w:t>for NH and SH using NCEP reanalysis</w:t>
      </w:r>
      <w:r w:rsidRPr="000B3ACA">
        <w:t>. Panels (a)</w:t>
      </w:r>
      <w:r>
        <w:t xml:space="preserve"> and</w:t>
      </w:r>
      <w:r w:rsidRPr="000B3ACA">
        <w:t xml:space="preserve"> (</w:t>
      </w:r>
      <w:r>
        <w:t>c</w:t>
      </w:r>
      <w:r w:rsidRPr="000B3ACA">
        <w:t>)</w:t>
      </w:r>
      <w:r>
        <w:t xml:space="preserve"> </w:t>
      </w:r>
      <w:r w:rsidRPr="000B3ACA">
        <w:t xml:space="preserve">depict </w:t>
      </w:r>
      <w:r>
        <w:t xml:space="preserve">respectively </w:t>
      </w:r>
      <w:r w:rsidRPr="000B3ACA">
        <w:t>PPSC type I</w:t>
      </w:r>
      <w:r>
        <w:t xml:space="preserve"> and II for SH and panels (b) and (d) depict the PPSC type I and II for NH. PPSC I (PPSC I) are </w:t>
      </w:r>
      <w:r w:rsidRPr="000B3ACA">
        <w:t xml:space="preserve">defined as the percentage of the </w:t>
      </w:r>
      <w:r>
        <w:t xml:space="preserve">hemispheric </w:t>
      </w:r>
      <w:r w:rsidRPr="000B3ACA">
        <w:t xml:space="preserve">area where temperatures fall below 195 </w:t>
      </w:r>
      <w:r>
        <w:t xml:space="preserve">(188) </w:t>
      </w:r>
      <w:r w:rsidRPr="000B3ACA">
        <w:t>K</w:t>
      </w:r>
      <w:r>
        <w:t xml:space="preserve">. </w:t>
      </w:r>
      <w:r w:rsidRPr="000B3ACA">
        <w:t>The black lines indicate the mean seasonal cycle, while the blue and red lines represent the ±1 and ±2 standard deviation margins, respectively.</w:t>
      </w:r>
    </w:p>
    <w:p w14:paraId="11F9FC06" w14:textId="77777777" w:rsidR="005E2450" w:rsidRDefault="005E2450" w:rsidP="005E2450"/>
    <w:p w14:paraId="3E46328B" w14:textId="77777777" w:rsidR="005E2450" w:rsidRDefault="005E2450" w:rsidP="005E2450">
      <w:r>
        <w:rPr>
          <w:noProof/>
        </w:rPr>
        <w:lastRenderedPageBreak/>
        <w:drawing>
          <wp:inline distT="0" distB="0" distL="0" distR="0" wp14:anchorId="58564D86" wp14:editId="01E8E713">
            <wp:extent cx="4849906" cy="6466541"/>
            <wp:effectExtent l="0" t="0" r="1905" b="0"/>
            <wp:docPr id="1283179706" name="Picture 20" descr="A group of graphs showing different types of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79706" name="Picture 20" descr="A group of graphs showing different types of ai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035" cy="65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D976" w14:textId="77777777" w:rsidR="005E2450" w:rsidRDefault="005E2450" w:rsidP="005E2450"/>
    <w:p w14:paraId="7C5C4AF9" w14:textId="77777777" w:rsidR="005E2450" w:rsidRPr="000B3ACA" w:rsidRDefault="005E2450" w:rsidP="005E2450">
      <w:pPr>
        <w:jc w:val="both"/>
      </w:pPr>
      <w:proofErr w:type="spellStart"/>
      <w:r>
        <w:rPr>
          <w:b/>
          <w:bCs/>
        </w:rPr>
        <w:t>Sf</w:t>
      </w:r>
      <w:r w:rsidRPr="000B3ACA">
        <w:rPr>
          <w:b/>
          <w:bCs/>
        </w:rPr>
        <w:t>ig</w:t>
      </w:r>
      <w:proofErr w:type="spellEnd"/>
      <w:r w:rsidRPr="000B3ACA">
        <w:rPr>
          <w:b/>
          <w:bCs/>
        </w:rPr>
        <w:t xml:space="preserve">. </w:t>
      </w:r>
      <w:r>
        <w:rPr>
          <w:b/>
          <w:bCs/>
        </w:rPr>
        <w:t>4</w:t>
      </w:r>
      <w:r w:rsidRPr="000B3ACA">
        <w:rPr>
          <w:b/>
          <w:bCs/>
        </w:rPr>
        <w:t xml:space="preserve"> Seasonal evolutions of </w:t>
      </w:r>
      <w:r w:rsidRPr="000B3ACA">
        <w:rPr>
          <w:rFonts w:ascii="Times New Roman" w:hAnsi="Times New Roman" w:cs="Times New Roman"/>
          <w:b/>
          <w:bCs/>
          <w:sz w:val="22"/>
          <w:szCs w:val="22"/>
        </w:rPr>
        <w:t>stratospheric zonally averaged zonal wind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and </w:t>
      </w:r>
      <w:r w:rsidRPr="000B3ACA">
        <w:rPr>
          <w:b/>
          <w:bCs/>
        </w:rPr>
        <w:t xml:space="preserve">PPSC </w:t>
      </w:r>
      <w:r>
        <w:rPr>
          <w:b/>
          <w:bCs/>
        </w:rPr>
        <w:t>(Atlantic and Pacific experiments)</w:t>
      </w:r>
      <w:r w:rsidRPr="000B3ACA">
        <w:rPr>
          <w:b/>
          <w:bCs/>
        </w:rPr>
        <w:t>:</w:t>
      </w:r>
      <w:r w:rsidRPr="000B3ACA">
        <w:t xml:space="preserve"> </w:t>
      </w:r>
      <w:r>
        <w:rPr>
          <w:rFonts w:ascii="Times New Roman" w:hAnsi="Times New Roman" w:cs="Times New Roman"/>
          <w:sz w:val="22"/>
          <w:szCs w:val="22"/>
        </w:rPr>
        <w:t>Like Fig. 1, (a) and (b)</w:t>
      </w:r>
      <w:r w:rsidRPr="000B3ACA">
        <w:rPr>
          <w:rFonts w:ascii="Times New Roman" w:hAnsi="Times New Roman" w:cs="Times New Roman"/>
          <w:sz w:val="22"/>
          <w:szCs w:val="22"/>
        </w:rPr>
        <w:t xml:space="preserve"> depict the seasonal evolution of the zonally averaged westerly wind (u) at 10 </w:t>
      </w:r>
      <w:proofErr w:type="spellStart"/>
      <w:r w:rsidRPr="000B3ACA">
        <w:rPr>
          <w:rFonts w:ascii="Times New Roman" w:hAnsi="Times New Roman" w:cs="Times New Roman"/>
          <w:sz w:val="22"/>
          <w:szCs w:val="22"/>
        </w:rPr>
        <w:t>hPa</w:t>
      </w:r>
      <w:proofErr w:type="spellEnd"/>
      <w:r w:rsidRPr="000B3ACA">
        <w:rPr>
          <w:rFonts w:ascii="Times New Roman" w:hAnsi="Times New Roman" w:cs="Times New Roman"/>
          <w:sz w:val="22"/>
          <w:szCs w:val="22"/>
        </w:rPr>
        <w:t xml:space="preserve"> and 60°N </w:t>
      </w:r>
      <w:r>
        <w:rPr>
          <w:rFonts w:ascii="Times New Roman" w:hAnsi="Times New Roman" w:cs="Times New Roman"/>
          <w:sz w:val="22"/>
          <w:szCs w:val="22"/>
        </w:rPr>
        <w:t>for Atlantic SST-fronts experiment (</w:t>
      </w:r>
      <w:proofErr w:type="spellStart"/>
      <w:r>
        <w:rPr>
          <w:rFonts w:ascii="Times New Roman" w:hAnsi="Times New Roman" w:cs="Times New Roman"/>
          <w:sz w:val="22"/>
          <w:szCs w:val="22"/>
        </w:rPr>
        <w:t>LSCO_AtFr</w:t>
      </w:r>
      <w:proofErr w:type="spellEnd"/>
      <w:r>
        <w:rPr>
          <w:rFonts w:ascii="Times New Roman" w:hAnsi="Times New Roman" w:cs="Times New Roman"/>
          <w:sz w:val="22"/>
          <w:szCs w:val="22"/>
        </w:rPr>
        <w:t>) and (b) Pacific SST-front experiment (</w:t>
      </w:r>
      <w:proofErr w:type="spellStart"/>
      <w:r>
        <w:rPr>
          <w:rFonts w:ascii="Times New Roman" w:hAnsi="Times New Roman" w:cs="Times New Roman"/>
          <w:sz w:val="22"/>
          <w:szCs w:val="22"/>
        </w:rPr>
        <w:t>LSCO_PaFr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). (c) and (d) represent </w:t>
      </w:r>
      <w:r w:rsidRPr="000B3ACA">
        <w:t>depict PPSC type I</w:t>
      </w:r>
      <w:r>
        <w:t xml:space="preserve"> for </w:t>
      </w:r>
      <w:proofErr w:type="spellStart"/>
      <w:r>
        <w:rPr>
          <w:rFonts w:ascii="Times New Roman" w:hAnsi="Times New Roman" w:cs="Times New Roman"/>
          <w:sz w:val="22"/>
          <w:szCs w:val="22"/>
        </w:rPr>
        <w:t>LSCO_AtFr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and </w:t>
      </w:r>
      <w: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LSCO</w:t>
      </w:r>
      <w:proofErr w:type="gramEnd"/>
      <w:r>
        <w:rPr>
          <w:rFonts w:ascii="Times New Roman" w:hAnsi="Times New Roman" w:cs="Times New Roman"/>
          <w:sz w:val="22"/>
          <w:szCs w:val="22"/>
        </w:rPr>
        <w:t>_PaFr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experiment respectively</w:t>
      </w:r>
      <w:r>
        <w:t xml:space="preserve">. (e) and (f) represent </w:t>
      </w:r>
      <w:r w:rsidRPr="000B3ACA">
        <w:t>PPSC type I</w:t>
      </w:r>
      <w:r>
        <w:t xml:space="preserve">I for </w:t>
      </w:r>
      <w:proofErr w:type="spellStart"/>
      <w:r>
        <w:rPr>
          <w:rFonts w:ascii="Times New Roman" w:hAnsi="Times New Roman" w:cs="Times New Roman"/>
          <w:sz w:val="22"/>
          <w:szCs w:val="22"/>
        </w:rPr>
        <w:t>LSCO_AtFr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and </w:t>
      </w:r>
      <w: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lastRenderedPageBreak/>
        <w:t>LSCO</w:t>
      </w:r>
      <w:proofErr w:type="gramEnd"/>
      <w:r>
        <w:rPr>
          <w:rFonts w:ascii="Times New Roman" w:hAnsi="Times New Roman" w:cs="Times New Roman"/>
          <w:sz w:val="22"/>
          <w:szCs w:val="22"/>
        </w:rPr>
        <w:t>_PaFr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experiment respectively</w:t>
      </w:r>
      <w:r w:rsidRPr="000B3ACA">
        <w:t>. The black lines indicate the mean seasonal cycle, while the blue and red lines represent the ±1 and ±2 standard deviation margins, respectively.</w:t>
      </w:r>
    </w:p>
    <w:p w14:paraId="7BB51AC1" w14:textId="77777777" w:rsidR="005E2450" w:rsidRDefault="005E2450" w:rsidP="005E2450"/>
    <w:p w14:paraId="6CD92584" w14:textId="789E997B" w:rsidR="005E2450" w:rsidRDefault="005E2450" w:rsidP="005E2450">
      <w:r w:rsidRPr="006138D7">
        <w:tab/>
      </w:r>
      <w:r w:rsidRPr="006138D7">
        <w:tab/>
      </w:r>
    </w:p>
    <w:p w14:paraId="394A42B7" w14:textId="77777777" w:rsidR="00804ABA" w:rsidRDefault="00804ABA"/>
    <w:p w14:paraId="7C9F988E" w14:textId="77777777" w:rsidR="00804ABA" w:rsidRDefault="00804ABA"/>
    <w:p w14:paraId="0A3BFB35" w14:textId="77777777" w:rsidR="00804ABA" w:rsidRPr="00804ABA" w:rsidRDefault="00804ABA" w:rsidP="00804ABA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804ABA">
        <w:rPr>
          <w:noProof/>
        </w:rPr>
        <w:t>1.</w:t>
      </w:r>
      <w:r w:rsidRPr="00804ABA">
        <w:rPr>
          <w:noProof/>
        </w:rPr>
        <w:tab/>
        <w:t>N.-E. Omrani</w:t>
      </w:r>
      <w:r w:rsidRPr="00804ABA">
        <w:rPr>
          <w:i/>
          <w:noProof/>
        </w:rPr>
        <w:t xml:space="preserve"> et al.</w:t>
      </w:r>
      <w:r w:rsidRPr="00804ABA">
        <w:rPr>
          <w:noProof/>
        </w:rPr>
        <w:t xml:space="preserve">, Key Role of the Ocean Western Boundary currents in shaping the Northern Hemisphere climate. </w:t>
      </w:r>
      <w:r w:rsidRPr="00804ABA">
        <w:rPr>
          <w:i/>
          <w:noProof/>
        </w:rPr>
        <w:t>Sci Rep-Uk</w:t>
      </w:r>
      <w:r w:rsidRPr="00804ABA">
        <w:rPr>
          <w:noProof/>
        </w:rPr>
        <w:t xml:space="preserve"> </w:t>
      </w:r>
      <w:r w:rsidRPr="00804ABA">
        <w:rPr>
          <w:b/>
          <w:noProof/>
        </w:rPr>
        <w:t>9</w:t>
      </w:r>
      <w:r w:rsidRPr="00804ABA">
        <w:rPr>
          <w:noProof/>
        </w:rPr>
        <w:t>, 3014 (2019).</w:t>
      </w:r>
    </w:p>
    <w:p w14:paraId="3EE4965F" w14:textId="7119EA3C" w:rsidR="0050726D" w:rsidRDefault="00804ABA">
      <w:r>
        <w:fldChar w:fldCharType="end"/>
      </w:r>
    </w:p>
    <w:sectPr w:rsidR="005072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D3FD7"/>
    <w:multiLevelType w:val="multilevel"/>
    <w:tmpl w:val="C9CE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4461F6"/>
    <w:multiLevelType w:val="multilevel"/>
    <w:tmpl w:val="E44C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333349">
    <w:abstractNumId w:val="0"/>
  </w:num>
  <w:num w:numId="2" w16cid:durableId="5325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asz9pwajt2szkew5xdxwsd8wvf5d0rzwvr2&quot;&gt;BibliographyNoel.Jan2015-Converted2&lt;record-ids&gt;&lt;item&gt;1374&lt;/item&gt;&lt;/record-ids&gt;&lt;/item&gt;&lt;/Libraries&gt;"/>
  </w:docVars>
  <w:rsids>
    <w:rsidRoot w:val="005E2450"/>
    <w:rsid w:val="00002C4D"/>
    <w:rsid w:val="00057459"/>
    <w:rsid w:val="000806B7"/>
    <w:rsid w:val="00084059"/>
    <w:rsid w:val="000F2100"/>
    <w:rsid w:val="00101769"/>
    <w:rsid w:val="001B60F7"/>
    <w:rsid w:val="001C5112"/>
    <w:rsid w:val="00223BA7"/>
    <w:rsid w:val="00270379"/>
    <w:rsid w:val="002E27DF"/>
    <w:rsid w:val="002F2BC5"/>
    <w:rsid w:val="00335C31"/>
    <w:rsid w:val="00363BA5"/>
    <w:rsid w:val="003A1182"/>
    <w:rsid w:val="003B0B91"/>
    <w:rsid w:val="004321C2"/>
    <w:rsid w:val="004F0E31"/>
    <w:rsid w:val="0050726D"/>
    <w:rsid w:val="0051479A"/>
    <w:rsid w:val="005E2450"/>
    <w:rsid w:val="006028FA"/>
    <w:rsid w:val="006D7B24"/>
    <w:rsid w:val="007767F8"/>
    <w:rsid w:val="00804ABA"/>
    <w:rsid w:val="0082198F"/>
    <w:rsid w:val="008306A7"/>
    <w:rsid w:val="00860DD6"/>
    <w:rsid w:val="009C3549"/>
    <w:rsid w:val="009F5EB7"/>
    <w:rsid w:val="00A14345"/>
    <w:rsid w:val="00A371A8"/>
    <w:rsid w:val="00A5246A"/>
    <w:rsid w:val="00A6029A"/>
    <w:rsid w:val="00A731F8"/>
    <w:rsid w:val="00AD19CC"/>
    <w:rsid w:val="00B2154E"/>
    <w:rsid w:val="00B602FA"/>
    <w:rsid w:val="00B961FD"/>
    <w:rsid w:val="00C60414"/>
    <w:rsid w:val="00C86E82"/>
    <w:rsid w:val="00CB439A"/>
    <w:rsid w:val="00CD6F0F"/>
    <w:rsid w:val="00D55969"/>
    <w:rsid w:val="00D6619A"/>
    <w:rsid w:val="00DC1161"/>
    <w:rsid w:val="00E00CCE"/>
    <w:rsid w:val="00E71DCC"/>
    <w:rsid w:val="00ED04E2"/>
    <w:rsid w:val="00ED3190"/>
    <w:rsid w:val="00EE7ADE"/>
    <w:rsid w:val="00EF4ADB"/>
    <w:rsid w:val="00F1253F"/>
    <w:rsid w:val="00F14CDE"/>
    <w:rsid w:val="00F73F65"/>
    <w:rsid w:val="00FA2F5B"/>
    <w:rsid w:val="00FA6ECF"/>
    <w:rsid w:val="00FC665E"/>
    <w:rsid w:val="00FF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71FFB"/>
  <w15:chartTrackingRefBased/>
  <w15:docId w15:val="{6C113E98-1500-A44F-9B58-C5728C63A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45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4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24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24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24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24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24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24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24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24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4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24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24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24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24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24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24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24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24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24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2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24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24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24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24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24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24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24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24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245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E245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2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2E27DF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804ABA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04ABA"/>
    <w:rPr>
      <w:rFonts w:ascii="Aptos" w:eastAsiaTheme="minorEastAsia" w:hAnsi="Aptos"/>
    </w:rPr>
  </w:style>
  <w:style w:type="paragraph" w:customStyle="1" w:styleId="EndNoteBibliography">
    <w:name w:val="EndNote Bibliography"/>
    <w:basedOn w:val="Normal"/>
    <w:link w:val="EndNoteBibliographyChar"/>
    <w:rsid w:val="00804ABA"/>
    <w:pPr>
      <w:spacing w:line="240" w:lineRule="auto"/>
    </w:pPr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804ABA"/>
    <w:rPr>
      <w:rFonts w:ascii="Aptos" w:eastAsiaTheme="minorEastAsia" w:hAnsi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26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Nour-Eddine Omrani</dc:creator>
  <cp:keywords/>
  <dc:description/>
  <cp:lastModifiedBy>Nour-Eddine Omrani</cp:lastModifiedBy>
  <cp:revision>4</cp:revision>
  <dcterms:created xsi:type="dcterms:W3CDTF">2025-03-16T16:15:00Z</dcterms:created>
  <dcterms:modified xsi:type="dcterms:W3CDTF">2025-03-16T23:02:00Z</dcterms:modified>
</cp:coreProperties>
</file>