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21AAA" w14:textId="77777777" w:rsidR="00562551" w:rsidRDefault="00562551" w:rsidP="00562551">
      <w:pPr>
        <w:autoSpaceDE w:val="0"/>
        <w:autoSpaceDN w:val="0"/>
        <w:adjustRightInd w:val="0"/>
        <w:spacing w:after="0" w:line="360" w:lineRule="auto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7086F4A" wp14:editId="75796EEC">
            <wp:extent cx="4768596" cy="2392680"/>
            <wp:effectExtent l="0" t="0" r="0" b="7620"/>
            <wp:docPr id="2" name="Imagen 2" descr="A group of images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A group of images of different color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8596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5B39E" w14:textId="77777777" w:rsidR="00562551" w:rsidRPr="00A12A95" w:rsidRDefault="00562551" w:rsidP="00562551">
      <w:pPr>
        <w:autoSpaceDE w:val="0"/>
        <w:autoSpaceDN w:val="0"/>
        <w:adjustRightInd w:val="0"/>
        <w:spacing w:after="0" w:line="240" w:lineRule="auto"/>
        <w:jc w:val="both"/>
        <w:rPr>
          <w:lang w:val="en-GB"/>
        </w:rPr>
      </w:pPr>
      <w:r w:rsidRPr="00802EA0">
        <w:rPr>
          <w:b/>
          <w:sz w:val="20"/>
          <w:szCs w:val="20"/>
          <w:lang w:val="en-US"/>
        </w:rPr>
        <w:t xml:space="preserve">Supplementary Fig. </w:t>
      </w:r>
      <w:r>
        <w:rPr>
          <w:b/>
          <w:sz w:val="20"/>
          <w:szCs w:val="20"/>
          <w:lang w:val="en-US"/>
        </w:rPr>
        <w:t>1</w:t>
      </w:r>
      <w:r w:rsidRPr="00802EA0">
        <w:rPr>
          <w:b/>
          <w:sz w:val="20"/>
          <w:szCs w:val="20"/>
          <w:lang w:val="en-US"/>
        </w:rPr>
        <w:t xml:space="preserve">. </w:t>
      </w:r>
      <w:r>
        <w:rPr>
          <w:b/>
          <w:sz w:val="20"/>
          <w:szCs w:val="20"/>
          <w:lang w:val="en-US"/>
        </w:rPr>
        <w:t>Representative f</w:t>
      </w:r>
      <w:r w:rsidRPr="00F22F3F">
        <w:rPr>
          <w:b/>
          <w:sz w:val="20"/>
          <w:szCs w:val="20"/>
          <w:lang w:val="en-US"/>
        </w:rPr>
        <w:t>low cytometry gating strategy for lymphocyte subpopulation identification.</w:t>
      </w:r>
      <w:r>
        <w:rPr>
          <w:b/>
          <w:sz w:val="20"/>
          <w:szCs w:val="20"/>
          <w:lang w:val="en-US"/>
        </w:rPr>
        <w:t xml:space="preserve"> </w:t>
      </w:r>
      <w:r w:rsidRPr="00A12A95">
        <w:rPr>
          <w:sz w:val="20"/>
          <w:szCs w:val="20"/>
          <w:lang w:val="en-US"/>
        </w:rPr>
        <w:t xml:space="preserve">(A) Gating strategy corresponding to the cell suspension obtained from the midbrain of an animal injected with AAV-Control, and (B) from the same region of an animal overexpressing </w:t>
      </w:r>
      <w:r w:rsidRPr="00A12A95">
        <w:rPr>
          <w:rFonts w:cstheme="minorHAnsi"/>
          <w:sz w:val="20"/>
          <w:szCs w:val="20"/>
          <w:lang w:val="en-US"/>
        </w:rPr>
        <w:t>α</w:t>
      </w:r>
      <w:r w:rsidRPr="00A12A95">
        <w:rPr>
          <w:sz w:val="20"/>
          <w:szCs w:val="20"/>
          <w:lang w:val="en-US"/>
        </w:rPr>
        <w:t xml:space="preserve">Syn. In both cases, </w:t>
      </w:r>
      <w:r w:rsidRPr="00A12A95">
        <w:rPr>
          <w:sz w:val="20"/>
          <w:szCs w:val="20"/>
          <w:lang w:val="en-GB"/>
        </w:rPr>
        <w:t xml:space="preserve">a </w:t>
      </w:r>
      <w:r>
        <w:rPr>
          <w:sz w:val="20"/>
          <w:szCs w:val="20"/>
          <w:lang w:val="en-GB"/>
        </w:rPr>
        <w:t xml:space="preserve">plot of </w:t>
      </w:r>
      <w:r w:rsidRPr="00A12A95">
        <w:rPr>
          <w:sz w:val="20"/>
          <w:szCs w:val="20"/>
          <w:lang w:val="en-GB"/>
        </w:rPr>
        <w:t xml:space="preserve">side scatter area (SSC-A) </w:t>
      </w:r>
      <w:r w:rsidRPr="00A12A95">
        <w:rPr>
          <w:i/>
          <w:sz w:val="20"/>
          <w:szCs w:val="20"/>
          <w:lang w:val="en-GB"/>
        </w:rPr>
        <w:t>vs</w:t>
      </w:r>
      <w:r w:rsidRPr="00A12A95">
        <w:rPr>
          <w:sz w:val="20"/>
          <w:szCs w:val="20"/>
          <w:lang w:val="en-GB"/>
        </w:rPr>
        <w:t xml:space="preserve"> forward scatter area (FSC-A) plot was used to distinguish cells from debris.</w:t>
      </w:r>
      <w:r w:rsidRPr="00A12A95">
        <w:rPr>
          <w:sz w:val="20"/>
          <w:szCs w:val="20"/>
          <w:lang w:val="en-US"/>
        </w:rPr>
        <w:t xml:space="preserve"> </w:t>
      </w:r>
      <w:r w:rsidRPr="00A12A95">
        <w:rPr>
          <w:sz w:val="20"/>
          <w:szCs w:val="20"/>
          <w:lang w:val="en-GB"/>
        </w:rPr>
        <w:t xml:space="preserve">Single cells were identified based on FSC-A </w:t>
      </w:r>
      <w:r w:rsidRPr="00A12A95">
        <w:rPr>
          <w:i/>
          <w:sz w:val="20"/>
          <w:szCs w:val="20"/>
          <w:lang w:val="en-GB"/>
        </w:rPr>
        <w:t>vs</w:t>
      </w:r>
      <w:r w:rsidRPr="00A12A95">
        <w:rPr>
          <w:sz w:val="20"/>
          <w:szCs w:val="20"/>
          <w:lang w:val="en-GB"/>
        </w:rPr>
        <w:t xml:space="preserve"> forward scatter height (FSC-H). Viable cells were selected using the ZNIR viability dye. Lymphocytes were defined as the CD11b⁻CD45⁺ population. CD4 and CD8 markers were </w:t>
      </w:r>
      <w:r>
        <w:rPr>
          <w:sz w:val="20"/>
          <w:szCs w:val="20"/>
          <w:lang w:val="en-GB"/>
        </w:rPr>
        <w:t xml:space="preserve">then </w:t>
      </w:r>
      <w:r w:rsidRPr="00A12A95">
        <w:rPr>
          <w:sz w:val="20"/>
          <w:szCs w:val="20"/>
          <w:lang w:val="en-GB"/>
        </w:rPr>
        <w:t>used to distinguish lymphocyte subpopulations.</w:t>
      </w:r>
    </w:p>
    <w:p w14:paraId="7602138A" w14:textId="77777777" w:rsidR="00562551" w:rsidRDefault="00562551" w:rsidP="00562551">
      <w:pPr>
        <w:autoSpaceDE w:val="0"/>
        <w:autoSpaceDN w:val="0"/>
        <w:adjustRightInd w:val="0"/>
        <w:spacing w:after="0" w:line="360" w:lineRule="auto"/>
        <w:jc w:val="both"/>
        <w:rPr>
          <w:lang w:val="en-US"/>
        </w:rPr>
      </w:pPr>
    </w:p>
    <w:p w14:paraId="7E29E6A4" w14:textId="77777777" w:rsidR="00562551" w:rsidRDefault="00562551" w:rsidP="00562551">
      <w:pPr>
        <w:autoSpaceDE w:val="0"/>
        <w:autoSpaceDN w:val="0"/>
        <w:adjustRightInd w:val="0"/>
        <w:spacing w:after="0" w:line="360" w:lineRule="auto"/>
        <w:jc w:val="both"/>
        <w:rPr>
          <w:lang w:val="en-US"/>
        </w:rPr>
      </w:pPr>
    </w:p>
    <w:p w14:paraId="48B49137" w14:textId="77777777" w:rsidR="00562551" w:rsidRDefault="00562551" w:rsidP="00562551">
      <w:pPr>
        <w:autoSpaceDE w:val="0"/>
        <w:autoSpaceDN w:val="0"/>
        <w:adjustRightInd w:val="0"/>
        <w:spacing w:after="0" w:line="360" w:lineRule="auto"/>
        <w:jc w:val="both"/>
        <w:rPr>
          <w:lang w:val="en-US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25E78B6A" wp14:editId="1D098E9E">
            <wp:extent cx="3986784" cy="2157984"/>
            <wp:effectExtent l="0" t="0" r="0" b="0"/>
            <wp:docPr id="1" name="Imagen 1" descr="A collage of images of various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A collage of images of various cell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6784" cy="2157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3BD07" w14:textId="77777777" w:rsidR="00562551" w:rsidRPr="00802EA0" w:rsidRDefault="00562551" w:rsidP="00562551">
      <w:pPr>
        <w:autoSpaceDE w:val="0"/>
        <w:autoSpaceDN w:val="0"/>
        <w:adjustRightInd w:val="0"/>
        <w:spacing w:after="0"/>
        <w:jc w:val="both"/>
        <w:rPr>
          <w:sz w:val="20"/>
          <w:szCs w:val="20"/>
          <w:lang w:val="en-US"/>
        </w:rPr>
      </w:pPr>
      <w:r w:rsidRPr="00802EA0">
        <w:rPr>
          <w:b/>
          <w:sz w:val="20"/>
          <w:szCs w:val="20"/>
          <w:lang w:val="en-US"/>
        </w:rPr>
        <w:t xml:space="preserve">Supplementary Fig. </w:t>
      </w:r>
      <w:r>
        <w:rPr>
          <w:b/>
          <w:sz w:val="20"/>
          <w:szCs w:val="20"/>
          <w:lang w:val="en-US"/>
        </w:rPr>
        <w:t>2</w:t>
      </w:r>
      <w:r w:rsidRPr="00802EA0">
        <w:rPr>
          <w:b/>
          <w:sz w:val="20"/>
          <w:szCs w:val="20"/>
          <w:lang w:val="en-US"/>
        </w:rPr>
        <w:t>. Lymphocyt</w:t>
      </w:r>
      <w:r>
        <w:rPr>
          <w:b/>
          <w:sz w:val="20"/>
          <w:szCs w:val="20"/>
          <w:lang w:val="en-US"/>
        </w:rPr>
        <w:t>e</w:t>
      </w:r>
      <w:r w:rsidRPr="00802EA0">
        <w:rPr>
          <w:b/>
          <w:sz w:val="20"/>
          <w:szCs w:val="20"/>
          <w:lang w:val="en-US"/>
        </w:rPr>
        <w:t xml:space="preserve"> infiltration in the striatum.</w:t>
      </w:r>
      <w:r w:rsidRPr="00802EA0">
        <w:rPr>
          <w:sz w:val="20"/>
          <w:szCs w:val="20"/>
          <w:lang w:val="en-US"/>
        </w:rPr>
        <w:t xml:space="preserve"> Lymphocyte extravasation was analyzed at 2 weeks after AAV9 injection. Representative </w:t>
      </w:r>
      <w:r>
        <w:rPr>
          <w:sz w:val="20"/>
          <w:szCs w:val="20"/>
          <w:lang w:val="en-US"/>
        </w:rPr>
        <w:t>images</w:t>
      </w:r>
      <w:r w:rsidRPr="00802EA0">
        <w:rPr>
          <w:sz w:val="20"/>
          <w:szCs w:val="20"/>
          <w:lang w:val="en-US"/>
        </w:rPr>
        <w:t xml:space="preserve"> of CD3 immunohistochemistry of the striatum of animals receiving the AAV9-Control and AAV9-Syn. The frames indicate different entry sites of lymphocytes into the striatum: through the lateral ventricle and the choroid plexus (</w:t>
      </w:r>
      <w:r>
        <w:rPr>
          <w:sz w:val="20"/>
          <w:szCs w:val="20"/>
          <w:lang w:val="en-US"/>
        </w:rPr>
        <w:t>frame</w:t>
      </w:r>
      <w:r w:rsidRPr="00802EA0">
        <w:rPr>
          <w:sz w:val="20"/>
          <w:szCs w:val="20"/>
          <w:lang w:val="en-US"/>
        </w:rPr>
        <w:t xml:space="preserve"> 1), and blood vessels (</w:t>
      </w:r>
      <w:r>
        <w:rPr>
          <w:sz w:val="20"/>
          <w:szCs w:val="20"/>
          <w:lang w:val="en-US"/>
        </w:rPr>
        <w:t>frame</w:t>
      </w:r>
      <w:r w:rsidRPr="00802EA0">
        <w:rPr>
          <w:sz w:val="20"/>
          <w:szCs w:val="20"/>
          <w:lang w:val="en-US"/>
        </w:rPr>
        <w:t xml:space="preserve"> 2). Magnification bar: 1.5 mm and 100 </w:t>
      </w:r>
      <w:r w:rsidRPr="00802EA0">
        <w:rPr>
          <w:rFonts w:cstheme="minorHAnsi"/>
          <w:sz w:val="20"/>
          <w:szCs w:val="20"/>
          <w:lang w:val="en-US"/>
        </w:rPr>
        <w:t>µ</w:t>
      </w:r>
      <w:r w:rsidRPr="00802EA0">
        <w:rPr>
          <w:sz w:val="20"/>
          <w:szCs w:val="20"/>
          <w:lang w:val="en-US"/>
        </w:rPr>
        <w:t>m.</w:t>
      </w:r>
    </w:p>
    <w:p w14:paraId="3D8D6FAD" w14:textId="77777777" w:rsidR="00562551" w:rsidRDefault="00562551" w:rsidP="00562551">
      <w:pPr>
        <w:autoSpaceDE w:val="0"/>
        <w:autoSpaceDN w:val="0"/>
        <w:adjustRightInd w:val="0"/>
        <w:spacing w:after="0" w:line="360" w:lineRule="auto"/>
        <w:jc w:val="both"/>
        <w:rPr>
          <w:lang w:val="en-US"/>
        </w:rPr>
      </w:pPr>
    </w:p>
    <w:p w14:paraId="11C04B83" w14:textId="4EEB8D02" w:rsidR="00562551" w:rsidRDefault="00562551" w:rsidP="00562551">
      <w:pPr>
        <w:autoSpaceDE w:val="0"/>
        <w:autoSpaceDN w:val="0"/>
        <w:adjustRightInd w:val="0"/>
        <w:spacing w:after="0" w:line="36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0E28989" wp14:editId="2DC31EAB">
            <wp:extent cx="5257800" cy="6152388"/>
            <wp:effectExtent l="0" t="0" r="0" b="127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l_Fig2_Model-8w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15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DA228" w14:textId="77777777" w:rsidR="00562551" w:rsidRPr="00ED2FE1" w:rsidRDefault="00562551" w:rsidP="00562551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</w:pPr>
      <w:r w:rsidRPr="00ED2FE1">
        <w:rPr>
          <w:b/>
          <w:sz w:val="20"/>
          <w:szCs w:val="20"/>
          <w:lang w:val="en-US"/>
        </w:rPr>
        <w:t xml:space="preserve">Supplementary Fig. </w:t>
      </w:r>
      <w:r>
        <w:rPr>
          <w:b/>
          <w:sz w:val="20"/>
          <w:szCs w:val="20"/>
          <w:lang w:val="en-US"/>
        </w:rPr>
        <w:t>3</w:t>
      </w:r>
      <w:r w:rsidRPr="00ED2FE1">
        <w:rPr>
          <w:b/>
          <w:sz w:val="20"/>
          <w:szCs w:val="20"/>
          <w:lang w:val="en-US"/>
        </w:rPr>
        <w:t xml:space="preserve">. Optimization of the </w:t>
      </w:r>
      <w:r w:rsidRPr="00ED2FE1">
        <w:rPr>
          <w:rFonts w:cstheme="minorHAnsi"/>
          <w:b/>
          <w:sz w:val="20"/>
          <w:szCs w:val="20"/>
          <w:lang w:val="en-US"/>
        </w:rPr>
        <w:t>α</w:t>
      </w:r>
      <w:r w:rsidRPr="00ED2FE1">
        <w:rPr>
          <w:b/>
          <w:sz w:val="20"/>
          <w:szCs w:val="20"/>
          <w:lang w:val="en-US"/>
        </w:rPr>
        <w:t xml:space="preserve">Syn overexpression model.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Mice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injected with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a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high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viral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titer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(1.29 x 10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vertAlign w:val="superscript"/>
          <w:lang w:val="en-US" w:eastAsia="es-ES"/>
        </w:rPr>
        <w:t>13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vg/mL)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of the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AAV9-Control or the AAV9-Syn were sacrificed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at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2 weeks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, and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animals injected with the low viral titer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(5.47 x 10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vertAlign w:val="superscript"/>
          <w:lang w:val="en-US" w:eastAsia="es-ES"/>
        </w:rPr>
        <w:t>12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vg/mL)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were sacrificed at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8 weeks post-surgery. (A)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Stereological counts of TH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vertAlign w:val="superscript"/>
          <w:lang w:val="en-US" w:eastAsia="es-ES"/>
        </w:rPr>
        <w:t>+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neurons in the SNpc were normalized to the number of cells in AAV9-Control animals to compare the extent of the dopaminergic lesion.</w:t>
      </w:r>
      <w:r w:rsidRPr="00B334E5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Data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are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mean ± 95% CI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. (B)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Representative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images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corresponding to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double immunostaining for TH and mCherry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to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determine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viral protein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transduction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at 8 weeks. Magnification bar: 20 µM.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(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C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) Representative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images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of the immunohistochemistry to detect the correct localization of the human αSyn in the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striatum and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in 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the </w:t>
      </w:r>
      <w:r w:rsidRPr="00ED2FE1"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>SNpc.</w:t>
      </w:r>
      <w:r>
        <w:rPr>
          <w:rFonts w:ascii="Calibri" w:eastAsia="Times New Roman" w:hAnsi="Calibri" w:cs="Calibri"/>
          <w:color w:val="222222"/>
          <w:sz w:val="20"/>
          <w:szCs w:val="20"/>
          <w:lang w:val="en-US" w:eastAsia="es-ES"/>
        </w:rPr>
        <w:t xml:space="preserve"> Magnification bar: 2 mm in the striatum, 900 µm in the midbrain, 200 µm in the amplified insert.</w:t>
      </w:r>
    </w:p>
    <w:p w14:paraId="5876B11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551"/>
    <w:rsid w:val="00331A6B"/>
    <w:rsid w:val="00562551"/>
    <w:rsid w:val="007425D5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2CD45"/>
  <w15:chartTrackingRefBased/>
  <w15:docId w15:val="{74E39CF3-59AC-412B-B824-1C06AE8CA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551"/>
    <w:pPr>
      <w:spacing w:after="200" w:line="276" w:lineRule="auto"/>
    </w:pPr>
    <w:rPr>
      <w:kern w:val="0"/>
      <w:sz w:val="22"/>
      <w:szCs w:val="22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25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5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55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55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55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55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55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55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55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5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5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5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5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5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5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5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5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5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5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25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55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25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55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25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551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25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5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5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5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306</Words>
  <Characters>1749</Characters>
  <Application>Microsoft Office Word</Application>
  <DocSecurity>0</DocSecurity>
  <Lines>14</Lines>
  <Paragraphs>4</Paragraphs>
  <ScaleCrop>false</ScaleCrop>
  <Company>Springer Nature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2025-04-25T16:01:00Z</dcterms:created>
  <dcterms:modified xsi:type="dcterms:W3CDTF">2025-04-25T16:02:00Z</dcterms:modified>
</cp:coreProperties>
</file>