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2B96A" w14:textId="77777777" w:rsidR="00E348F7" w:rsidRDefault="00E348F7" w:rsidP="00E348F7">
      <w:pPr>
        <w:pStyle w:val="Heading1"/>
        <w:spacing w:before="0" w:after="0" w:line="480" w:lineRule="auto"/>
        <w:rPr>
          <w:color w:val="000000" w:themeColor="text1"/>
        </w:rPr>
      </w:pPr>
      <w:r w:rsidRPr="005E18CD">
        <w:rPr>
          <w:color w:val="000000" w:themeColor="text1"/>
        </w:rPr>
        <w:t>Figu</w:t>
      </w:r>
      <w:r>
        <w:rPr>
          <w:color w:val="000000" w:themeColor="text1"/>
        </w:rPr>
        <w:t>r</w:t>
      </w:r>
      <w:r w:rsidRPr="005E18CD">
        <w:rPr>
          <w:color w:val="000000" w:themeColor="text1"/>
        </w:rPr>
        <w:t>e</w:t>
      </w:r>
      <w:r>
        <w:rPr>
          <w:color w:val="000000" w:themeColor="text1"/>
        </w:rPr>
        <w:t>s</w:t>
      </w:r>
    </w:p>
    <w:p w14:paraId="17F0007C" w14:textId="77777777" w:rsidR="00E348F7" w:rsidRPr="00C33EF4" w:rsidRDefault="00E348F7" w:rsidP="00E348F7">
      <w:pPr>
        <w:rPr>
          <w:b/>
          <w:color w:val="000000" w:themeColor="text1"/>
          <w:sz w:val="20"/>
          <w:szCs w:val="20"/>
        </w:rPr>
      </w:pPr>
    </w:p>
    <w:p w14:paraId="6D4F5AE1" w14:textId="77777777" w:rsidR="00E348F7" w:rsidRPr="00C33EF4" w:rsidRDefault="00E348F7" w:rsidP="00E348F7">
      <w:pPr>
        <w:pStyle w:val="Heading1"/>
        <w:spacing w:before="0" w:after="0" w:line="276" w:lineRule="auto"/>
        <w:rPr>
          <w:b/>
          <w:color w:val="000000" w:themeColor="text1"/>
          <w:sz w:val="20"/>
          <w:szCs w:val="20"/>
        </w:rPr>
      </w:pPr>
      <w:r w:rsidRPr="00C33EF4">
        <w:rPr>
          <w:b/>
          <w:noProof/>
          <w:color w:val="000000" w:themeColor="text1"/>
          <w:sz w:val="20"/>
          <w:szCs w:val="20"/>
        </w:rPr>
        <w:drawing>
          <wp:inline distT="0" distB="0" distL="0" distR="0" wp14:anchorId="20AFCDA5" wp14:editId="48C5B926">
            <wp:extent cx="4276800" cy="3636000"/>
            <wp:effectExtent l="0" t="0" r="3175" b="0"/>
            <wp:docPr id="1286527716" name="Image 9" descr="A diagram of a flow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527716" name="Image 9" descr="A diagram of a flowchar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76800" cy="3636000"/>
                    </a:xfrm>
                    <a:prstGeom prst="rect">
                      <a:avLst/>
                    </a:prstGeom>
                  </pic:spPr>
                </pic:pic>
              </a:graphicData>
            </a:graphic>
          </wp:inline>
        </w:drawing>
      </w:r>
    </w:p>
    <w:p w14:paraId="185E4EAB" w14:textId="77777777" w:rsidR="00E348F7" w:rsidRDefault="00E348F7" w:rsidP="00E348F7">
      <w:pPr>
        <w:pStyle w:val="Heading1"/>
        <w:spacing w:before="0" w:after="0" w:line="276" w:lineRule="auto"/>
        <w:rPr>
          <w:bCs/>
          <w:color w:val="000000" w:themeColor="text1"/>
          <w:sz w:val="20"/>
          <w:szCs w:val="20"/>
        </w:rPr>
      </w:pPr>
    </w:p>
    <w:p w14:paraId="74FCC35F" w14:textId="77777777" w:rsidR="00E348F7" w:rsidRDefault="00E348F7" w:rsidP="00E348F7">
      <w:pPr>
        <w:pStyle w:val="Heading1"/>
        <w:spacing w:before="0" w:after="0" w:line="276" w:lineRule="auto"/>
        <w:rPr>
          <w:b/>
          <w:color w:val="000000" w:themeColor="text1"/>
          <w:sz w:val="20"/>
          <w:szCs w:val="20"/>
        </w:rPr>
      </w:pPr>
      <w:r w:rsidRPr="00C33EF4">
        <w:rPr>
          <w:bCs/>
          <w:color w:val="000000" w:themeColor="text1"/>
          <w:sz w:val="20"/>
          <w:szCs w:val="20"/>
        </w:rPr>
        <w:t>Figure S1: Cell culture protocols used to obtain conditioned media from young- and aged-donor ASCs.</w:t>
      </w:r>
      <w:r w:rsidRPr="00C33EF4">
        <w:rPr>
          <w:color w:val="000000" w:themeColor="text1"/>
          <w:sz w:val="20"/>
          <w:szCs w:val="20"/>
        </w:rPr>
        <w:t xml:space="preserve"> Cells were counted and plated at the same density (300 000 cells/cm</w:t>
      </w:r>
      <w:r w:rsidRPr="00C33EF4">
        <w:rPr>
          <w:color w:val="000000" w:themeColor="text1"/>
          <w:sz w:val="20"/>
          <w:szCs w:val="20"/>
          <w:vertAlign w:val="superscript"/>
        </w:rPr>
        <w:t>2</w:t>
      </w:r>
      <w:r w:rsidRPr="00C33EF4">
        <w:rPr>
          <w:color w:val="000000" w:themeColor="text1"/>
          <w:sz w:val="20"/>
          <w:szCs w:val="20"/>
        </w:rPr>
        <w:t xml:space="preserve"> in T75 flasks). (A) In some experiments, cells were exposed to 25 μmol/L pravastatin for 7 days. Pravastatin was then removed. CM were collected after a further 48-hour culture. HCAECs were then incubated with the standard media or CM</w:t>
      </w:r>
      <w:r w:rsidRPr="00C33EF4">
        <w:rPr>
          <w:color w:val="000000" w:themeColor="text1"/>
          <w:sz w:val="20"/>
          <w:szCs w:val="20"/>
          <w:vertAlign w:val="subscript"/>
        </w:rPr>
        <w:t>young</w:t>
      </w:r>
      <w:r w:rsidRPr="00C33EF4">
        <w:rPr>
          <w:color w:val="000000" w:themeColor="text1"/>
          <w:sz w:val="20"/>
          <w:szCs w:val="20"/>
        </w:rPr>
        <w:t>, CM</w:t>
      </w:r>
      <w:r w:rsidRPr="00C33EF4">
        <w:rPr>
          <w:color w:val="000000" w:themeColor="text1"/>
          <w:sz w:val="20"/>
          <w:szCs w:val="20"/>
          <w:vertAlign w:val="subscript"/>
        </w:rPr>
        <w:t>aged</w:t>
      </w:r>
      <w:r w:rsidRPr="00C33EF4">
        <w:rPr>
          <w:color w:val="000000" w:themeColor="text1"/>
          <w:sz w:val="20"/>
          <w:szCs w:val="20"/>
        </w:rPr>
        <w:t>, CM</w:t>
      </w:r>
      <w:r w:rsidRPr="00C33EF4">
        <w:rPr>
          <w:color w:val="000000" w:themeColor="text1"/>
          <w:sz w:val="20"/>
          <w:szCs w:val="20"/>
          <w:vertAlign w:val="subscript"/>
        </w:rPr>
        <w:t xml:space="preserve">prava-young </w:t>
      </w:r>
      <w:r w:rsidRPr="00C33EF4">
        <w:rPr>
          <w:color w:val="000000" w:themeColor="text1"/>
          <w:sz w:val="20"/>
          <w:szCs w:val="20"/>
        </w:rPr>
        <w:t>or CM</w:t>
      </w:r>
      <w:r w:rsidRPr="00C33EF4">
        <w:rPr>
          <w:color w:val="000000" w:themeColor="text1"/>
          <w:sz w:val="20"/>
          <w:szCs w:val="20"/>
          <w:vertAlign w:val="subscript"/>
        </w:rPr>
        <w:t>prava-aged</w:t>
      </w:r>
      <w:r w:rsidRPr="00C33EF4">
        <w:rPr>
          <w:color w:val="000000" w:themeColor="text1"/>
          <w:sz w:val="20"/>
          <w:szCs w:val="20"/>
        </w:rPr>
        <w:t>. (B) HCAECs were treated with 1 μg/mL maraviroc 24 hours prior to the CM</w:t>
      </w:r>
      <w:r w:rsidRPr="00C33EF4">
        <w:rPr>
          <w:color w:val="000000" w:themeColor="text1"/>
          <w:sz w:val="20"/>
          <w:szCs w:val="20"/>
          <w:vertAlign w:val="subscript"/>
        </w:rPr>
        <w:t>aged</w:t>
      </w:r>
      <w:r w:rsidRPr="00C33EF4">
        <w:rPr>
          <w:color w:val="000000" w:themeColor="text1"/>
          <w:sz w:val="20"/>
          <w:szCs w:val="20"/>
        </w:rPr>
        <w:t xml:space="preserve"> exposure. Maraviroc was then maintained through the 48 hours CM</w:t>
      </w:r>
      <w:r w:rsidRPr="00C33EF4">
        <w:rPr>
          <w:color w:val="000000" w:themeColor="text1"/>
          <w:sz w:val="20"/>
          <w:szCs w:val="20"/>
          <w:vertAlign w:val="subscript"/>
        </w:rPr>
        <w:t>aged</w:t>
      </w:r>
      <w:r w:rsidRPr="00C33EF4">
        <w:rPr>
          <w:color w:val="000000" w:themeColor="text1"/>
          <w:sz w:val="20"/>
          <w:szCs w:val="20"/>
        </w:rPr>
        <w:t xml:space="preserve"> exposure.</w:t>
      </w:r>
    </w:p>
    <w:p w14:paraId="1FDFF7C5" w14:textId="77777777" w:rsidR="00E348F7" w:rsidRPr="00B1569B" w:rsidRDefault="00E348F7" w:rsidP="00E348F7"/>
    <w:p w14:paraId="6E30F58A" w14:textId="77777777" w:rsidR="00E348F7" w:rsidRPr="00C33EF4" w:rsidRDefault="00E348F7" w:rsidP="00E348F7">
      <w:pPr>
        <w:pStyle w:val="Heading1"/>
        <w:spacing w:before="0" w:after="0" w:line="276" w:lineRule="auto"/>
        <w:rPr>
          <w:b/>
          <w:color w:val="000000" w:themeColor="text1"/>
          <w:sz w:val="20"/>
          <w:szCs w:val="20"/>
        </w:rPr>
      </w:pPr>
      <w:r w:rsidRPr="00C33EF4">
        <w:rPr>
          <w:b/>
          <w:noProof/>
          <w:color w:val="000000" w:themeColor="text1"/>
          <w:sz w:val="20"/>
          <w:szCs w:val="20"/>
        </w:rPr>
        <w:lastRenderedPageBreak/>
        <w:drawing>
          <wp:inline distT="0" distB="0" distL="0" distR="0" wp14:anchorId="6FA5CD20" wp14:editId="18B3E786">
            <wp:extent cx="4312800" cy="1850400"/>
            <wp:effectExtent l="0" t="0" r="5715" b="3810"/>
            <wp:docPr id="117324160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241601" name="Image 117324160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12800" cy="1850400"/>
                    </a:xfrm>
                    <a:prstGeom prst="rect">
                      <a:avLst/>
                    </a:prstGeom>
                  </pic:spPr>
                </pic:pic>
              </a:graphicData>
            </a:graphic>
          </wp:inline>
        </w:drawing>
      </w:r>
    </w:p>
    <w:p w14:paraId="67489914" w14:textId="77777777" w:rsidR="00E348F7" w:rsidRDefault="00E348F7" w:rsidP="00E348F7">
      <w:pPr>
        <w:pStyle w:val="Heading1"/>
        <w:spacing w:before="0" w:after="0" w:line="276" w:lineRule="auto"/>
        <w:rPr>
          <w:bCs/>
          <w:color w:val="000000" w:themeColor="text1"/>
          <w:sz w:val="20"/>
          <w:szCs w:val="20"/>
        </w:rPr>
      </w:pPr>
    </w:p>
    <w:p w14:paraId="67258E79" w14:textId="77777777" w:rsidR="00E348F7" w:rsidRPr="00C33EF4" w:rsidRDefault="00E348F7" w:rsidP="00E348F7">
      <w:pPr>
        <w:pStyle w:val="Heading1"/>
        <w:spacing w:before="0" w:after="0" w:line="276" w:lineRule="auto"/>
        <w:rPr>
          <w:b/>
          <w:color w:val="000000" w:themeColor="text1"/>
          <w:sz w:val="20"/>
          <w:szCs w:val="20"/>
        </w:rPr>
      </w:pPr>
      <w:r w:rsidRPr="00C33EF4">
        <w:rPr>
          <w:bCs/>
          <w:color w:val="000000" w:themeColor="text1"/>
          <w:sz w:val="20"/>
          <w:szCs w:val="20"/>
        </w:rPr>
        <w:t>Figure S2: Secretion of adhesion molecules by HCAEC exposed to conditioned media.</w:t>
      </w:r>
      <w:r w:rsidRPr="00C33EF4">
        <w:rPr>
          <w:color w:val="000000" w:themeColor="text1"/>
          <w:sz w:val="20"/>
          <w:szCs w:val="20"/>
        </w:rPr>
        <w:t xml:space="preserve"> The levels of adhesion molecules VCAM and ICAM in the culture medium from the last 48 hours were determined by ELISA in the culture media of HCAEC exposed to standard media with or without maraviroc (MVC), or to conditioned media CM</w:t>
      </w:r>
      <w:r w:rsidRPr="00C33EF4">
        <w:rPr>
          <w:color w:val="000000" w:themeColor="text1"/>
          <w:sz w:val="20"/>
          <w:szCs w:val="20"/>
          <w:vertAlign w:val="subscript"/>
        </w:rPr>
        <w:t>young</w:t>
      </w:r>
      <w:r w:rsidRPr="00C33EF4">
        <w:rPr>
          <w:color w:val="000000" w:themeColor="text1"/>
          <w:sz w:val="20"/>
          <w:szCs w:val="20"/>
        </w:rPr>
        <w:t>, CM</w:t>
      </w:r>
      <w:r w:rsidRPr="00C33EF4">
        <w:rPr>
          <w:color w:val="000000" w:themeColor="text1"/>
          <w:sz w:val="20"/>
          <w:szCs w:val="20"/>
          <w:vertAlign w:val="subscript"/>
        </w:rPr>
        <w:t>aged</w:t>
      </w:r>
      <w:r w:rsidRPr="00C33EF4">
        <w:rPr>
          <w:color w:val="000000" w:themeColor="text1"/>
          <w:sz w:val="20"/>
          <w:szCs w:val="20"/>
        </w:rPr>
        <w:t>, CM</w:t>
      </w:r>
      <w:r w:rsidRPr="00C33EF4">
        <w:rPr>
          <w:color w:val="000000" w:themeColor="text1"/>
          <w:sz w:val="20"/>
          <w:szCs w:val="20"/>
          <w:vertAlign w:val="subscript"/>
        </w:rPr>
        <w:t xml:space="preserve">prava-young </w:t>
      </w:r>
      <w:r w:rsidRPr="00C33EF4">
        <w:rPr>
          <w:color w:val="000000" w:themeColor="text1"/>
          <w:sz w:val="20"/>
          <w:szCs w:val="20"/>
        </w:rPr>
        <w:t xml:space="preserve">and </w:t>
      </w:r>
      <w:r w:rsidRPr="00C33EF4">
        <w:rPr>
          <w:color w:val="000000" w:themeColor="text1"/>
          <w:sz w:val="20"/>
          <w:szCs w:val="20"/>
          <w:vertAlign w:val="subscript"/>
        </w:rPr>
        <w:t>CMprava-aged</w:t>
      </w:r>
      <w:r w:rsidRPr="00C33EF4">
        <w:rPr>
          <w:color w:val="000000" w:themeColor="text1"/>
          <w:sz w:val="20"/>
          <w:szCs w:val="20"/>
        </w:rPr>
        <w:t>, or exposed to aged-donor ASC conditioned media in the presence MVC. The results are expressed as the mean ± SEM (n=6-12). Differences between conditions were determined by two-way ANOVA on raw or transformed data that passed. Spearman’s test for heteroscedasticity and the Shapiro-Wilk test for normality of residuals. *P&lt;0.05, **P&lt;0.01, ***P&lt;0.001.</w:t>
      </w:r>
    </w:p>
    <w:p w14:paraId="26D79B9D" w14:textId="77777777" w:rsidR="00E348F7" w:rsidRPr="00C33EF4" w:rsidRDefault="00E348F7" w:rsidP="00E348F7">
      <w:pPr>
        <w:pStyle w:val="Heading1"/>
        <w:spacing w:before="0" w:after="0" w:line="276" w:lineRule="auto"/>
        <w:rPr>
          <w:b/>
          <w:color w:val="000000" w:themeColor="text1"/>
          <w:sz w:val="20"/>
          <w:szCs w:val="20"/>
        </w:rPr>
      </w:pPr>
      <w:r w:rsidRPr="00C33EF4">
        <w:rPr>
          <w:b/>
          <w:noProof/>
          <w:color w:val="000000" w:themeColor="text1"/>
          <w:sz w:val="20"/>
          <w:szCs w:val="20"/>
        </w:rPr>
        <w:drawing>
          <wp:inline distT="0" distB="0" distL="0" distR="0" wp14:anchorId="14C8BEC1" wp14:editId="5D942DF5">
            <wp:extent cx="4248000" cy="1494000"/>
            <wp:effectExtent l="0" t="0" r="0" b="5080"/>
            <wp:docPr id="176518482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84823" name="Image 176518482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48000" cy="1494000"/>
                    </a:xfrm>
                    <a:prstGeom prst="rect">
                      <a:avLst/>
                    </a:prstGeom>
                  </pic:spPr>
                </pic:pic>
              </a:graphicData>
            </a:graphic>
          </wp:inline>
        </w:drawing>
      </w:r>
    </w:p>
    <w:p w14:paraId="38799FD7" w14:textId="77777777" w:rsidR="00E348F7" w:rsidRDefault="00E348F7" w:rsidP="00E348F7">
      <w:pPr>
        <w:pStyle w:val="Heading1"/>
        <w:spacing w:before="0" w:after="0" w:line="276" w:lineRule="auto"/>
        <w:rPr>
          <w:bCs/>
          <w:color w:val="000000" w:themeColor="text1"/>
          <w:sz w:val="20"/>
          <w:szCs w:val="20"/>
        </w:rPr>
      </w:pPr>
    </w:p>
    <w:p w14:paraId="2CF5D1B9" w14:textId="77777777" w:rsidR="00E348F7" w:rsidRDefault="00E348F7" w:rsidP="00E348F7">
      <w:pPr>
        <w:pStyle w:val="Heading1"/>
        <w:spacing w:before="0" w:after="0" w:line="276" w:lineRule="auto"/>
        <w:rPr>
          <w:b/>
          <w:color w:val="000000" w:themeColor="text1"/>
          <w:sz w:val="20"/>
          <w:szCs w:val="20"/>
        </w:rPr>
      </w:pPr>
      <w:r w:rsidRPr="00C33EF4">
        <w:rPr>
          <w:bCs/>
          <w:color w:val="000000" w:themeColor="text1"/>
          <w:sz w:val="20"/>
          <w:szCs w:val="20"/>
        </w:rPr>
        <w:t>Figure S3: Chemokine receptor expression in HCAEC.</w:t>
      </w:r>
      <w:r w:rsidRPr="00C33EF4">
        <w:rPr>
          <w:color w:val="000000" w:themeColor="text1"/>
          <w:sz w:val="20"/>
          <w:szCs w:val="20"/>
        </w:rPr>
        <w:t xml:space="preserve"> (A) mRNA expression level of </w:t>
      </w:r>
      <w:r w:rsidRPr="00C33EF4">
        <w:rPr>
          <w:i/>
          <w:iCs/>
          <w:color w:val="000000" w:themeColor="text1"/>
          <w:sz w:val="20"/>
          <w:szCs w:val="20"/>
        </w:rPr>
        <w:t>CCR5</w:t>
      </w:r>
      <w:r w:rsidRPr="00C33EF4">
        <w:rPr>
          <w:color w:val="000000" w:themeColor="text1"/>
          <w:sz w:val="20"/>
          <w:szCs w:val="20"/>
        </w:rPr>
        <w:t xml:space="preserve">, </w:t>
      </w:r>
      <w:r w:rsidRPr="00C33EF4">
        <w:rPr>
          <w:i/>
          <w:iCs/>
          <w:color w:val="000000" w:themeColor="text1"/>
          <w:sz w:val="20"/>
          <w:szCs w:val="20"/>
        </w:rPr>
        <w:t>CCR1</w:t>
      </w:r>
      <w:r w:rsidRPr="00C33EF4">
        <w:rPr>
          <w:color w:val="000000" w:themeColor="text1"/>
          <w:sz w:val="20"/>
          <w:szCs w:val="20"/>
        </w:rPr>
        <w:t xml:space="preserve">, </w:t>
      </w:r>
      <w:r w:rsidRPr="00C33EF4">
        <w:rPr>
          <w:i/>
          <w:iCs/>
          <w:color w:val="000000" w:themeColor="text1"/>
          <w:sz w:val="20"/>
          <w:szCs w:val="20"/>
        </w:rPr>
        <w:t>CCR3</w:t>
      </w:r>
      <w:r w:rsidRPr="00C33EF4">
        <w:rPr>
          <w:color w:val="000000" w:themeColor="text1"/>
          <w:sz w:val="20"/>
          <w:szCs w:val="20"/>
        </w:rPr>
        <w:t xml:space="preserve"> in HCAEC exposed to standard media were normalized against that of </w:t>
      </w:r>
      <w:r w:rsidRPr="00C33EF4">
        <w:rPr>
          <w:i/>
          <w:iCs/>
          <w:color w:val="000000" w:themeColor="text1"/>
          <w:sz w:val="20"/>
          <w:szCs w:val="20"/>
        </w:rPr>
        <w:t>HPRT</w:t>
      </w:r>
      <w:r w:rsidRPr="00C33EF4">
        <w:rPr>
          <w:color w:val="000000" w:themeColor="text1"/>
          <w:sz w:val="20"/>
          <w:szCs w:val="20"/>
        </w:rPr>
        <w:t>, and expressed as the mean ± SEM (n=12). (B) HCAECs were exposed to Maraviroc (MVC) (1 µM) 24 hours prior to the exposure to CM</w:t>
      </w:r>
      <w:r w:rsidRPr="00C33EF4">
        <w:rPr>
          <w:color w:val="000000" w:themeColor="text1"/>
          <w:sz w:val="20"/>
          <w:szCs w:val="20"/>
          <w:vertAlign w:val="subscript"/>
        </w:rPr>
        <w:t>aged</w:t>
      </w:r>
      <w:r w:rsidRPr="00C33EF4">
        <w:rPr>
          <w:color w:val="000000" w:themeColor="text1"/>
          <w:sz w:val="20"/>
          <w:szCs w:val="20"/>
        </w:rPr>
        <w:t xml:space="preserve"> or standard media. Maraviroc was then maintained through the 48 hours CM</w:t>
      </w:r>
      <w:r w:rsidRPr="00C33EF4">
        <w:rPr>
          <w:color w:val="000000" w:themeColor="text1"/>
          <w:sz w:val="20"/>
          <w:szCs w:val="20"/>
          <w:vertAlign w:val="subscript"/>
        </w:rPr>
        <w:t>aged</w:t>
      </w:r>
      <w:r w:rsidRPr="00C33EF4">
        <w:rPr>
          <w:color w:val="000000" w:themeColor="text1"/>
          <w:sz w:val="20"/>
          <w:szCs w:val="20"/>
        </w:rPr>
        <w:t xml:space="preserve"> exposure. mRNA expression level of </w:t>
      </w:r>
      <w:r w:rsidRPr="00C33EF4">
        <w:rPr>
          <w:i/>
          <w:iCs/>
          <w:color w:val="000000" w:themeColor="text1"/>
          <w:sz w:val="20"/>
          <w:szCs w:val="20"/>
        </w:rPr>
        <w:t>CCR5</w:t>
      </w:r>
      <w:r w:rsidRPr="00C33EF4">
        <w:rPr>
          <w:color w:val="000000" w:themeColor="text1"/>
          <w:sz w:val="20"/>
          <w:szCs w:val="20"/>
        </w:rPr>
        <w:t xml:space="preserve">, was normalized against that of </w:t>
      </w:r>
      <w:r w:rsidRPr="00C33EF4">
        <w:rPr>
          <w:i/>
          <w:iCs/>
          <w:color w:val="000000" w:themeColor="text1"/>
          <w:sz w:val="20"/>
          <w:szCs w:val="20"/>
        </w:rPr>
        <w:t>HPRT</w:t>
      </w:r>
      <w:r w:rsidRPr="00C33EF4">
        <w:rPr>
          <w:color w:val="000000" w:themeColor="text1"/>
          <w:sz w:val="20"/>
          <w:szCs w:val="20"/>
        </w:rPr>
        <w:t>, and expressed as the mean ± SEM (n=8). Differences between conditions were determined by one-way ANOVA (A and B left panel) or two way (B Right Panel) on raw data that passed the Brown-Forsythe or Bartlett’s test for heteroscedasticity and the Shapiro-Wilk test for normality of residuals. ***P&lt;0.001.</w:t>
      </w:r>
    </w:p>
    <w:p w14:paraId="6D7B7F25" w14:textId="77777777" w:rsidR="00E348F7" w:rsidRPr="00B1569B" w:rsidRDefault="00E348F7" w:rsidP="00E348F7"/>
    <w:p w14:paraId="35C99F96" w14:textId="77777777" w:rsidR="00E348F7" w:rsidRDefault="00E348F7" w:rsidP="00E348F7">
      <w:pPr>
        <w:pStyle w:val="Heading1"/>
        <w:spacing w:before="0" w:after="0" w:line="276" w:lineRule="auto"/>
        <w:rPr>
          <w:b/>
          <w:color w:val="000000" w:themeColor="text1"/>
          <w:sz w:val="20"/>
          <w:szCs w:val="20"/>
        </w:rPr>
      </w:pPr>
      <w:r w:rsidRPr="00C33EF4">
        <w:rPr>
          <w:b/>
          <w:noProof/>
          <w:color w:val="000000" w:themeColor="text1"/>
          <w:sz w:val="20"/>
          <w:szCs w:val="20"/>
        </w:rPr>
        <w:lastRenderedPageBreak/>
        <w:drawing>
          <wp:inline distT="0" distB="0" distL="0" distR="0" wp14:anchorId="70C7AC1E" wp14:editId="5E46CF86">
            <wp:extent cx="1310400" cy="1940400"/>
            <wp:effectExtent l="0" t="0" r="0" b="3175"/>
            <wp:docPr id="200334111"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34111" name="Image 2003341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0400" cy="1940400"/>
                    </a:xfrm>
                    <a:prstGeom prst="rect">
                      <a:avLst/>
                    </a:prstGeom>
                  </pic:spPr>
                </pic:pic>
              </a:graphicData>
            </a:graphic>
          </wp:inline>
        </w:drawing>
      </w:r>
    </w:p>
    <w:p w14:paraId="12FBFBC3" w14:textId="77777777" w:rsidR="00E348F7" w:rsidRPr="00B1569B" w:rsidRDefault="00E348F7" w:rsidP="00E348F7"/>
    <w:p w14:paraId="67F61924" w14:textId="77777777" w:rsidR="00E348F7" w:rsidRPr="00C33EF4" w:rsidRDefault="00E348F7" w:rsidP="00E348F7">
      <w:pPr>
        <w:pStyle w:val="Heading1"/>
        <w:spacing w:before="0" w:after="0" w:line="276" w:lineRule="auto"/>
        <w:rPr>
          <w:b/>
          <w:color w:val="000000" w:themeColor="text1"/>
          <w:sz w:val="20"/>
          <w:szCs w:val="20"/>
        </w:rPr>
      </w:pPr>
      <w:r w:rsidRPr="00C33EF4">
        <w:rPr>
          <w:bCs/>
          <w:color w:val="000000" w:themeColor="text1"/>
          <w:sz w:val="20"/>
          <w:szCs w:val="20"/>
        </w:rPr>
        <w:t>Figure S4: CCL5/RANTES secretion into the culture medium of ASCs or adipocyte-derived from young- or aged-ASCs.</w:t>
      </w:r>
      <w:r w:rsidRPr="00C33EF4">
        <w:rPr>
          <w:color w:val="000000" w:themeColor="text1"/>
          <w:sz w:val="20"/>
          <w:szCs w:val="20"/>
        </w:rPr>
        <w:t xml:space="preserve"> Densitometry analysis of adipokine arrays were performed and expressed as the mean ± SEM (n=6). Differences between conditions were determined by two-way ANOVA on raw or transformed data that passed Spearman’s test for heteroscedasticity and the Shapiro-Wilk test for normality of residuals. **P&lt;0.01, *** P&lt;0.001.</w:t>
      </w:r>
    </w:p>
    <w:p w14:paraId="672F67D9" w14:textId="77777777" w:rsidR="00E348F7" w:rsidRDefault="00E348F7" w:rsidP="00E348F7">
      <w:pPr>
        <w:spacing w:before="0" w:after="0" w:line="276" w:lineRule="auto"/>
        <w:ind w:firstLine="0"/>
        <w:rPr>
          <w:color w:val="000000" w:themeColor="text1"/>
          <w:sz w:val="20"/>
          <w:szCs w:val="20"/>
        </w:rPr>
      </w:pPr>
    </w:p>
    <w:p w14:paraId="6E26AD30"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8F7"/>
    <w:rsid w:val="002978F5"/>
    <w:rsid w:val="003852CF"/>
    <w:rsid w:val="004E780C"/>
    <w:rsid w:val="005D227C"/>
    <w:rsid w:val="00E348F7"/>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83AFA"/>
  <w15:chartTrackingRefBased/>
  <w15:docId w15:val="{0E888A2A-A45B-4060-8EFC-4037BC1C0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8F7"/>
    <w:pPr>
      <w:spacing w:before="60" w:after="60" w:line="360" w:lineRule="auto"/>
      <w:ind w:firstLine="284"/>
      <w:jc w:val="both"/>
    </w:pPr>
    <w:rPr>
      <w:rFonts w:ascii="Times New Roman" w:eastAsia="Times New Roman" w:hAnsi="Times New Roman" w:cs="Times New Roman"/>
      <w:kern w:val="0"/>
      <w:lang w:eastAsia="fr-FR"/>
      <w14:ligatures w14:val="none"/>
    </w:rPr>
  </w:style>
  <w:style w:type="paragraph" w:styleId="Heading1">
    <w:name w:val="heading 1"/>
    <w:basedOn w:val="Normal"/>
    <w:next w:val="Normal"/>
    <w:link w:val="Heading1Char"/>
    <w:uiPriority w:val="9"/>
    <w:qFormat/>
    <w:rsid w:val="00E348F7"/>
    <w:pPr>
      <w:keepNext/>
      <w:keepLines/>
      <w:spacing w:before="360" w:after="80" w:line="278" w:lineRule="auto"/>
      <w:ind w:firstLine="0"/>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E348F7"/>
    <w:pPr>
      <w:keepNext/>
      <w:keepLines/>
      <w:spacing w:before="160" w:after="80" w:line="278" w:lineRule="auto"/>
      <w:ind w:firstLine="0"/>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348F7"/>
    <w:pPr>
      <w:keepNext/>
      <w:keepLines/>
      <w:spacing w:before="160" w:after="80" w:line="278" w:lineRule="auto"/>
      <w:ind w:firstLine="0"/>
      <w:jc w:val="left"/>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E348F7"/>
    <w:pPr>
      <w:keepNext/>
      <w:keepLines/>
      <w:spacing w:before="80" w:after="40" w:line="278" w:lineRule="auto"/>
      <w:ind w:firstLine="0"/>
      <w:jc w:val="left"/>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E348F7"/>
    <w:pPr>
      <w:keepNext/>
      <w:keepLines/>
      <w:spacing w:before="80" w:after="40" w:line="278" w:lineRule="auto"/>
      <w:ind w:firstLine="0"/>
      <w:jc w:val="left"/>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E348F7"/>
    <w:pPr>
      <w:keepNext/>
      <w:keepLines/>
      <w:spacing w:before="40" w:after="0" w:line="278" w:lineRule="auto"/>
      <w:ind w:firstLine="0"/>
      <w:jc w:val="left"/>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E348F7"/>
    <w:pPr>
      <w:keepNext/>
      <w:keepLines/>
      <w:spacing w:before="40" w:after="0" w:line="278" w:lineRule="auto"/>
      <w:ind w:firstLine="0"/>
      <w:jc w:val="left"/>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E348F7"/>
    <w:pPr>
      <w:keepNext/>
      <w:keepLines/>
      <w:spacing w:before="0" w:after="0" w:line="278" w:lineRule="auto"/>
      <w:ind w:firstLine="0"/>
      <w:jc w:val="left"/>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E348F7"/>
    <w:pPr>
      <w:keepNext/>
      <w:keepLines/>
      <w:spacing w:before="0" w:after="0" w:line="278" w:lineRule="auto"/>
      <w:ind w:firstLine="0"/>
      <w:jc w:val="left"/>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8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48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48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48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48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8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8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8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8F7"/>
    <w:rPr>
      <w:rFonts w:eastAsiaTheme="majorEastAsia" w:cstheme="majorBidi"/>
      <w:color w:val="272727" w:themeColor="text1" w:themeTint="D8"/>
    </w:rPr>
  </w:style>
  <w:style w:type="paragraph" w:styleId="Title">
    <w:name w:val="Title"/>
    <w:basedOn w:val="Normal"/>
    <w:next w:val="Normal"/>
    <w:link w:val="TitleChar"/>
    <w:uiPriority w:val="10"/>
    <w:qFormat/>
    <w:rsid w:val="00E348F7"/>
    <w:pPr>
      <w:spacing w:before="0" w:after="80" w:line="240" w:lineRule="auto"/>
      <w:ind w:firstLine="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E348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48F7"/>
    <w:pPr>
      <w:numPr>
        <w:ilvl w:val="1"/>
      </w:numPr>
      <w:spacing w:before="0" w:after="160" w:line="278" w:lineRule="auto"/>
      <w:jc w:val="left"/>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E348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8F7"/>
    <w:pPr>
      <w:spacing w:before="160" w:after="160" w:line="278" w:lineRule="auto"/>
      <w:ind w:firstLine="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E348F7"/>
    <w:rPr>
      <w:i/>
      <w:iCs/>
      <w:color w:val="404040" w:themeColor="text1" w:themeTint="BF"/>
    </w:rPr>
  </w:style>
  <w:style w:type="paragraph" w:styleId="ListParagraph">
    <w:name w:val="List Paragraph"/>
    <w:basedOn w:val="Normal"/>
    <w:uiPriority w:val="34"/>
    <w:qFormat/>
    <w:rsid w:val="00E348F7"/>
    <w:pPr>
      <w:spacing w:before="0" w:after="160" w:line="278" w:lineRule="auto"/>
      <w:ind w:left="720" w:firstLine="0"/>
      <w:contextualSpacing/>
      <w:jc w:val="left"/>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E348F7"/>
    <w:rPr>
      <w:i/>
      <w:iCs/>
      <w:color w:val="0F4761" w:themeColor="accent1" w:themeShade="BF"/>
    </w:rPr>
  </w:style>
  <w:style w:type="paragraph" w:styleId="IntenseQuote">
    <w:name w:val="Intense Quote"/>
    <w:basedOn w:val="Normal"/>
    <w:next w:val="Normal"/>
    <w:link w:val="IntenseQuoteChar"/>
    <w:uiPriority w:val="30"/>
    <w:qFormat/>
    <w:rsid w:val="00E348F7"/>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E348F7"/>
    <w:rPr>
      <w:i/>
      <w:iCs/>
      <w:color w:val="0F4761" w:themeColor="accent1" w:themeShade="BF"/>
    </w:rPr>
  </w:style>
  <w:style w:type="character" w:styleId="IntenseReference">
    <w:name w:val="Intense Reference"/>
    <w:basedOn w:val="DefaultParagraphFont"/>
    <w:uiPriority w:val="32"/>
    <w:qFormat/>
    <w:rsid w:val="00E348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376</Words>
  <Characters>2148</Characters>
  <Application>Microsoft Office Word</Application>
  <DocSecurity>0</DocSecurity>
  <Lines>17</Lines>
  <Paragraphs>5</Paragraphs>
  <ScaleCrop>false</ScaleCrop>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2025-03-28T12:06:00Z</dcterms:created>
  <dcterms:modified xsi:type="dcterms:W3CDTF">2025-03-28T12:06:00Z</dcterms:modified>
</cp:coreProperties>
</file>