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5656" w14:textId="43D973A4" w:rsidR="00957842" w:rsidRPr="00584B96" w:rsidRDefault="00D16CC7" w:rsidP="00D16CC7">
      <w:pPr>
        <w:pStyle w:val="Title"/>
        <w:rPr>
          <w:lang w:val="en-US"/>
        </w:rPr>
      </w:pPr>
      <w:r>
        <w:rPr>
          <w:lang w:val="en-US"/>
        </w:rPr>
        <w:t xml:space="preserve">Supplementary materials </w:t>
      </w:r>
      <w:r w:rsidR="007A227B">
        <w:rPr>
          <w:lang w:val="en-US"/>
        </w:rPr>
        <w:t>H</w:t>
      </w:r>
    </w:p>
    <w:p w14:paraId="5C0DE0DB" w14:textId="77777777" w:rsidR="00957842" w:rsidRDefault="00957842" w:rsidP="00D16CC7">
      <w:pPr>
        <w:pStyle w:val="Subtitle"/>
        <w:rPr>
          <w:lang w:val="en-US"/>
        </w:rPr>
      </w:pPr>
      <w:r w:rsidRPr="00584B96">
        <w:rPr>
          <w:lang w:val="en-US"/>
        </w:rPr>
        <w:t>All items from the World Health Organization Trial Registration Data Set</w:t>
      </w:r>
    </w:p>
    <w:p w14:paraId="79C09673" w14:textId="77777777" w:rsidR="00D16CC7" w:rsidRPr="00D16CC7" w:rsidRDefault="00D16CC7" w:rsidP="00D16CC7">
      <w:pPr>
        <w:rPr>
          <w:lang w:val="en-US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635"/>
      </w:tblGrid>
      <w:tr w:rsidR="00957842" w:rsidRPr="00742AEB" w14:paraId="7C4CB040" w14:textId="77777777" w:rsidTr="00D16CC7">
        <w:trPr>
          <w:tblHeader/>
        </w:trPr>
        <w:tc>
          <w:tcPr>
            <w:tcW w:w="2428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781392" w14:textId="77777777" w:rsidR="00957842" w:rsidRPr="00D16CC7" w:rsidRDefault="00957842" w:rsidP="001722CA">
            <w:pPr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/>
                <w:bCs/>
                <w:color w:val="000000" w:themeColor="text1"/>
              </w:rPr>
              <w:t xml:space="preserve">Data </w:t>
            </w:r>
            <w:proofErr w:type="spellStart"/>
            <w:r w:rsidRPr="00D16CC7">
              <w:rPr>
                <w:rFonts w:ascii="Aptos" w:hAnsi="Aptos" w:cs="Times New Roman"/>
                <w:b/>
                <w:bCs/>
                <w:color w:val="000000" w:themeColor="text1"/>
              </w:rPr>
              <w:t>category</w:t>
            </w:r>
            <w:proofErr w:type="spellEnd"/>
          </w:p>
        </w:tc>
        <w:tc>
          <w:tcPr>
            <w:tcW w:w="2572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937718" w14:textId="77777777" w:rsidR="00957842" w:rsidRPr="00D16CC7" w:rsidRDefault="00957842" w:rsidP="001722CA">
            <w:pPr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/>
                <w:bCs/>
                <w:color w:val="000000" w:themeColor="text1"/>
              </w:rPr>
              <w:t>Information</w:t>
            </w:r>
          </w:p>
        </w:tc>
      </w:tr>
      <w:tr w:rsidR="00957842" w:rsidRPr="00742AEB" w14:paraId="62E25E6F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293F8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Primary registry and trial identifying number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3495D" w14:textId="77777777" w:rsidR="00957842" w:rsidRPr="00D16CC7" w:rsidRDefault="00957842" w:rsidP="001722CA">
            <w:pPr>
              <w:rPr>
                <w:rFonts w:ascii="Aptos" w:hAnsi="Aptos" w:cs="Times New Roman"/>
                <w:color w:val="000000" w:themeColor="text1"/>
                <w:shd w:val="clear" w:color="auto" w:fill="FFFFFF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ClinicalTrials.gov: </w:t>
            </w:r>
            <w:hyperlink r:id="rId4" w:tooltip="Current version of study NCT05335382 on ClinicalTrials.gov" w:history="1">
              <w:r w:rsidRPr="00D16CC7">
                <w:rPr>
                  <w:rStyle w:val="Hyperlink"/>
                  <w:rFonts w:ascii="Aptos" w:hAnsi="Aptos" w:cs="Times New Roman"/>
                  <w:color w:val="000000" w:themeColor="text1"/>
                  <w:shd w:val="clear" w:color="auto" w:fill="FFFFFF"/>
                  <w:lang w:val="en-US"/>
                </w:rPr>
                <w:t>NCT05335382</w:t>
              </w:r>
            </w:hyperlink>
          </w:p>
        </w:tc>
      </w:tr>
      <w:tr w:rsidR="00957842" w:rsidRPr="00742AEB" w14:paraId="17CBDF83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DA683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Date of registration in primary registry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9AF6E" w14:textId="692A4153" w:rsidR="00957842" w:rsidRPr="00D16CC7" w:rsidRDefault="00003444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>
              <w:rPr>
                <w:rFonts w:ascii="Aptos" w:hAnsi="Aptos"/>
                <w:lang w:val="en-US"/>
              </w:rPr>
              <w:t>May</w:t>
            </w:r>
            <w:r w:rsidRPr="00E618E2">
              <w:rPr>
                <w:rFonts w:ascii="Aptos" w:hAnsi="Aptos"/>
                <w:lang w:val="en-US"/>
              </w:rPr>
              <w:t xml:space="preserve"> </w:t>
            </w:r>
            <w:r>
              <w:rPr>
                <w:rFonts w:ascii="Aptos" w:hAnsi="Aptos"/>
                <w:lang w:val="en-US"/>
              </w:rPr>
              <w:t>25</w:t>
            </w:r>
            <w:r w:rsidRPr="00CB5B51">
              <w:rPr>
                <w:rFonts w:ascii="Aptos" w:hAnsi="Aptos"/>
                <w:vertAlign w:val="superscript"/>
                <w:lang w:val="en-US"/>
              </w:rPr>
              <w:t>th</w:t>
            </w:r>
            <w:r w:rsidRPr="00E618E2">
              <w:rPr>
                <w:rFonts w:ascii="Aptos" w:hAnsi="Aptos"/>
                <w:lang w:val="en-US"/>
              </w:rPr>
              <w:t>, 202</w:t>
            </w:r>
            <w:r>
              <w:rPr>
                <w:rFonts w:ascii="Aptos" w:hAnsi="Aptos"/>
                <w:lang w:val="en-US"/>
              </w:rPr>
              <w:t>1</w:t>
            </w:r>
          </w:p>
        </w:tc>
      </w:tr>
      <w:tr w:rsidR="00957842" w:rsidRPr="00742AEB" w14:paraId="7F091676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A622F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Secondary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identifying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numbers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56463" w14:textId="1D9A82B6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gram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2020-04198</w:t>
            </w:r>
            <w:proofErr w:type="gramEnd"/>
          </w:p>
        </w:tc>
      </w:tr>
      <w:tr w:rsidR="00957842" w:rsidRPr="00D16CC7" w14:paraId="1ACDFD4A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F9E50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Source(s) of monetary or material support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916D6" w14:textId="0CCF4092" w:rsidR="00957842" w:rsidRPr="00D16CC7" w:rsidRDefault="00003444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5C7734">
              <w:rPr>
                <w:rFonts w:ascii="Aptos" w:hAnsi="Aptos" w:cs="Times New Roman"/>
                <w:lang w:val="en-US"/>
              </w:rPr>
              <w:t xml:space="preserve">Kamprad Family Foundation for Entrepreneurship, Research and Charity (2019-2024), Karolinska </w:t>
            </w:r>
            <w:proofErr w:type="spellStart"/>
            <w:r w:rsidRPr="005C7734">
              <w:rPr>
                <w:rFonts w:ascii="Aptos" w:hAnsi="Aptos" w:cs="Times New Roman"/>
                <w:lang w:val="en-US"/>
              </w:rPr>
              <w:t>Institute</w:t>
            </w:r>
            <w:r>
              <w:rPr>
                <w:rFonts w:ascii="Aptos" w:hAnsi="Aptos" w:cs="Times New Roman"/>
                <w:lang w:val="en-US"/>
              </w:rPr>
              <w:t>t</w:t>
            </w:r>
            <w:proofErr w:type="spellEnd"/>
            <w:r w:rsidRPr="005C7734">
              <w:rPr>
                <w:rFonts w:ascii="Aptos" w:hAnsi="Aptos" w:cs="Times New Roman"/>
                <w:lang w:val="en-US"/>
              </w:rPr>
              <w:t xml:space="preserve"> Funds (2020-2021), </w:t>
            </w:r>
            <w:proofErr w:type="spellStart"/>
            <w:r w:rsidRPr="005C7734">
              <w:rPr>
                <w:rFonts w:ascii="Aptos" w:hAnsi="Aptos" w:cs="Times New Roman"/>
                <w:lang w:val="en-US"/>
              </w:rPr>
              <w:t>Capio</w:t>
            </w:r>
            <w:proofErr w:type="spellEnd"/>
            <w:r w:rsidRPr="005C7734">
              <w:rPr>
                <w:rFonts w:ascii="Aptos" w:hAnsi="Aptos" w:cs="Times New Roman"/>
                <w:lang w:val="en-US"/>
              </w:rPr>
              <w:t xml:space="preserve"> </w:t>
            </w:r>
            <w:proofErr w:type="spellStart"/>
            <w:r w:rsidRPr="005C7734">
              <w:rPr>
                <w:rFonts w:ascii="Aptos" w:hAnsi="Aptos" w:cs="Times New Roman"/>
                <w:lang w:val="en-US"/>
              </w:rPr>
              <w:t>Närsjukvård</w:t>
            </w:r>
            <w:proofErr w:type="spellEnd"/>
            <w:r w:rsidRPr="005C7734">
              <w:rPr>
                <w:rFonts w:ascii="Aptos" w:hAnsi="Aptos" w:cs="Times New Roman"/>
                <w:lang w:val="en-US"/>
              </w:rPr>
              <w:t xml:space="preserve"> (2019-2027), the Swedish Research Council (2021-06481)</w:t>
            </w:r>
            <w:r>
              <w:rPr>
                <w:rFonts w:ascii="Aptos" w:hAnsi="Aptos" w:cs="Times New Roman"/>
                <w:lang w:val="en-US"/>
              </w:rPr>
              <w:t xml:space="preserve">, </w:t>
            </w:r>
            <w:r>
              <w:rPr>
                <w:rFonts w:ascii="Aptos" w:hAnsi="Aptos" w:cs="Times New Roman"/>
                <w:lang w:val="en-US"/>
              </w:rPr>
              <w:t>R</w:t>
            </w:r>
            <w:r w:rsidRPr="005C7734">
              <w:rPr>
                <w:rFonts w:ascii="Aptos" w:hAnsi="Aptos" w:cs="Times New Roman"/>
                <w:lang w:val="en-US"/>
              </w:rPr>
              <w:t xml:space="preserve">egional agreement on medical training and clinical research (ALF) between Karolinska </w:t>
            </w:r>
            <w:proofErr w:type="spellStart"/>
            <w:r w:rsidRPr="005C7734">
              <w:rPr>
                <w:rFonts w:ascii="Aptos" w:hAnsi="Aptos" w:cs="Times New Roman"/>
                <w:lang w:val="en-US"/>
              </w:rPr>
              <w:t>Institutet</w:t>
            </w:r>
            <w:proofErr w:type="spellEnd"/>
            <w:r w:rsidRPr="005C7734">
              <w:rPr>
                <w:rFonts w:ascii="Aptos" w:hAnsi="Aptos" w:cs="Times New Roman"/>
                <w:lang w:val="en-US"/>
              </w:rPr>
              <w:t xml:space="preserve"> and Region Stockholm (FoUI-977722).</w:t>
            </w:r>
          </w:p>
        </w:tc>
      </w:tr>
      <w:tr w:rsidR="00957842" w:rsidRPr="00742AEB" w14:paraId="1FE498D7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AC8C9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Primary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sponsor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5BD1B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Linnaeus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University</w:t>
            </w:r>
          </w:p>
        </w:tc>
      </w:tr>
      <w:tr w:rsidR="00957842" w:rsidRPr="00742AEB" w14:paraId="2072506C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83664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Secondary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sponsor(s)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B5C57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>Karolinska Institutet</w:t>
            </w:r>
          </w:p>
        </w:tc>
      </w:tr>
      <w:tr w:rsidR="00957842" w:rsidRPr="00742AEB" w14:paraId="444FEB76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3F867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Contact for public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queries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D77F6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i/>
                <w:iCs/>
                <w:color w:val="000000" w:themeColor="text1"/>
              </w:rPr>
              <w:t>AFVC</w:t>
            </w:r>
            <w:r w:rsidRPr="00D16CC7">
              <w:rPr>
                <w:rFonts w:ascii="Aptos" w:hAnsi="Aptos" w:cs="Times New Roman"/>
                <w:bCs/>
                <w:color w:val="000000" w:themeColor="text1"/>
              </w:rPr>
              <w:br/>
              <w:t>anneli.farnsworthvoncederwald@lnu.se</w:t>
            </w:r>
          </w:p>
        </w:tc>
      </w:tr>
      <w:tr w:rsidR="00957842" w:rsidRPr="00D16CC7" w14:paraId="15D12C64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8F891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Contact for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scientific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queries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49F53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i/>
                <w:iCs/>
                <w:color w:val="000000" w:themeColor="text1"/>
                <w:lang w:val="en-US"/>
              </w:rPr>
              <w:t>AFVC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</w:r>
            <w:r w:rsidRPr="00D16CC7">
              <w:rPr>
                <w:rFonts w:ascii="Aptos" w:eastAsia="Times New Roman" w:hAnsi="Aptos" w:cs="Times New Roman"/>
                <w:color w:val="000000" w:themeColor="text1"/>
                <w:lang w:val="en-US" w:eastAsia="sv-SE"/>
              </w:rPr>
              <w:t>Department of Psychology, Faculty of Health and Life Sciences, Linnaeus University, Växjö, Sweden.</w:t>
            </w:r>
          </w:p>
        </w:tc>
      </w:tr>
      <w:tr w:rsidR="00957842" w:rsidRPr="00742AEB" w14:paraId="7537054C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0A7E9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Public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title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6563B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>The KAIROS Project</w:t>
            </w:r>
          </w:p>
        </w:tc>
      </w:tr>
      <w:tr w:rsidR="00957842" w:rsidRPr="00D16CC7" w14:paraId="41CDFD58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33C27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Scientific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title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794A2" w14:textId="69A37D61" w:rsidR="00957842" w:rsidRPr="00EC35F5" w:rsidRDefault="00EC35F5" w:rsidP="00EC35F5">
            <w:pPr>
              <w:spacing w:line="480" w:lineRule="auto"/>
              <w:rPr>
                <w:rFonts w:ascii="Aptos" w:hAnsi="Aptos"/>
                <w:lang w:val="en-US"/>
              </w:rPr>
            </w:pPr>
            <w:r w:rsidRPr="00EC35F5">
              <w:rPr>
                <w:rFonts w:ascii="Aptos" w:hAnsi="Aptos"/>
                <w:lang w:val="en-GB"/>
              </w:rPr>
              <w:t xml:space="preserve">Evaluation of Primary Care </w:t>
            </w:r>
            <w:proofErr w:type="spellStart"/>
            <w:r w:rsidRPr="00EC35F5">
              <w:rPr>
                <w:rFonts w:ascii="Aptos" w:hAnsi="Aptos"/>
                <w:lang w:val="en-GB"/>
              </w:rPr>
              <w:t>Behavioral</w:t>
            </w:r>
            <w:proofErr w:type="spellEnd"/>
            <w:r w:rsidRPr="00EC35F5">
              <w:rPr>
                <w:rFonts w:ascii="Aptos" w:hAnsi="Aptos"/>
                <w:lang w:val="en-GB"/>
              </w:rPr>
              <w:t xml:space="preserve"> Health (PCBH) with guided self-help CBT as a </w:t>
            </w:r>
            <w:r w:rsidRPr="00EC35F5">
              <w:rPr>
                <w:rFonts w:ascii="Aptos" w:hAnsi="Aptos"/>
                <w:lang w:val="en-GB"/>
              </w:rPr>
              <w:lastRenderedPageBreak/>
              <w:t xml:space="preserve">treatment option – a protocol of a single-blind randomized </w:t>
            </w:r>
            <w:proofErr w:type="spellStart"/>
            <w:r w:rsidRPr="00EC35F5">
              <w:rPr>
                <w:rFonts w:ascii="Aptos" w:hAnsi="Aptos"/>
                <w:lang w:val="en-GB"/>
              </w:rPr>
              <w:t>multicenter</w:t>
            </w:r>
            <w:proofErr w:type="spellEnd"/>
            <w:r w:rsidRPr="00EC35F5">
              <w:rPr>
                <w:rFonts w:ascii="Aptos" w:hAnsi="Aptos"/>
                <w:lang w:val="en-GB"/>
              </w:rPr>
              <w:t xml:space="preserve"> trial (KAIROS)</w:t>
            </w:r>
          </w:p>
        </w:tc>
      </w:tr>
      <w:tr w:rsidR="00957842" w:rsidRPr="00742AEB" w14:paraId="00D30DC6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CE16D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lastRenderedPageBreak/>
              <w:t>Countries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of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recruitment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0DEE0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>Sweden</w:t>
            </w:r>
          </w:p>
        </w:tc>
      </w:tr>
      <w:tr w:rsidR="00957842" w:rsidRPr="00D16CC7" w14:paraId="6C5E2BCF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4029A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Health condition(s) or problem(s) studied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4A516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All mental and behavioral health issues commonly presenting in primary care</w:t>
            </w:r>
          </w:p>
        </w:tc>
      </w:tr>
      <w:tr w:rsidR="00957842" w:rsidRPr="00D16CC7" w14:paraId="5EE68E59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396D6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>Intervention(s)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E8CA6" w14:textId="18C6B3F6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Experimental Arm:</w:t>
            </w:r>
            <w:r w:rsidRPr="00D16CC7">
              <w:rPr>
                <w:rFonts w:ascii="Aptos" w:hAnsi="Aptos" w:cs="Times New Roman"/>
                <w:bCs/>
                <w:i/>
                <w:iCs/>
                <w:color w:val="000000" w:themeColor="text1"/>
                <w:lang w:val="en-US"/>
              </w:rPr>
              <w:t> 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 xml:space="preserve"> </w:t>
            </w:r>
            <w:r w:rsidR="008D1648">
              <w:rPr>
                <w:rFonts w:ascii="Aptos" w:hAnsi="Aptos" w:cs="Times New Roman"/>
                <w:bCs/>
                <w:color w:val="000000" w:themeColor="text1"/>
                <w:lang w:val="en-US"/>
              </w:rPr>
              <w:t xml:space="preserve">Extended 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Primary Care Behavioral Health (PCBH)</w:t>
            </w:r>
            <w:r w:rsidR="008D1648">
              <w:rPr>
                <w:rFonts w:ascii="Aptos" w:hAnsi="Aptos" w:cs="Times New Roman"/>
                <w:bCs/>
                <w:color w:val="000000" w:themeColor="text1"/>
                <w:lang w:val="en-US"/>
              </w:rPr>
              <w:t xml:space="preserve"> with guided self-help as a treatment option for those suitable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  <w:t xml:space="preserve">Active Comparator Arm: </w:t>
            </w:r>
            <w:r w:rsidR="008D1648">
              <w:rPr>
                <w:rFonts w:ascii="Aptos" w:hAnsi="Aptos" w:cs="Times New Roman"/>
                <w:bCs/>
                <w:color w:val="000000" w:themeColor="text1"/>
                <w:lang w:val="en-US"/>
              </w:rPr>
              <w:t>Core PCBH with only brief interventions as a treatment option</w:t>
            </w:r>
          </w:p>
        </w:tc>
      </w:tr>
      <w:tr w:rsidR="00957842" w:rsidRPr="00D16CC7" w14:paraId="7B797D3B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FE890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Key inclusion and exclusion criteria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9BC4D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Inclusion criteria: adult patient (≥ 18 years) who seeks primary care at participating unit, deemed to be suitable for behavioral health interventions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  <w:t>Exclusion criteria: does not speak Swedish well enough to fill out questionnaires, is deemed to need emergency type care (such as immediate risk of suicide)</w:t>
            </w:r>
          </w:p>
        </w:tc>
      </w:tr>
      <w:tr w:rsidR="00957842" w:rsidRPr="00D16CC7" w14:paraId="472391BE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64787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Study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type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2F311" w14:textId="7387AF45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Interventional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  <w:t xml:space="preserve">Allocation: </w:t>
            </w:r>
            <w:r w:rsidR="00DD4341" w:rsidRPr="00DD4341">
              <w:rPr>
                <w:lang w:val="en-US"/>
              </w:rPr>
              <w:t xml:space="preserve">1:1 individual </w:t>
            </w:r>
            <w:r w:rsidR="00DD4341">
              <w:rPr>
                <w:lang w:val="en-US"/>
              </w:rPr>
              <w:t>randomization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  <w:t>Intervention model: parallel assignment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  <w:t xml:space="preserve">Masking: </w:t>
            </w:r>
            <w:r w:rsidR="00DD4341">
              <w:rPr>
                <w:rFonts w:ascii="Aptos" w:hAnsi="Aptos" w:cs="Times New Roman"/>
                <w:bCs/>
                <w:color w:val="000000" w:themeColor="text1"/>
                <w:lang w:val="en-US"/>
              </w:rPr>
              <w:t>single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-blinded</w:t>
            </w: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br/>
              <w:t>Primary purpose: treatment</w:t>
            </w:r>
          </w:p>
        </w:tc>
      </w:tr>
      <w:tr w:rsidR="00957842" w:rsidRPr="00742AEB" w14:paraId="32D4B2DF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AF333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Date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of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first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enrolment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0C8D0" w14:textId="6C47205A" w:rsidR="00957842" w:rsidRPr="00D16CC7" w:rsidRDefault="00DD4341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5C7734">
              <w:rPr>
                <w:rFonts w:ascii="Aptos" w:hAnsi="Aptos" w:cs="Times New Roman"/>
                <w:lang w:val="en-US"/>
              </w:rPr>
              <w:t>June 14th, 2021</w:t>
            </w:r>
          </w:p>
        </w:tc>
      </w:tr>
      <w:tr w:rsidR="00957842" w:rsidRPr="00742AEB" w14:paraId="2C74F56A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EF0A7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Target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sample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size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2EFC4" w14:textId="0997BC98" w:rsidR="00957842" w:rsidRPr="00D16CC7" w:rsidRDefault="00DD4341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  <w:lang w:val="en-US"/>
              </w:rPr>
              <w:t>983</w:t>
            </w:r>
          </w:p>
        </w:tc>
      </w:tr>
      <w:tr w:rsidR="00957842" w:rsidRPr="00742AEB" w14:paraId="32E97295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7BABA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Recruitment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status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33588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Recruiting</w:t>
            </w:r>
            <w:proofErr w:type="spellEnd"/>
          </w:p>
        </w:tc>
      </w:tr>
      <w:tr w:rsidR="00957842" w:rsidRPr="00D16CC7" w14:paraId="704676AC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D7F3E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Primary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outcome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>(s)</w:t>
            </w:r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74172" w14:textId="137C7203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Daily functioning</w:t>
            </w:r>
          </w:p>
        </w:tc>
      </w:tr>
      <w:tr w:rsidR="00957842" w:rsidRPr="00D16CC7" w14:paraId="14DF4638" w14:textId="77777777" w:rsidTr="00D16CC7">
        <w:tc>
          <w:tcPr>
            <w:tcW w:w="24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39088" w14:textId="77777777" w:rsidR="00957842" w:rsidRPr="00D16CC7" w:rsidRDefault="00957842" w:rsidP="001722CA">
            <w:pPr>
              <w:rPr>
                <w:rFonts w:ascii="Aptos" w:hAnsi="Aptos" w:cs="Times New Roman"/>
                <w:bCs/>
                <w:color w:val="000000" w:themeColor="text1"/>
              </w:rPr>
            </w:pP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lastRenderedPageBreak/>
              <w:t>Key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secondary</w:t>
            </w:r>
            <w:proofErr w:type="spellEnd"/>
            <w:r w:rsidRPr="00D16CC7">
              <w:rPr>
                <w:rFonts w:ascii="Aptos" w:hAnsi="Aptos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6CC7">
              <w:rPr>
                <w:rFonts w:ascii="Aptos" w:hAnsi="Aptos" w:cs="Times New Roman"/>
                <w:bCs/>
                <w:color w:val="000000" w:themeColor="text1"/>
              </w:rPr>
              <w:t>outcomes</w:t>
            </w:r>
            <w:proofErr w:type="spellEnd"/>
          </w:p>
        </w:tc>
        <w:tc>
          <w:tcPr>
            <w:tcW w:w="2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C888C" w14:textId="22024468" w:rsidR="00957842" w:rsidRPr="00D16CC7" w:rsidRDefault="001139B5" w:rsidP="001722CA">
            <w:pPr>
              <w:rPr>
                <w:rFonts w:ascii="Aptos" w:hAnsi="Aptos" w:cs="Times New Roman"/>
                <w:bCs/>
                <w:color w:val="000000" w:themeColor="text1"/>
                <w:lang w:val="en-US"/>
              </w:rPr>
            </w:pPr>
            <w:r>
              <w:rPr>
                <w:rFonts w:ascii="Aptos" w:hAnsi="Aptos" w:cs="Times New Roman"/>
                <w:bCs/>
                <w:color w:val="000000" w:themeColor="text1"/>
                <w:lang w:val="en-US"/>
              </w:rPr>
              <w:t xml:space="preserve">Costs, </w:t>
            </w:r>
            <w:r w:rsidR="000128D1">
              <w:rPr>
                <w:rFonts w:ascii="Aptos" w:hAnsi="Aptos" w:cs="Times New Roman"/>
                <w:bCs/>
                <w:color w:val="000000" w:themeColor="text1"/>
                <w:lang w:val="en-US"/>
              </w:rPr>
              <w:t xml:space="preserve">care process factors, </w:t>
            </w:r>
            <w:r>
              <w:rPr>
                <w:rFonts w:ascii="Aptos" w:hAnsi="Aptos" w:cs="Times New Roman"/>
                <w:bCs/>
                <w:color w:val="000000" w:themeColor="text1"/>
                <w:lang w:val="en-US"/>
              </w:rPr>
              <w:t>s</w:t>
            </w:r>
            <w:r w:rsidR="00957842"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ymptoms, satisfaction, subjective change, adverse events, treatment content,</w:t>
            </w:r>
            <w:r>
              <w:rPr>
                <w:rFonts w:ascii="Aptos" w:hAnsi="Aptos" w:cs="Times New Roman"/>
                <w:bCs/>
                <w:color w:val="000000" w:themeColor="text1"/>
                <w:lang w:val="en-US"/>
              </w:rPr>
              <w:t xml:space="preserve"> </w:t>
            </w:r>
            <w:r w:rsidR="00957842" w:rsidRPr="00D16CC7">
              <w:rPr>
                <w:rFonts w:ascii="Aptos" w:hAnsi="Aptos" w:cs="Times New Roman"/>
                <w:bCs/>
                <w:color w:val="000000" w:themeColor="text1"/>
                <w:lang w:val="en-US"/>
              </w:rPr>
              <w:t>medication prescription, sick leave, care consumption</w:t>
            </w:r>
          </w:p>
        </w:tc>
      </w:tr>
    </w:tbl>
    <w:p w14:paraId="055B5A43" w14:textId="77777777" w:rsidR="00957842" w:rsidRPr="00957842" w:rsidRDefault="00957842">
      <w:pPr>
        <w:rPr>
          <w:lang w:val="en-US"/>
        </w:rPr>
      </w:pPr>
    </w:p>
    <w:sectPr w:rsidR="00957842" w:rsidRPr="0095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42"/>
    <w:rsid w:val="00003444"/>
    <w:rsid w:val="000128D1"/>
    <w:rsid w:val="001139B5"/>
    <w:rsid w:val="002B6090"/>
    <w:rsid w:val="00605B96"/>
    <w:rsid w:val="007A227B"/>
    <w:rsid w:val="008D1648"/>
    <w:rsid w:val="00957842"/>
    <w:rsid w:val="00B20B71"/>
    <w:rsid w:val="00BB3A41"/>
    <w:rsid w:val="00D16CC7"/>
    <w:rsid w:val="00DD4341"/>
    <w:rsid w:val="00EC35F5"/>
    <w:rsid w:val="00F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D08948"/>
  <w15:chartTrackingRefBased/>
  <w15:docId w15:val="{BA46B186-589C-D645-B57E-A87A20A1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842"/>
    <w:pPr>
      <w:spacing w:after="160" w:line="259" w:lineRule="auto"/>
    </w:pPr>
    <w:rPr>
      <w:kern w:val="0"/>
      <w:sz w:val="22"/>
      <w:szCs w:val="22"/>
      <w:lang w:val="sv-S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8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6C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C7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6CC7"/>
    <w:rPr>
      <w:rFonts w:eastAsiaTheme="minorEastAsia"/>
      <w:color w:val="5A5A5A" w:themeColor="text1" w:themeTint="A5"/>
      <w:spacing w:val="15"/>
      <w:kern w:val="0"/>
      <w:sz w:val="22"/>
      <w:szCs w:val="22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nicaltrials.gov/show/NCT05335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Farnsworth von Cederwald</dc:creator>
  <cp:keywords/>
  <dc:description/>
  <cp:lastModifiedBy>Anneli Farnsworth von Cederwald</cp:lastModifiedBy>
  <cp:revision>10</cp:revision>
  <dcterms:created xsi:type="dcterms:W3CDTF">2025-03-17T14:14:00Z</dcterms:created>
  <dcterms:modified xsi:type="dcterms:W3CDTF">2025-03-17T14:26:00Z</dcterms:modified>
</cp:coreProperties>
</file>