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8490" w:type="dxa"/>
        <w:tblInd w:w="1428" w:type="dxa"/>
        <w:tblLook w:val="04A0" w:firstRow="1" w:lastRow="0" w:firstColumn="1" w:lastColumn="0" w:noHBand="0" w:noVBand="1"/>
      </w:tblPr>
      <w:tblGrid>
        <w:gridCol w:w="1402"/>
        <w:gridCol w:w="7088"/>
      </w:tblGrid>
      <w:tr w:rsidR="00FA6655" w:rsidRPr="002B6CDB" w14:paraId="4D2B5ED4" w14:textId="77777777" w:rsidTr="00D3417F">
        <w:tc>
          <w:tcPr>
            <w:tcW w:w="8490" w:type="dxa"/>
            <w:gridSpan w:val="2"/>
          </w:tcPr>
          <w:p w14:paraId="34DAE90D" w14:textId="491D9D65" w:rsidR="00FA6655" w:rsidRPr="00184E01" w:rsidRDefault="00FA6655" w:rsidP="00D3417F">
            <w:pPr>
              <w:pStyle w:val="Paragrafoelenco"/>
              <w:spacing w:line="480" w:lineRule="auto"/>
              <w:ind w:left="0"/>
              <w:rPr>
                <w:rFonts w:ascii="Times New Roman" w:hAnsi="Times New Roman" w:cs="Times New Roman"/>
                <w:b/>
                <w:bCs/>
                <w:sz w:val="21"/>
                <w:szCs w:val="21"/>
                <w:lang w:val="en-US"/>
              </w:rPr>
            </w:pPr>
            <w:r w:rsidRPr="00184E01">
              <w:rPr>
                <w:rFonts w:ascii="Times New Roman" w:hAnsi="Times New Roman" w:cs="Times New Roman"/>
                <w:b/>
                <w:bCs/>
                <w:sz w:val="21"/>
                <w:szCs w:val="21"/>
                <w:lang w:val="en-US"/>
              </w:rPr>
              <w:t xml:space="preserve">Table </w:t>
            </w:r>
            <w:r w:rsidR="00032FE3">
              <w:rPr>
                <w:rFonts w:ascii="Times New Roman" w:hAnsi="Times New Roman" w:cs="Times New Roman"/>
                <w:b/>
                <w:bCs/>
                <w:sz w:val="21"/>
                <w:szCs w:val="21"/>
                <w:lang w:val="en-US"/>
              </w:rPr>
              <w:t>5</w:t>
            </w:r>
            <w:r w:rsidRPr="00184E01">
              <w:rPr>
                <w:rFonts w:ascii="Times New Roman" w:hAnsi="Times New Roman" w:cs="Times New Roman"/>
                <w:b/>
                <w:bCs/>
                <w:sz w:val="21"/>
                <w:szCs w:val="21"/>
                <w:lang w:val="en-US"/>
              </w:rPr>
              <w:t xml:space="preserve"> Recommended anticoagulation/antithrombotic regimen</w:t>
            </w:r>
            <w:r>
              <w:rPr>
                <w:rFonts w:ascii="Times New Roman" w:hAnsi="Times New Roman" w:cs="Times New Roman"/>
                <w:b/>
                <w:bCs/>
                <w:sz w:val="21"/>
                <w:szCs w:val="21"/>
                <w:lang w:val="en-US"/>
              </w:rPr>
              <w:t xml:space="preserve"> for </w:t>
            </w:r>
            <w:proofErr w:type="spellStart"/>
            <w:r>
              <w:rPr>
                <w:rFonts w:ascii="Times New Roman" w:hAnsi="Times New Roman" w:cs="Times New Roman"/>
                <w:b/>
                <w:bCs/>
                <w:sz w:val="21"/>
                <w:szCs w:val="21"/>
                <w:lang w:val="en-US"/>
              </w:rPr>
              <w:t>SuAVI</w:t>
            </w:r>
            <w:proofErr w:type="spellEnd"/>
            <w:r>
              <w:rPr>
                <w:rFonts w:ascii="Times New Roman" w:hAnsi="Times New Roman" w:cs="Times New Roman"/>
                <w:b/>
                <w:bCs/>
                <w:sz w:val="21"/>
                <w:szCs w:val="21"/>
                <w:lang w:val="en-US"/>
              </w:rPr>
              <w:t xml:space="preserve"> and </w:t>
            </w:r>
            <w:proofErr w:type="spellStart"/>
            <w:r>
              <w:rPr>
                <w:rFonts w:ascii="Times New Roman" w:hAnsi="Times New Roman" w:cs="Times New Roman"/>
                <w:b/>
                <w:bCs/>
                <w:sz w:val="21"/>
                <w:szCs w:val="21"/>
                <w:lang w:val="en-US"/>
              </w:rPr>
              <w:t>StAVR</w:t>
            </w:r>
            <w:proofErr w:type="spellEnd"/>
          </w:p>
        </w:tc>
      </w:tr>
      <w:tr w:rsidR="00FA6655" w:rsidRPr="00184E01" w14:paraId="3E864688" w14:textId="77777777" w:rsidTr="0003715A">
        <w:tc>
          <w:tcPr>
            <w:tcW w:w="1402" w:type="dxa"/>
          </w:tcPr>
          <w:p w14:paraId="41FC80B5" w14:textId="77777777" w:rsidR="00FA6655" w:rsidRPr="00184E01" w:rsidRDefault="00FA6655" w:rsidP="00FA6655">
            <w:pPr>
              <w:pStyle w:val="Paragrafoelenco"/>
              <w:spacing w:line="480" w:lineRule="auto"/>
              <w:ind w:left="0"/>
              <w:jc w:val="both"/>
              <w:rPr>
                <w:rFonts w:ascii="Times New Roman" w:hAnsi="Times New Roman" w:cs="Times New Roman"/>
                <w:b/>
                <w:bCs/>
                <w:sz w:val="21"/>
                <w:szCs w:val="21"/>
                <w:lang w:val="en-US"/>
              </w:rPr>
            </w:pPr>
            <w:r w:rsidRPr="00184E01">
              <w:rPr>
                <w:rFonts w:ascii="Times New Roman" w:hAnsi="Times New Roman" w:cs="Times New Roman"/>
                <w:b/>
                <w:bCs/>
                <w:sz w:val="21"/>
                <w:szCs w:val="21"/>
                <w:lang w:val="en-US"/>
              </w:rPr>
              <w:t>Drive access</w:t>
            </w:r>
          </w:p>
        </w:tc>
        <w:tc>
          <w:tcPr>
            <w:tcW w:w="7088" w:type="dxa"/>
          </w:tcPr>
          <w:p w14:paraId="213D0F72" w14:textId="5AAC9E2B" w:rsidR="00FA6655" w:rsidRPr="00184E01" w:rsidRDefault="00FA6655" w:rsidP="00FA6655">
            <w:pPr>
              <w:pStyle w:val="Paragrafoelenco"/>
              <w:spacing w:line="480" w:lineRule="auto"/>
              <w:ind w:left="0"/>
              <w:jc w:val="center"/>
              <w:rPr>
                <w:rFonts w:ascii="Times New Roman" w:hAnsi="Times New Roman" w:cs="Times New Roman"/>
                <w:sz w:val="21"/>
                <w:szCs w:val="21"/>
                <w:lang w:val="en-US"/>
              </w:rPr>
            </w:pPr>
            <w:proofErr w:type="spellStart"/>
            <w:r w:rsidRPr="00184E01">
              <w:rPr>
                <w:rFonts w:ascii="Times New Roman" w:hAnsi="Times New Roman" w:cs="Times New Roman"/>
                <w:sz w:val="21"/>
                <w:szCs w:val="21"/>
              </w:rPr>
              <w:t>Sternotomy</w:t>
            </w:r>
            <w:proofErr w:type="spellEnd"/>
            <w:r w:rsidRPr="00184E01">
              <w:rPr>
                <w:rFonts w:ascii="Times New Roman" w:hAnsi="Times New Roman" w:cs="Times New Roman"/>
                <w:sz w:val="21"/>
                <w:szCs w:val="21"/>
              </w:rPr>
              <w:t xml:space="preserve"> or mini-</w:t>
            </w:r>
            <w:proofErr w:type="spellStart"/>
            <w:r w:rsidRPr="00184E01">
              <w:rPr>
                <w:rFonts w:ascii="Times New Roman" w:hAnsi="Times New Roman" w:cs="Times New Roman"/>
                <w:sz w:val="21"/>
                <w:szCs w:val="21"/>
              </w:rPr>
              <w:t>sternotomy</w:t>
            </w:r>
            <w:proofErr w:type="spellEnd"/>
          </w:p>
        </w:tc>
      </w:tr>
      <w:tr w:rsidR="00FA6655" w:rsidRPr="00184E01" w14:paraId="29BB663D" w14:textId="77777777" w:rsidTr="005548E5">
        <w:tc>
          <w:tcPr>
            <w:tcW w:w="1402" w:type="dxa"/>
          </w:tcPr>
          <w:p w14:paraId="404C9923" w14:textId="77777777" w:rsidR="00FA6655" w:rsidRPr="00184E01" w:rsidRDefault="00FA6655" w:rsidP="00FA6655">
            <w:pPr>
              <w:pStyle w:val="Paragrafoelenco"/>
              <w:spacing w:line="480" w:lineRule="auto"/>
              <w:ind w:left="0"/>
              <w:jc w:val="both"/>
              <w:rPr>
                <w:rFonts w:ascii="Times New Roman" w:hAnsi="Times New Roman" w:cs="Times New Roman"/>
                <w:b/>
                <w:bCs/>
                <w:sz w:val="21"/>
                <w:szCs w:val="21"/>
                <w:lang w:val="en-US"/>
              </w:rPr>
            </w:pPr>
            <w:r w:rsidRPr="00184E01">
              <w:rPr>
                <w:rFonts w:ascii="Times New Roman" w:hAnsi="Times New Roman" w:cs="Times New Roman"/>
                <w:b/>
                <w:bCs/>
                <w:sz w:val="21"/>
                <w:szCs w:val="21"/>
                <w:lang w:val="en-US"/>
              </w:rPr>
              <w:t>Anesthesia</w:t>
            </w:r>
          </w:p>
        </w:tc>
        <w:tc>
          <w:tcPr>
            <w:tcW w:w="7088" w:type="dxa"/>
          </w:tcPr>
          <w:p w14:paraId="4ED703D8" w14:textId="3B1872FD" w:rsidR="00FA6655" w:rsidRPr="00184E01" w:rsidRDefault="00FA6655" w:rsidP="00FA6655">
            <w:pPr>
              <w:pStyle w:val="Paragrafoelenco"/>
              <w:spacing w:line="480" w:lineRule="auto"/>
              <w:ind w:left="0"/>
              <w:jc w:val="center"/>
              <w:rPr>
                <w:rFonts w:ascii="Times New Roman" w:hAnsi="Times New Roman" w:cs="Times New Roman"/>
                <w:sz w:val="21"/>
                <w:szCs w:val="21"/>
                <w:lang w:val="en-US"/>
              </w:rPr>
            </w:pPr>
            <w:r w:rsidRPr="00184E01">
              <w:rPr>
                <w:rFonts w:ascii="Times New Roman" w:hAnsi="Times New Roman" w:cs="Times New Roman"/>
                <w:sz w:val="21"/>
                <w:szCs w:val="21"/>
              </w:rPr>
              <w:t>General</w:t>
            </w:r>
          </w:p>
        </w:tc>
      </w:tr>
      <w:tr w:rsidR="00FA6655" w:rsidRPr="00FA6655" w14:paraId="6A8EB771" w14:textId="77777777" w:rsidTr="00D3417F">
        <w:tc>
          <w:tcPr>
            <w:tcW w:w="8490" w:type="dxa"/>
            <w:gridSpan w:val="2"/>
          </w:tcPr>
          <w:p w14:paraId="154DF3CD" w14:textId="77777777" w:rsidR="00FA6655" w:rsidRPr="00FA6655" w:rsidRDefault="00FA6655" w:rsidP="00FA6655">
            <w:pPr>
              <w:pStyle w:val="Paragrafoelenco"/>
              <w:spacing w:line="480" w:lineRule="auto"/>
              <w:ind w:left="0"/>
              <w:jc w:val="center"/>
              <w:rPr>
                <w:rFonts w:ascii="Times New Roman" w:hAnsi="Times New Roman" w:cs="Times New Roman"/>
                <w:b/>
                <w:bCs/>
                <w:lang w:val="en-US"/>
              </w:rPr>
            </w:pPr>
            <w:r w:rsidRPr="00FA6655">
              <w:rPr>
                <w:rFonts w:ascii="Times New Roman" w:hAnsi="Times New Roman" w:cs="Times New Roman"/>
                <w:b/>
                <w:bCs/>
                <w:lang w:val="en-US"/>
              </w:rPr>
              <w:t>The following protocol is to be observed prior to the implantation of the valve</w:t>
            </w:r>
          </w:p>
        </w:tc>
      </w:tr>
      <w:tr w:rsidR="00FA6655" w:rsidRPr="00032FE3" w14:paraId="3666B49D" w14:textId="77777777" w:rsidTr="00584D04">
        <w:tc>
          <w:tcPr>
            <w:tcW w:w="1402" w:type="dxa"/>
          </w:tcPr>
          <w:p w14:paraId="00205E32" w14:textId="77777777" w:rsidR="00FA6655" w:rsidRPr="00184E01" w:rsidRDefault="00FA6655" w:rsidP="00FA6655">
            <w:pPr>
              <w:pStyle w:val="Paragrafoelenco"/>
              <w:spacing w:line="480" w:lineRule="auto"/>
              <w:ind w:left="0"/>
              <w:jc w:val="both"/>
              <w:rPr>
                <w:rFonts w:ascii="Times New Roman" w:hAnsi="Times New Roman" w:cs="Times New Roman"/>
                <w:b/>
                <w:bCs/>
                <w:sz w:val="21"/>
                <w:szCs w:val="21"/>
                <w:lang w:val="en-US"/>
              </w:rPr>
            </w:pPr>
          </w:p>
        </w:tc>
        <w:tc>
          <w:tcPr>
            <w:tcW w:w="7088" w:type="dxa"/>
          </w:tcPr>
          <w:p w14:paraId="0EF05E84" w14:textId="5AC23DB7" w:rsidR="00FA6655" w:rsidRPr="00184E01" w:rsidRDefault="00FA6655" w:rsidP="00FA6655">
            <w:pPr>
              <w:pStyle w:val="Paragrafoelenco"/>
              <w:ind w:left="0"/>
              <w:jc w:val="both"/>
              <w:rPr>
                <w:rFonts w:ascii="Times New Roman" w:hAnsi="Times New Roman" w:cs="Times New Roman"/>
                <w:b/>
                <w:bCs/>
                <w:sz w:val="21"/>
                <w:szCs w:val="21"/>
                <w:lang w:val="en-US"/>
              </w:rPr>
            </w:pPr>
            <w:r w:rsidRPr="00184E01">
              <w:rPr>
                <w:rFonts w:ascii="Times New Roman" w:hAnsi="Times New Roman" w:cs="Times New Roman"/>
                <w:sz w:val="21"/>
                <w:szCs w:val="21"/>
                <w:lang w:val="en-US"/>
              </w:rPr>
              <w:t>The recommended daily dosage of acetylsalicylic acid is between 81 and 100 milligrams.</w:t>
            </w:r>
          </w:p>
        </w:tc>
      </w:tr>
      <w:tr w:rsidR="00FA6655" w:rsidRPr="00032FE3" w14:paraId="0041C379" w14:textId="77777777" w:rsidTr="00AA0BB6">
        <w:tc>
          <w:tcPr>
            <w:tcW w:w="1402" w:type="dxa"/>
          </w:tcPr>
          <w:p w14:paraId="1D2BA987" w14:textId="77777777" w:rsidR="00FA6655" w:rsidRPr="00184E01" w:rsidRDefault="00FA6655" w:rsidP="00FA6655">
            <w:pPr>
              <w:pStyle w:val="Paragrafoelenco"/>
              <w:spacing w:line="480" w:lineRule="auto"/>
              <w:ind w:left="0"/>
              <w:jc w:val="both"/>
              <w:rPr>
                <w:rFonts w:ascii="Times New Roman" w:hAnsi="Times New Roman" w:cs="Times New Roman"/>
                <w:b/>
                <w:bCs/>
                <w:sz w:val="21"/>
                <w:szCs w:val="21"/>
                <w:lang w:val="en-US"/>
              </w:rPr>
            </w:pPr>
          </w:p>
        </w:tc>
        <w:tc>
          <w:tcPr>
            <w:tcW w:w="7088" w:type="dxa"/>
          </w:tcPr>
          <w:p w14:paraId="046DA1F2" w14:textId="77777777" w:rsidR="00FA6655" w:rsidRPr="00184E01" w:rsidRDefault="00FA6655" w:rsidP="00FA6655">
            <w:pPr>
              <w:pStyle w:val="Paragrafoelenco"/>
              <w:numPr>
                <w:ilvl w:val="0"/>
                <w:numId w:val="1"/>
              </w:numPr>
              <w:rPr>
                <w:rFonts w:ascii="Times New Roman" w:hAnsi="Times New Roman" w:cs="Times New Roman"/>
                <w:sz w:val="21"/>
                <w:szCs w:val="21"/>
                <w:lang w:val="en-US"/>
              </w:rPr>
            </w:pPr>
            <w:r w:rsidRPr="00184E01">
              <w:rPr>
                <w:rFonts w:ascii="Times New Roman" w:hAnsi="Times New Roman" w:cs="Times New Roman"/>
                <w:sz w:val="21"/>
                <w:szCs w:val="21"/>
                <w:lang w:val="en-US"/>
              </w:rPr>
              <w:t>BMS patients within one month or those with a DES within 12 months should continue their Clopidogrel/prasugrel therapy before their implant.</w:t>
            </w:r>
          </w:p>
          <w:p w14:paraId="7CEA7523" w14:textId="77777777" w:rsidR="00FA6655" w:rsidRPr="00184E01" w:rsidRDefault="00FA6655" w:rsidP="00FA6655">
            <w:pPr>
              <w:pStyle w:val="Paragrafoelenco"/>
              <w:numPr>
                <w:ilvl w:val="0"/>
                <w:numId w:val="1"/>
              </w:numPr>
              <w:rPr>
                <w:rFonts w:ascii="Times New Roman" w:hAnsi="Times New Roman" w:cs="Times New Roman"/>
                <w:sz w:val="21"/>
                <w:szCs w:val="21"/>
                <w:lang w:val="en-US"/>
              </w:rPr>
            </w:pPr>
            <w:r w:rsidRPr="00184E01">
              <w:rPr>
                <w:rFonts w:ascii="Times New Roman" w:hAnsi="Times New Roman" w:cs="Times New Roman"/>
                <w:sz w:val="21"/>
                <w:szCs w:val="21"/>
                <w:lang w:val="en-US"/>
              </w:rPr>
              <w:t>Patients with AF prescribed warfarin should undergo bridging with LMWH or UFH before an implant.</w:t>
            </w:r>
          </w:p>
          <w:p w14:paraId="1B33E64C" w14:textId="77777777" w:rsidR="00FA6655" w:rsidRPr="00184E01" w:rsidRDefault="00FA6655" w:rsidP="00FA6655">
            <w:pPr>
              <w:pStyle w:val="Paragrafoelenco"/>
              <w:numPr>
                <w:ilvl w:val="0"/>
                <w:numId w:val="1"/>
              </w:numPr>
              <w:rPr>
                <w:rFonts w:ascii="Times New Roman" w:hAnsi="Times New Roman" w:cs="Times New Roman"/>
                <w:sz w:val="21"/>
                <w:szCs w:val="21"/>
                <w:lang w:val="en-US"/>
              </w:rPr>
            </w:pPr>
            <w:r w:rsidRPr="00184E01">
              <w:rPr>
                <w:rFonts w:ascii="Times New Roman" w:hAnsi="Times New Roman" w:cs="Times New Roman"/>
                <w:sz w:val="21"/>
                <w:szCs w:val="21"/>
                <w:lang w:val="en-US"/>
              </w:rPr>
              <w:t>TEE is not mandatory for patients with atrial fibrillation before an implant. If TEE during AVR reveals a clot, the procedure will be aborted and delayed until the patient has been on warfarin or dabigatran for at least 30 days. For surgical patients with LA clot as revealed by TEE, the implant procedure may proceed as standard.</w:t>
            </w:r>
          </w:p>
          <w:p w14:paraId="0B0D1CE0" w14:textId="499CB0B5" w:rsidR="00FA6655" w:rsidRDefault="00FA6655" w:rsidP="00FA6655">
            <w:pPr>
              <w:pStyle w:val="Paragrafoelenco"/>
              <w:rPr>
                <w:rFonts w:ascii="Times New Roman" w:hAnsi="Times New Roman" w:cs="Times New Roman"/>
                <w:sz w:val="21"/>
                <w:szCs w:val="21"/>
                <w:lang w:val="en-US"/>
              </w:rPr>
            </w:pPr>
          </w:p>
          <w:p w14:paraId="469FEC87" w14:textId="77777777" w:rsidR="00FA6655" w:rsidRPr="00184E01" w:rsidRDefault="00FA6655" w:rsidP="00FA6655">
            <w:pPr>
              <w:pStyle w:val="Paragrafoelenco"/>
              <w:rPr>
                <w:rFonts w:ascii="Times New Roman" w:hAnsi="Times New Roman" w:cs="Times New Roman"/>
                <w:b/>
                <w:bCs/>
                <w:sz w:val="21"/>
                <w:szCs w:val="21"/>
                <w:lang w:val="en-US"/>
              </w:rPr>
            </w:pPr>
          </w:p>
        </w:tc>
      </w:tr>
      <w:tr w:rsidR="00FA6655" w:rsidRPr="00FA6655" w14:paraId="481A5DE4" w14:textId="77777777" w:rsidTr="00D3417F">
        <w:tc>
          <w:tcPr>
            <w:tcW w:w="8490" w:type="dxa"/>
            <w:gridSpan w:val="2"/>
          </w:tcPr>
          <w:p w14:paraId="75F4B6EB" w14:textId="77777777" w:rsidR="00FA6655" w:rsidRPr="00FA6655" w:rsidRDefault="00FA6655" w:rsidP="00FA6655">
            <w:pPr>
              <w:pStyle w:val="Paragrafoelenco"/>
              <w:spacing w:line="480" w:lineRule="auto"/>
              <w:ind w:left="0"/>
              <w:jc w:val="center"/>
              <w:rPr>
                <w:rFonts w:ascii="Times New Roman" w:hAnsi="Times New Roman" w:cs="Times New Roman"/>
                <w:b/>
                <w:bCs/>
                <w:lang w:val="en-US"/>
              </w:rPr>
            </w:pPr>
            <w:r w:rsidRPr="00FA6655">
              <w:rPr>
                <w:rFonts w:ascii="Times New Roman" w:hAnsi="Times New Roman" w:cs="Times New Roman"/>
                <w:b/>
                <w:bCs/>
                <w:lang w:val="en-US"/>
              </w:rPr>
              <w:t>The following protocol is to be observed intraprocedural.</w:t>
            </w:r>
          </w:p>
        </w:tc>
      </w:tr>
      <w:tr w:rsidR="00FA6655" w:rsidRPr="00032FE3" w14:paraId="331BD9AD" w14:textId="77777777" w:rsidTr="00D25B51">
        <w:tc>
          <w:tcPr>
            <w:tcW w:w="1402" w:type="dxa"/>
          </w:tcPr>
          <w:p w14:paraId="3690DA1B" w14:textId="77777777" w:rsidR="00FA6655" w:rsidRPr="00184E01" w:rsidRDefault="00FA6655" w:rsidP="00FA6655">
            <w:pPr>
              <w:pStyle w:val="Paragrafoelenco"/>
              <w:spacing w:line="480" w:lineRule="auto"/>
              <w:ind w:left="0"/>
              <w:jc w:val="center"/>
              <w:rPr>
                <w:rFonts w:ascii="Times New Roman" w:hAnsi="Times New Roman" w:cs="Times New Roman"/>
                <w:b/>
                <w:bCs/>
                <w:sz w:val="21"/>
                <w:szCs w:val="21"/>
                <w:lang w:val="en-US"/>
              </w:rPr>
            </w:pPr>
          </w:p>
        </w:tc>
        <w:tc>
          <w:tcPr>
            <w:tcW w:w="7088" w:type="dxa"/>
          </w:tcPr>
          <w:p w14:paraId="609AF0FC" w14:textId="04620D35" w:rsidR="00FA6655" w:rsidRPr="00184E01" w:rsidRDefault="00FA6655" w:rsidP="00FA6655">
            <w:pPr>
              <w:pStyle w:val="Paragrafoelenco"/>
              <w:ind w:left="0"/>
              <w:rPr>
                <w:rFonts w:ascii="Times New Roman" w:hAnsi="Times New Roman" w:cs="Times New Roman"/>
                <w:b/>
                <w:bCs/>
                <w:sz w:val="21"/>
                <w:szCs w:val="21"/>
                <w:lang w:val="en-US"/>
              </w:rPr>
            </w:pPr>
            <w:r w:rsidRPr="00184E01">
              <w:rPr>
                <w:rFonts w:ascii="Times New Roman" w:hAnsi="Times New Roman" w:cs="Times New Roman"/>
                <w:sz w:val="21"/>
                <w:szCs w:val="21"/>
                <w:lang w:val="en-US"/>
              </w:rPr>
              <w:t>Heparin will be given to achieve or maintain an ACT greater than 250 seconds.</w:t>
            </w:r>
          </w:p>
        </w:tc>
      </w:tr>
      <w:tr w:rsidR="00FA6655" w:rsidRPr="00FA6655" w14:paraId="0BAC8674" w14:textId="77777777" w:rsidTr="00D3417F">
        <w:tc>
          <w:tcPr>
            <w:tcW w:w="8490" w:type="dxa"/>
            <w:gridSpan w:val="2"/>
          </w:tcPr>
          <w:p w14:paraId="05F463FD" w14:textId="77777777" w:rsidR="00FA6655" w:rsidRPr="00FA6655" w:rsidRDefault="00FA6655" w:rsidP="00FA6655">
            <w:pPr>
              <w:pStyle w:val="Paragrafoelenco"/>
              <w:spacing w:line="480" w:lineRule="auto"/>
              <w:ind w:left="0"/>
              <w:jc w:val="center"/>
              <w:rPr>
                <w:rFonts w:ascii="Times New Roman" w:hAnsi="Times New Roman" w:cs="Times New Roman"/>
                <w:b/>
                <w:bCs/>
                <w:lang w:val="en-US"/>
              </w:rPr>
            </w:pPr>
            <w:r w:rsidRPr="00FA6655">
              <w:rPr>
                <w:rFonts w:ascii="Times New Roman" w:hAnsi="Times New Roman" w:cs="Times New Roman"/>
                <w:b/>
                <w:bCs/>
                <w:lang w:val="en-US"/>
              </w:rPr>
              <w:t>The following protocol is to be observed post valve implant procedure</w:t>
            </w:r>
          </w:p>
        </w:tc>
      </w:tr>
      <w:tr w:rsidR="00FA6655" w:rsidRPr="00032FE3" w14:paraId="27712DC2" w14:textId="77777777" w:rsidTr="005713E5">
        <w:tc>
          <w:tcPr>
            <w:tcW w:w="1402" w:type="dxa"/>
          </w:tcPr>
          <w:p w14:paraId="74AEC3B0"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Category I </w:t>
            </w:r>
          </w:p>
          <w:p w14:paraId="6F9635F0"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for Stroke </w:t>
            </w:r>
          </w:p>
          <w:p w14:paraId="70A033E4"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Risk </w:t>
            </w:r>
          </w:p>
          <w:p w14:paraId="4CF3ADD6"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lang w:val="en-US"/>
              </w:rPr>
            </w:pPr>
            <w:r w:rsidRPr="00184E01">
              <w:rPr>
                <w:rFonts w:ascii="Times New Roman" w:hAnsi="Times New Roman" w:cs="Times New Roman"/>
                <w:kern w:val="0"/>
                <w:sz w:val="21"/>
                <w:szCs w:val="21"/>
                <w:lang w:val="en-US"/>
              </w:rPr>
              <w:t>No atrial</w:t>
            </w:r>
          </w:p>
          <w:p w14:paraId="3B60B5E5"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proofErr w:type="spellStart"/>
            <w:r w:rsidRPr="00184E01">
              <w:rPr>
                <w:rFonts w:ascii="Times New Roman" w:hAnsi="Times New Roman" w:cs="Times New Roman"/>
                <w:kern w:val="0"/>
                <w:sz w:val="21"/>
                <w:szCs w:val="21"/>
              </w:rPr>
              <w:t>fibrillation</w:t>
            </w:r>
            <w:proofErr w:type="spellEnd"/>
            <w:r w:rsidRPr="00184E01">
              <w:rPr>
                <w:rFonts w:ascii="Times New Roman" w:hAnsi="Times New Roman" w:cs="Times New Roman"/>
                <w:kern w:val="0"/>
                <w:sz w:val="21"/>
                <w:szCs w:val="21"/>
              </w:rPr>
              <w:t>,</w:t>
            </w:r>
          </w:p>
          <w:p w14:paraId="082EF327"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r w:rsidRPr="00184E01">
              <w:rPr>
                <w:rFonts w:ascii="Times New Roman" w:hAnsi="Times New Roman" w:cs="Times New Roman"/>
                <w:kern w:val="0"/>
                <w:sz w:val="21"/>
                <w:szCs w:val="21"/>
              </w:rPr>
              <w:t xml:space="preserve">No </w:t>
            </w:r>
            <w:proofErr w:type="spellStart"/>
            <w:r w:rsidRPr="00184E01">
              <w:rPr>
                <w:rFonts w:ascii="Times New Roman" w:hAnsi="Times New Roman" w:cs="Times New Roman"/>
                <w:kern w:val="0"/>
                <w:sz w:val="21"/>
                <w:szCs w:val="21"/>
              </w:rPr>
              <w:t>recent</w:t>
            </w:r>
            <w:proofErr w:type="spellEnd"/>
          </w:p>
          <w:p w14:paraId="0C32D44C" w14:textId="77777777" w:rsidR="00FA6655" w:rsidRPr="00184E01" w:rsidRDefault="00FA6655" w:rsidP="00FA6655">
            <w:pPr>
              <w:pStyle w:val="Paragrafoelenco"/>
              <w:ind w:left="0"/>
              <w:jc w:val="center"/>
              <w:rPr>
                <w:rFonts w:ascii="Times New Roman" w:hAnsi="Times New Roman" w:cs="Times New Roman"/>
                <w:b/>
                <w:bCs/>
                <w:sz w:val="21"/>
                <w:szCs w:val="21"/>
                <w:lang w:val="en-US"/>
              </w:rPr>
            </w:pPr>
            <w:proofErr w:type="spellStart"/>
            <w:r w:rsidRPr="00184E01">
              <w:rPr>
                <w:rFonts w:ascii="Times New Roman" w:hAnsi="Times New Roman" w:cs="Times New Roman"/>
                <w:kern w:val="0"/>
                <w:sz w:val="21"/>
                <w:szCs w:val="21"/>
              </w:rPr>
              <w:t>stents</w:t>
            </w:r>
            <w:proofErr w:type="spellEnd"/>
          </w:p>
        </w:tc>
        <w:tc>
          <w:tcPr>
            <w:tcW w:w="7088" w:type="dxa"/>
          </w:tcPr>
          <w:p w14:paraId="6AA95CBB" w14:textId="77777777" w:rsidR="00FA6655" w:rsidRPr="00184E01" w:rsidRDefault="00FA6655" w:rsidP="00FA6655">
            <w:pPr>
              <w:pStyle w:val="Paragrafoelenco"/>
              <w:numPr>
                <w:ilvl w:val="0"/>
                <w:numId w:val="2"/>
              </w:numPr>
              <w:rPr>
                <w:rFonts w:ascii="Times New Roman" w:hAnsi="Times New Roman" w:cs="Times New Roman"/>
                <w:sz w:val="21"/>
                <w:szCs w:val="21"/>
              </w:rPr>
            </w:pPr>
            <w:r w:rsidRPr="00184E01">
              <w:rPr>
                <w:rFonts w:ascii="Times New Roman" w:hAnsi="Times New Roman" w:cs="Times New Roman"/>
                <w:sz w:val="21"/>
                <w:szCs w:val="21"/>
              </w:rPr>
              <w:t xml:space="preserve">ASA 81mg </w:t>
            </w:r>
            <w:proofErr w:type="spellStart"/>
            <w:r w:rsidRPr="00184E01">
              <w:rPr>
                <w:rFonts w:ascii="Times New Roman" w:hAnsi="Times New Roman" w:cs="Times New Roman"/>
                <w:sz w:val="21"/>
                <w:szCs w:val="21"/>
              </w:rPr>
              <w:t>qd</w:t>
            </w:r>
            <w:proofErr w:type="spellEnd"/>
          </w:p>
          <w:p w14:paraId="4509E3B3" w14:textId="7E576552" w:rsidR="00FA6655" w:rsidRPr="00184E01" w:rsidRDefault="00FA6655" w:rsidP="00FA6655">
            <w:pPr>
              <w:pStyle w:val="Paragrafoelenco"/>
              <w:rPr>
                <w:rFonts w:ascii="Times New Roman" w:hAnsi="Times New Roman" w:cs="Times New Roman"/>
                <w:sz w:val="21"/>
                <w:szCs w:val="21"/>
                <w:lang w:val="en-US"/>
              </w:rPr>
            </w:pPr>
            <w:r w:rsidRPr="00184E01">
              <w:rPr>
                <w:rFonts w:ascii="Times New Roman" w:hAnsi="Times New Roman" w:cs="Times New Roman"/>
                <w:sz w:val="21"/>
                <w:szCs w:val="21"/>
                <w:lang w:val="en-US"/>
              </w:rPr>
              <w:t xml:space="preserve">Clopidogrel 75 mg was initiated within 24 hours of surgery for one month, contingent on its clinical safety and the surgical team's discretion. Clopidogrel is contraindicated in </w:t>
            </w:r>
            <w:proofErr w:type="spellStart"/>
            <w:r w:rsidRPr="00184E01">
              <w:rPr>
                <w:rFonts w:ascii="Times New Roman" w:hAnsi="Times New Roman" w:cs="Times New Roman"/>
                <w:sz w:val="21"/>
                <w:szCs w:val="21"/>
                <w:lang w:val="en-US"/>
              </w:rPr>
              <w:t>centres</w:t>
            </w:r>
            <w:proofErr w:type="spellEnd"/>
            <w:r w:rsidRPr="00184E01">
              <w:rPr>
                <w:rFonts w:ascii="Times New Roman" w:hAnsi="Times New Roman" w:cs="Times New Roman"/>
                <w:sz w:val="21"/>
                <w:szCs w:val="21"/>
                <w:lang w:val="en-US"/>
              </w:rPr>
              <w:t xml:space="preserve"> using warfarin post-surgical AVR anti-coagulation .</w:t>
            </w:r>
          </w:p>
        </w:tc>
      </w:tr>
      <w:tr w:rsidR="00FA6655" w:rsidRPr="00032FE3" w14:paraId="2EF6127C" w14:textId="77777777" w:rsidTr="005D1830">
        <w:tc>
          <w:tcPr>
            <w:tcW w:w="1402" w:type="dxa"/>
          </w:tcPr>
          <w:p w14:paraId="3BF53C40"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Category II </w:t>
            </w:r>
          </w:p>
          <w:p w14:paraId="4A1535BF"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for Stroke </w:t>
            </w:r>
          </w:p>
          <w:p w14:paraId="2ABBB9B4"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Risk </w:t>
            </w:r>
          </w:p>
          <w:p w14:paraId="7ECFF5A5"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lang w:val="en-US"/>
              </w:rPr>
            </w:pPr>
            <w:r w:rsidRPr="00184E01">
              <w:rPr>
                <w:rFonts w:ascii="Times New Roman" w:hAnsi="Times New Roman" w:cs="Times New Roman"/>
                <w:kern w:val="0"/>
                <w:sz w:val="21"/>
                <w:szCs w:val="21"/>
                <w:lang w:val="en-US"/>
              </w:rPr>
              <w:t>No atrial</w:t>
            </w:r>
          </w:p>
          <w:p w14:paraId="0B0FB12F"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proofErr w:type="spellStart"/>
            <w:r w:rsidRPr="00184E01">
              <w:rPr>
                <w:rFonts w:ascii="Times New Roman" w:hAnsi="Times New Roman" w:cs="Times New Roman"/>
                <w:kern w:val="0"/>
                <w:sz w:val="21"/>
                <w:szCs w:val="21"/>
              </w:rPr>
              <w:t>fibrillation</w:t>
            </w:r>
            <w:proofErr w:type="spellEnd"/>
            <w:r w:rsidRPr="00184E01">
              <w:rPr>
                <w:rFonts w:ascii="Times New Roman" w:hAnsi="Times New Roman" w:cs="Times New Roman"/>
                <w:kern w:val="0"/>
                <w:sz w:val="21"/>
                <w:szCs w:val="21"/>
              </w:rPr>
              <w:t>,</w:t>
            </w:r>
          </w:p>
          <w:p w14:paraId="740CFD50"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proofErr w:type="spellStart"/>
            <w:r w:rsidRPr="00184E01">
              <w:rPr>
                <w:rFonts w:ascii="Times New Roman" w:hAnsi="Times New Roman" w:cs="Times New Roman"/>
                <w:kern w:val="0"/>
                <w:sz w:val="21"/>
                <w:szCs w:val="21"/>
              </w:rPr>
              <w:t>recent</w:t>
            </w:r>
            <w:proofErr w:type="spellEnd"/>
          </w:p>
          <w:p w14:paraId="315ECA78" w14:textId="77777777" w:rsidR="00FA6655" w:rsidRPr="00184E01" w:rsidRDefault="00FA6655" w:rsidP="00FA6655">
            <w:pPr>
              <w:pStyle w:val="Paragrafoelenco"/>
              <w:spacing w:line="480" w:lineRule="auto"/>
              <w:ind w:left="0"/>
              <w:jc w:val="center"/>
              <w:rPr>
                <w:rFonts w:ascii="Times New Roman" w:hAnsi="Times New Roman" w:cs="Times New Roman"/>
                <w:b/>
                <w:bCs/>
                <w:sz w:val="21"/>
                <w:szCs w:val="21"/>
                <w:lang w:val="en-US"/>
              </w:rPr>
            </w:pPr>
            <w:proofErr w:type="spellStart"/>
            <w:r w:rsidRPr="00184E01">
              <w:rPr>
                <w:rFonts w:ascii="Times New Roman" w:hAnsi="Times New Roman" w:cs="Times New Roman"/>
                <w:kern w:val="0"/>
                <w:sz w:val="21"/>
                <w:szCs w:val="21"/>
              </w:rPr>
              <w:t>stents</w:t>
            </w:r>
            <w:proofErr w:type="spellEnd"/>
          </w:p>
        </w:tc>
        <w:tc>
          <w:tcPr>
            <w:tcW w:w="7088" w:type="dxa"/>
          </w:tcPr>
          <w:p w14:paraId="12596AD4"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rPr>
              <w:t xml:space="preserve">ASA 81mg </w:t>
            </w:r>
            <w:proofErr w:type="spellStart"/>
            <w:r w:rsidRPr="00184E01">
              <w:rPr>
                <w:rFonts w:ascii="Times New Roman" w:hAnsi="Times New Roman" w:cs="Times New Roman"/>
                <w:sz w:val="21"/>
                <w:szCs w:val="21"/>
              </w:rPr>
              <w:t>qd</w:t>
            </w:r>
            <w:proofErr w:type="spellEnd"/>
          </w:p>
          <w:p w14:paraId="0B63EFB5"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lang w:val="en-US"/>
              </w:rPr>
              <w:t>Discontinue clopidogrel before surgery in cases of BMS within one month or DES within 12 months.</w:t>
            </w:r>
          </w:p>
          <w:p w14:paraId="13EF9812"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lang w:val="en-US"/>
              </w:rPr>
              <w:t>Clopidogrel 75 mg was given 24 hours after surgery if appropriate, for at least one month after SAVR in patients with BMS and 12 months in those with DES.</w:t>
            </w:r>
          </w:p>
          <w:p w14:paraId="715CC2B6" w14:textId="77777777" w:rsidR="00FA6655" w:rsidRPr="00184E01" w:rsidRDefault="00FA6655" w:rsidP="00FA6655">
            <w:pPr>
              <w:pStyle w:val="Paragrafoelenco"/>
              <w:rPr>
                <w:rFonts w:ascii="Times New Roman" w:hAnsi="Times New Roman" w:cs="Times New Roman"/>
                <w:sz w:val="21"/>
                <w:szCs w:val="21"/>
                <w:lang w:val="en-US"/>
              </w:rPr>
            </w:pPr>
          </w:p>
          <w:p w14:paraId="0EA6C591" w14:textId="77777777" w:rsidR="00FA6655" w:rsidRPr="00184E01" w:rsidRDefault="00FA6655" w:rsidP="00FA6655">
            <w:pPr>
              <w:pStyle w:val="Paragrafoelenco"/>
              <w:spacing w:line="480" w:lineRule="auto"/>
              <w:ind w:left="0"/>
              <w:jc w:val="center"/>
              <w:rPr>
                <w:rFonts w:ascii="Times New Roman" w:hAnsi="Times New Roman" w:cs="Times New Roman"/>
                <w:b/>
                <w:bCs/>
                <w:sz w:val="21"/>
                <w:szCs w:val="21"/>
                <w:lang w:val="en-US"/>
              </w:rPr>
            </w:pPr>
          </w:p>
        </w:tc>
      </w:tr>
      <w:tr w:rsidR="00FA6655" w:rsidRPr="00032FE3" w14:paraId="0AFB4BB8" w14:textId="77777777" w:rsidTr="00FD53E6">
        <w:tc>
          <w:tcPr>
            <w:tcW w:w="1402" w:type="dxa"/>
          </w:tcPr>
          <w:p w14:paraId="312FEB7A"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Category III </w:t>
            </w:r>
          </w:p>
          <w:p w14:paraId="1669654A"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for Stroke </w:t>
            </w:r>
          </w:p>
          <w:p w14:paraId="645F83AC"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kern w:val="0"/>
                <w:sz w:val="21"/>
                <w:szCs w:val="21"/>
                <w:lang w:val="en-US"/>
              </w:rPr>
            </w:pPr>
            <w:r w:rsidRPr="00184E01">
              <w:rPr>
                <w:rFonts w:ascii="Times New Roman" w:hAnsi="Times New Roman" w:cs="Times New Roman"/>
                <w:b/>
                <w:bCs/>
                <w:kern w:val="0"/>
                <w:sz w:val="21"/>
                <w:szCs w:val="21"/>
                <w:lang w:val="en-US"/>
              </w:rPr>
              <w:t xml:space="preserve">Risk </w:t>
            </w:r>
          </w:p>
          <w:p w14:paraId="3F4B5BBD"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lang w:val="en-US"/>
              </w:rPr>
            </w:pPr>
            <w:r w:rsidRPr="00184E01">
              <w:rPr>
                <w:rFonts w:ascii="Times New Roman" w:hAnsi="Times New Roman" w:cs="Times New Roman"/>
                <w:kern w:val="0"/>
                <w:sz w:val="21"/>
                <w:szCs w:val="21"/>
                <w:lang w:val="en-US"/>
              </w:rPr>
              <w:t xml:space="preserve"> Atrial</w:t>
            </w:r>
          </w:p>
          <w:p w14:paraId="490B3DF9"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proofErr w:type="spellStart"/>
            <w:r w:rsidRPr="00184E01">
              <w:rPr>
                <w:rFonts w:ascii="Times New Roman" w:hAnsi="Times New Roman" w:cs="Times New Roman"/>
                <w:kern w:val="0"/>
                <w:sz w:val="21"/>
                <w:szCs w:val="21"/>
              </w:rPr>
              <w:t>fibrillation</w:t>
            </w:r>
            <w:proofErr w:type="spellEnd"/>
            <w:r w:rsidRPr="00184E01">
              <w:rPr>
                <w:rFonts w:ascii="Times New Roman" w:hAnsi="Times New Roman" w:cs="Times New Roman"/>
                <w:kern w:val="0"/>
                <w:sz w:val="21"/>
                <w:szCs w:val="21"/>
              </w:rPr>
              <w:t>,</w:t>
            </w:r>
          </w:p>
          <w:p w14:paraId="4F554AE7" w14:textId="77777777" w:rsidR="00FA6655" w:rsidRPr="00184E01" w:rsidRDefault="00FA6655" w:rsidP="00FA66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0"/>
                <w:sz w:val="21"/>
                <w:szCs w:val="21"/>
              </w:rPr>
            </w:pPr>
            <w:r w:rsidRPr="00184E01">
              <w:rPr>
                <w:rFonts w:ascii="Times New Roman" w:hAnsi="Times New Roman" w:cs="Times New Roman"/>
                <w:kern w:val="0"/>
                <w:sz w:val="21"/>
                <w:szCs w:val="21"/>
              </w:rPr>
              <w:t xml:space="preserve">No </w:t>
            </w:r>
            <w:proofErr w:type="spellStart"/>
            <w:r w:rsidRPr="00184E01">
              <w:rPr>
                <w:rFonts w:ascii="Times New Roman" w:hAnsi="Times New Roman" w:cs="Times New Roman"/>
                <w:kern w:val="0"/>
                <w:sz w:val="21"/>
                <w:szCs w:val="21"/>
              </w:rPr>
              <w:t>recent</w:t>
            </w:r>
            <w:proofErr w:type="spellEnd"/>
          </w:p>
          <w:p w14:paraId="16276AC5" w14:textId="77777777" w:rsidR="00FA6655" w:rsidRPr="00184E01" w:rsidRDefault="00FA6655" w:rsidP="00FA6655">
            <w:pPr>
              <w:pStyle w:val="Paragrafoelenco"/>
              <w:spacing w:line="480" w:lineRule="auto"/>
              <w:ind w:left="0"/>
              <w:jc w:val="center"/>
              <w:rPr>
                <w:rFonts w:ascii="Times New Roman" w:hAnsi="Times New Roman" w:cs="Times New Roman"/>
                <w:b/>
                <w:bCs/>
                <w:sz w:val="21"/>
                <w:szCs w:val="21"/>
                <w:lang w:val="en-US"/>
              </w:rPr>
            </w:pPr>
            <w:proofErr w:type="spellStart"/>
            <w:r w:rsidRPr="00184E01">
              <w:rPr>
                <w:rFonts w:ascii="Times New Roman" w:hAnsi="Times New Roman" w:cs="Times New Roman"/>
                <w:kern w:val="0"/>
                <w:sz w:val="21"/>
                <w:szCs w:val="21"/>
              </w:rPr>
              <w:t>stents</w:t>
            </w:r>
            <w:proofErr w:type="spellEnd"/>
          </w:p>
        </w:tc>
        <w:tc>
          <w:tcPr>
            <w:tcW w:w="7088" w:type="dxa"/>
          </w:tcPr>
          <w:p w14:paraId="579F56D0"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rPr>
              <w:t xml:space="preserve">ASA 81mg </w:t>
            </w:r>
            <w:proofErr w:type="spellStart"/>
            <w:r w:rsidRPr="00184E01">
              <w:rPr>
                <w:rFonts w:ascii="Times New Roman" w:hAnsi="Times New Roman" w:cs="Times New Roman"/>
                <w:sz w:val="21"/>
                <w:szCs w:val="21"/>
              </w:rPr>
              <w:t>qd</w:t>
            </w:r>
            <w:proofErr w:type="spellEnd"/>
          </w:p>
          <w:p w14:paraId="16D25AC8"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lang w:val="en-US"/>
              </w:rPr>
              <w:t xml:space="preserve">If appropriate, patients should be initiated on warfarin or dabigatran 24 hours after PCI, continuing for a minimum of one month or until their condition </w:t>
            </w:r>
            <w:proofErr w:type="spellStart"/>
            <w:r w:rsidRPr="00184E01">
              <w:rPr>
                <w:rFonts w:ascii="Times New Roman" w:hAnsi="Times New Roman" w:cs="Times New Roman"/>
                <w:sz w:val="21"/>
                <w:szCs w:val="21"/>
                <w:lang w:val="en-US"/>
              </w:rPr>
              <w:t>stabilises</w:t>
            </w:r>
            <w:proofErr w:type="spellEnd"/>
            <w:r w:rsidRPr="00184E01">
              <w:rPr>
                <w:rFonts w:ascii="Times New Roman" w:hAnsi="Times New Roman" w:cs="Times New Roman"/>
                <w:sz w:val="21"/>
                <w:szCs w:val="21"/>
                <w:lang w:val="en-US"/>
              </w:rPr>
              <w:t>. If the patient's condition permits, warfarin therapy should be preceded by a bridging phase of unfractionated or LMWH until the INR reaches a therapeutic level.</w:t>
            </w:r>
          </w:p>
          <w:p w14:paraId="1EF16FBE" w14:textId="77777777" w:rsidR="00FA6655" w:rsidRPr="00184E01" w:rsidRDefault="00FA6655" w:rsidP="00FA6655">
            <w:pPr>
              <w:pStyle w:val="Paragrafoelenco"/>
              <w:numPr>
                <w:ilvl w:val="0"/>
                <w:numId w:val="3"/>
              </w:numPr>
              <w:rPr>
                <w:rFonts w:ascii="Times New Roman" w:hAnsi="Times New Roman" w:cs="Times New Roman"/>
                <w:sz w:val="21"/>
                <w:szCs w:val="21"/>
                <w:lang w:val="en-US"/>
              </w:rPr>
            </w:pPr>
            <w:r w:rsidRPr="00184E01">
              <w:rPr>
                <w:rFonts w:ascii="Times New Roman" w:hAnsi="Times New Roman" w:cs="Times New Roman"/>
                <w:sz w:val="21"/>
                <w:szCs w:val="21"/>
                <w:lang w:val="en-US"/>
              </w:rPr>
              <w:t>If patients are deemed unsuitable for warfarin or dabigatran, an alternative is Clopidogrel 75 mg once-daily (in addition to ASA 81 mg).</w:t>
            </w:r>
          </w:p>
          <w:p w14:paraId="2F5891A2" w14:textId="77777777" w:rsidR="00FA6655" w:rsidRPr="00184E01" w:rsidRDefault="00FA6655" w:rsidP="00FA6655">
            <w:pPr>
              <w:pStyle w:val="Paragrafoelenco"/>
              <w:rPr>
                <w:rFonts w:ascii="Times New Roman" w:hAnsi="Times New Roman" w:cs="Times New Roman"/>
                <w:sz w:val="21"/>
                <w:szCs w:val="21"/>
                <w:lang w:val="en-US"/>
              </w:rPr>
            </w:pPr>
          </w:p>
          <w:p w14:paraId="40FED341" w14:textId="77777777" w:rsidR="00FA6655" w:rsidRPr="00184E01" w:rsidRDefault="00FA6655" w:rsidP="00FA6655">
            <w:pPr>
              <w:pStyle w:val="Paragrafoelenco"/>
              <w:rPr>
                <w:rFonts w:ascii="Times New Roman" w:hAnsi="Times New Roman" w:cs="Times New Roman"/>
                <w:b/>
                <w:bCs/>
                <w:sz w:val="21"/>
                <w:szCs w:val="21"/>
                <w:lang w:val="en-US"/>
              </w:rPr>
            </w:pPr>
          </w:p>
        </w:tc>
      </w:tr>
    </w:tbl>
    <w:p w14:paraId="3820180B" w14:textId="77777777" w:rsidR="002B6CDB" w:rsidRPr="00184E01" w:rsidRDefault="002B6CDB" w:rsidP="002B6CDB">
      <w:pPr>
        <w:pStyle w:val="Paragrafoelenco"/>
        <w:spacing w:line="276" w:lineRule="auto"/>
        <w:ind w:left="1428"/>
        <w:jc w:val="both"/>
        <w:rPr>
          <w:rFonts w:ascii="Times New Roman" w:hAnsi="Times New Roman" w:cs="Times New Roman"/>
          <w:sz w:val="21"/>
          <w:szCs w:val="21"/>
          <w:lang w:val="en-US"/>
        </w:rPr>
      </w:pPr>
      <w:r w:rsidRPr="00184E01">
        <w:rPr>
          <w:rFonts w:ascii="Times New Roman" w:hAnsi="Times New Roman" w:cs="Times New Roman"/>
          <w:sz w:val="21"/>
          <w:szCs w:val="21"/>
          <w:lang w:val="en-US"/>
        </w:rPr>
        <w:t xml:space="preserve">Abbreviations; AF, atrial fibrillation; ASA, aspirin; BMS, bar metal stent; DES, drug-eluting stent; INR, International </w:t>
      </w:r>
      <w:proofErr w:type="spellStart"/>
      <w:r w:rsidRPr="00184E01">
        <w:rPr>
          <w:rFonts w:ascii="Times New Roman" w:hAnsi="Times New Roman" w:cs="Times New Roman"/>
          <w:sz w:val="21"/>
          <w:szCs w:val="21"/>
          <w:lang w:val="en-US"/>
        </w:rPr>
        <w:t>Normalised</w:t>
      </w:r>
      <w:proofErr w:type="spellEnd"/>
      <w:r w:rsidRPr="00184E01">
        <w:rPr>
          <w:rFonts w:ascii="Times New Roman" w:hAnsi="Times New Roman" w:cs="Times New Roman"/>
          <w:sz w:val="21"/>
          <w:szCs w:val="21"/>
          <w:lang w:val="en-US"/>
        </w:rPr>
        <w:t xml:space="preserve"> Ratio; LA, left atrium; LMWH, low-molecular weight heparin; UFN, unfractionated heparin; other abbreviations in the text</w:t>
      </w:r>
    </w:p>
    <w:p w14:paraId="4652876E" w14:textId="77777777" w:rsidR="00FA6655" w:rsidRPr="00FA6655" w:rsidRDefault="00FA6655">
      <w:pPr>
        <w:rPr>
          <w:lang w:val="en-US"/>
        </w:rPr>
      </w:pPr>
    </w:p>
    <w:sectPr w:rsidR="00FA6655" w:rsidRPr="00FA66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0773"/>
    <w:multiLevelType w:val="hybridMultilevel"/>
    <w:tmpl w:val="D206C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7D621F"/>
    <w:multiLevelType w:val="hybridMultilevel"/>
    <w:tmpl w:val="18721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5F5FEA"/>
    <w:multiLevelType w:val="hybridMultilevel"/>
    <w:tmpl w:val="D79C0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7743791">
    <w:abstractNumId w:val="1"/>
  </w:num>
  <w:num w:numId="2" w16cid:durableId="57292467">
    <w:abstractNumId w:val="0"/>
  </w:num>
  <w:num w:numId="3" w16cid:durableId="5289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5"/>
    <w:rsid w:val="00032FE3"/>
    <w:rsid w:val="002B6CDB"/>
    <w:rsid w:val="00B7168A"/>
    <w:rsid w:val="00BD1216"/>
    <w:rsid w:val="00FA6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48697C3"/>
  <w15:chartTrackingRefBased/>
  <w15:docId w15:val="{66EE8FAE-F86D-A945-BCB6-0342072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6655"/>
  </w:style>
  <w:style w:type="paragraph" w:styleId="Titolo1">
    <w:name w:val="heading 1"/>
    <w:basedOn w:val="Normale"/>
    <w:next w:val="Normale"/>
    <w:link w:val="Titolo1Carattere"/>
    <w:uiPriority w:val="9"/>
    <w:qFormat/>
    <w:rsid w:val="00FA6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6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665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665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665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66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66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66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66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66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66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665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665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665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66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66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66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66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6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66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66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66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66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6655"/>
    <w:rPr>
      <w:i/>
      <w:iCs/>
      <w:color w:val="404040" w:themeColor="text1" w:themeTint="BF"/>
    </w:rPr>
  </w:style>
  <w:style w:type="paragraph" w:styleId="Paragrafoelenco">
    <w:name w:val="List Paragraph"/>
    <w:basedOn w:val="Normale"/>
    <w:uiPriority w:val="34"/>
    <w:qFormat/>
    <w:rsid w:val="00FA6655"/>
    <w:pPr>
      <w:ind w:left="720"/>
      <w:contextualSpacing/>
    </w:pPr>
  </w:style>
  <w:style w:type="character" w:styleId="Enfasiintensa">
    <w:name w:val="Intense Emphasis"/>
    <w:basedOn w:val="Carpredefinitoparagrafo"/>
    <w:uiPriority w:val="21"/>
    <w:qFormat/>
    <w:rsid w:val="00FA6655"/>
    <w:rPr>
      <w:i/>
      <w:iCs/>
      <w:color w:val="0F4761" w:themeColor="accent1" w:themeShade="BF"/>
    </w:rPr>
  </w:style>
  <w:style w:type="paragraph" w:styleId="Citazioneintensa">
    <w:name w:val="Intense Quote"/>
    <w:basedOn w:val="Normale"/>
    <w:next w:val="Normale"/>
    <w:link w:val="CitazioneintensaCarattere"/>
    <w:uiPriority w:val="30"/>
    <w:qFormat/>
    <w:rsid w:val="00FA6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6655"/>
    <w:rPr>
      <w:i/>
      <w:iCs/>
      <w:color w:val="0F4761" w:themeColor="accent1" w:themeShade="BF"/>
    </w:rPr>
  </w:style>
  <w:style w:type="character" w:styleId="Riferimentointenso">
    <w:name w:val="Intense Reference"/>
    <w:basedOn w:val="Carpredefinitoparagrafo"/>
    <w:uiPriority w:val="32"/>
    <w:qFormat/>
    <w:rsid w:val="00FA6655"/>
    <w:rPr>
      <w:b/>
      <w:bCs/>
      <w:smallCaps/>
      <w:color w:val="0F4761" w:themeColor="accent1" w:themeShade="BF"/>
      <w:spacing w:val="5"/>
    </w:rPr>
  </w:style>
  <w:style w:type="table" w:styleId="Grigliatabella">
    <w:name w:val="Table Grid"/>
    <w:basedOn w:val="Tabellanormale"/>
    <w:uiPriority w:val="39"/>
    <w:rsid w:val="00FA6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3</cp:revision>
  <dcterms:created xsi:type="dcterms:W3CDTF">2025-03-09T05:53:00Z</dcterms:created>
  <dcterms:modified xsi:type="dcterms:W3CDTF">2025-03-18T05:47:00Z</dcterms:modified>
</cp:coreProperties>
</file>