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B16EB2" w:rsidRPr="000D3455" w14:paraId="67D97FAB" w14:textId="77777777" w:rsidTr="00B16EB2">
        <w:tc>
          <w:tcPr>
            <w:tcW w:w="9628" w:type="dxa"/>
          </w:tcPr>
          <w:p w14:paraId="2FEB1035" w14:textId="7D44DE15" w:rsidR="00B16EB2" w:rsidRPr="00B16EB2" w:rsidRDefault="00B16EB2">
            <w:pPr>
              <w:rPr>
                <w:rFonts w:ascii="Times New Roman" w:hAnsi="Times New Roman" w:cs="Times New Roman"/>
                <w:b/>
                <w:bCs/>
                <w:sz w:val="22"/>
                <w:szCs w:val="22"/>
                <w:lang w:val="en-US"/>
              </w:rPr>
            </w:pPr>
            <w:r>
              <w:rPr>
                <w:rFonts w:ascii="Times New Roman" w:hAnsi="Times New Roman" w:cs="Times New Roman"/>
                <w:b/>
                <w:bCs/>
                <w:kern w:val="0"/>
                <w:sz w:val="22"/>
                <w:szCs w:val="22"/>
                <w:lang w:val="en-US"/>
              </w:rPr>
              <w:t xml:space="preserve">Table </w:t>
            </w:r>
            <w:r w:rsidR="000D3455">
              <w:rPr>
                <w:rFonts w:ascii="Times New Roman" w:hAnsi="Times New Roman" w:cs="Times New Roman"/>
                <w:b/>
                <w:bCs/>
                <w:kern w:val="0"/>
                <w:sz w:val="22"/>
                <w:szCs w:val="22"/>
                <w:lang w:val="en-US"/>
              </w:rPr>
              <w:t>8</w:t>
            </w:r>
            <w:r>
              <w:rPr>
                <w:rFonts w:ascii="Times New Roman" w:hAnsi="Times New Roman" w:cs="Times New Roman"/>
                <w:b/>
                <w:bCs/>
                <w:kern w:val="0"/>
                <w:sz w:val="22"/>
                <w:szCs w:val="22"/>
                <w:lang w:val="en-US"/>
              </w:rPr>
              <w:t xml:space="preserve">. </w:t>
            </w:r>
            <w:r w:rsidRPr="00B16EB2">
              <w:rPr>
                <w:rFonts w:ascii="Times New Roman" w:hAnsi="Times New Roman" w:cs="Times New Roman"/>
                <w:b/>
                <w:bCs/>
                <w:kern w:val="0"/>
                <w:sz w:val="22"/>
                <w:szCs w:val="22"/>
                <w:lang w:val="en-US"/>
              </w:rPr>
              <w:t>Stages of bioprosthetic valve deterioration</w:t>
            </w:r>
            <w:r>
              <w:rPr>
                <w:rFonts w:ascii="Times New Roman" w:hAnsi="Times New Roman" w:cs="Times New Roman"/>
                <w:b/>
                <w:bCs/>
                <w:kern w:val="0"/>
                <w:sz w:val="22"/>
                <w:szCs w:val="22"/>
                <w:lang w:val="en-US"/>
              </w:rPr>
              <w:sym w:font="Symbol" w:char="F067"/>
            </w:r>
            <w:r>
              <w:rPr>
                <w:rFonts w:ascii="Times New Roman" w:hAnsi="Times New Roman" w:cs="Times New Roman"/>
                <w:b/>
                <w:bCs/>
                <w:kern w:val="0"/>
                <w:sz w:val="22"/>
                <w:szCs w:val="22"/>
                <w:lang w:val="en-US"/>
              </w:rPr>
              <w:t>#</w:t>
            </w:r>
          </w:p>
        </w:tc>
      </w:tr>
      <w:tr w:rsidR="00B16EB2" w:rsidRPr="000D3455" w14:paraId="0D6CA6BD" w14:textId="77777777" w:rsidTr="00B16EB2">
        <w:tc>
          <w:tcPr>
            <w:tcW w:w="9628" w:type="dxa"/>
          </w:tcPr>
          <w:p w14:paraId="5A6EF6F1" w14:textId="77777777" w:rsidR="00B16EB2" w:rsidRPr="00B16EB2" w:rsidRDefault="00B16EB2" w:rsidP="00B16EB2">
            <w:pPr>
              <w:pStyle w:val="Paragrafoelenco"/>
              <w:numPr>
                <w:ilvl w:val="0"/>
                <w:numId w:val="1"/>
              </w:numPr>
              <w:rPr>
                <w:rFonts w:ascii="Times New Roman" w:hAnsi="Times New Roman" w:cs="Times New Roman"/>
                <w:b/>
                <w:bCs/>
                <w:sz w:val="21"/>
                <w:szCs w:val="21"/>
                <w:lang w:val="en-US"/>
              </w:rPr>
            </w:pPr>
            <w:r w:rsidRPr="00B16EB2">
              <w:rPr>
                <w:rFonts w:ascii="Times New Roman" w:hAnsi="Times New Roman" w:cs="Times New Roman"/>
                <w:b/>
                <w:bCs/>
                <w:kern w:val="0"/>
                <w:sz w:val="21"/>
                <w:szCs w:val="21"/>
              </w:rPr>
              <w:t xml:space="preserve">Stage 1: </w:t>
            </w:r>
            <w:proofErr w:type="spellStart"/>
            <w:r w:rsidRPr="00B16EB2">
              <w:rPr>
                <w:rFonts w:ascii="Times New Roman" w:hAnsi="Times New Roman" w:cs="Times New Roman"/>
                <w:b/>
                <w:bCs/>
                <w:kern w:val="0"/>
                <w:sz w:val="21"/>
                <w:szCs w:val="21"/>
              </w:rPr>
              <w:t>Morphological</w:t>
            </w:r>
            <w:proofErr w:type="spellEnd"/>
            <w:r w:rsidRPr="00B16EB2">
              <w:rPr>
                <w:rFonts w:ascii="Times New Roman" w:hAnsi="Times New Roman" w:cs="Times New Roman"/>
                <w:b/>
                <w:bCs/>
                <w:kern w:val="0"/>
                <w:sz w:val="21"/>
                <w:szCs w:val="21"/>
              </w:rPr>
              <w:t xml:space="preserve"> valve </w:t>
            </w:r>
            <w:proofErr w:type="spellStart"/>
            <w:r w:rsidRPr="00B16EB2">
              <w:rPr>
                <w:rFonts w:ascii="Times New Roman" w:hAnsi="Times New Roman" w:cs="Times New Roman"/>
                <w:b/>
                <w:bCs/>
                <w:kern w:val="0"/>
                <w:sz w:val="21"/>
                <w:szCs w:val="21"/>
              </w:rPr>
              <w:t>deterioration</w:t>
            </w:r>
            <w:proofErr w:type="spellEnd"/>
          </w:p>
          <w:p w14:paraId="1E03A8BA" w14:textId="7CD77A84" w:rsidR="00B16EB2" w:rsidRPr="00B16EB2" w:rsidRDefault="00B16EB2" w:rsidP="00B16EB2">
            <w:pPr>
              <w:pStyle w:val="Paragrafoelenco"/>
              <w:numPr>
                <w:ilvl w:val="0"/>
                <w:numId w:val="2"/>
              </w:numPr>
              <w:jc w:val="both"/>
              <w:rPr>
                <w:rFonts w:ascii="Times New Roman" w:hAnsi="Times New Roman" w:cs="Times New Roman"/>
                <w:sz w:val="21"/>
                <w:szCs w:val="21"/>
                <w:lang w:val="en-US"/>
              </w:rPr>
            </w:pPr>
            <w:r w:rsidRPr="00B16EB2">
              <w:rPr>
                <w:rFonts w:ascii="Times New Roman" w:hAnsi="Times New Roman" w:cs="Times New Roman"/>
                <w:sz w:val="21"/>
                <w:szCs w:val="21"/>
                <w:lang w:val="en-US"/>
              </w:rPr>
              <w:t>The presence of structural valve deterioration, non-structural valvular dysfunction (other than paravalvular regurgitation or prosthesis-patient mismatch), thrombosis or endocarditis, is indicative of the condition under investigation, provided significant haemodynamic changes are not present.</w:t>
            </w:r>
          </w:p>
        </w:tc>
      </w:tr>
      <w:tr w:rsidR="00B16EB2" w:rsidRPr="003F07FD" w14:paraId="2B6EAC3E" w14:textId="77777777" w:rsidTr="00B16EB2">
        <w:tc>
          <w:tcPr>
            <w:tcW w:w="9628" w:type="dxa"/>
          </w:tcPr>
          <w:p w14:paraId="24F3D591" w14:textId="77777777" w:rsidR="00B16EB2" w:rsidRPr="00B16EB2" w:rsidRDefault="00B16EB2" w:rsidP="00B16EB2">
            <w:pPr>
              <w:pStyle w:val="Paragrafoelenco"/>
              <w:numPr>
                <w:ilvl w:val="0"/>
                <w:numId w:val="3"/>
              </w:numPr>
              <w:rPr>
                <w:rFonts w:ascii="Times New Roman" w:hAnsi="Times New Roman" w:cs="Times New Roman"/>
                <w:b/>
                <w:bCs/>
                <w:sz w:val="21"/>
                <w:szCs w:val="21"/>
                <w:lang w:val="en-US"/>
              </w:rPr>
            </w:pPr>
            <w:r w:rsidRPr="00B16EB2">
              <w:rPr>
                <w:rFonts w:ascii="Times New Roman" w:hAnsi="Times New Roman" w:cs="Times New Roman"/>
                <w:b/>
                <w:bCs/>
                <w:kern w:val="0"/>
                <w:sz w:val="21"/>
                <w:szCs w:val="21"/>
                <w:lang w:val="en-US"/>
              </w:rPr>
              <w:t>Stage 2: Moderate haemodynamic valve deterioration</w:t>
            </w:r>
          </w:p>
          <w:p w14:paraId="1C4558DC" w14:textId="6C8D30D6" w:rsidR="00B16EB2" w:rsidRPr="00B16EB2" w:rsidRDefault="00B16EB2" w:rsidP="00B16EB2">
            <w:pPr>
              <w:pStyle w:val="Paragrafoelenco"/>
              <w:numPr>
                <w:ilvl w:val="0"/>
                <w:numId w:val="4"/>
              </w:numPr>
              <w:jc w:val="both"/>
              <w:rPr>
                <w:rFonts w:ascii="Times New Roman" w:hAnsi="Times New Roman" w:cs="Times New Roman"/>
                <w:sz w:val="21"/>
                <w:szCs w:val="21"/>
                <w:lang w:val="en-US"/>
              </w:rPr>
            </w:pPr>
            <w:r w:rsidRPr="00B16EB2">
              <w:rPr>
                <w:rFonts w:ascii="Times New Roman" w:hAnsi="Times New Roman" w:cs="Times New Roman"/>
                <w:sz w:val="21"/>
                <w:szCs w:val="21"/>
                <w:lang w:val="en-US"/>
              </w:rPr>
              <w:t>A rise in the mean transvalvular gradient of 10 mmHg resulted in a mean gradient of 20 mmHg, accompanied by a decrease in EOA of 0.3 cm² (25%) and/or a decrease in Doppler velocity index of 0.1 (20%), as compared with an echocardiographic assessment performed 1–3 months post-procedure. Alternatively, a new occurrence or increase of a grade 1 of intra-prosthetic AR resulted in moderate AR.</w:t>
            </w:r>
          </w:p>
        </w:tc>
      </w:tr>
      <w:tr w:rsidR="00B16EB2" w:rsidRPr="000D3455" w14:paraId="59E3F50F" w14:textId="77777777" w:rsidTr="00B16EB2">
        <w:tc>
          <w:tcPr>
            <w:tcW w:w="9628" w:type="dxa"/>
          </w:tcPr>
          <w:p w14:paraId="0DB56BE8" w14:textId="77777777" w:rsidR="00B16EB2" w:rsidRDefault="00B16EB2" w:rsidP="00B16EB2">
            <w:pPr>
              <w:pStyle w:val="Paragrafoelenco"/>
              <w:numPr>
                <w:ilvl w:val="0"/>
                <w:numId w:val="5"/>
              </w:numPr>
              <w:rPr>
                <w:rFonts w:ascii="Times New Roman" w:hAnsi="Times New Roman" w:cs="Times New Roman"/>
                <w:b/>
                <w:bCs/>
                <w:sz w:val="22"/>
                <w:szCs w:val="22"/>
                <w:lang w:val="en-US"/>
              </w:rPr>
            </w:pPr>
            <w:r w:rsidRPr="00B16EB2">
              <w:rPr>
                <w:rFonts w:ascii="Times New Roman" w:hAnsi="Times New Roman" w:cs="Times New Roman"/>
                <w:b/>
                <w:bCs/>
                <w:sz w:val="22"/>
                <w:szCs w:val="22"/>
                <w:lang w:val="en-US"/>
              </w:rPr>
              <w:t>Stage 3: Severe haemodynamic valve deterioration</w:t>
            </w:r>
          </w:p>
          <w:p w14:paraId="4FD28277" w14:textId="4CB21867" w:rsidR="00B16EB2" w:rsidRPr="00B16EB2" w:rsidRDefault="00B16EB2" w:rsidP="00B16EB2">
            <w:pPr>
              <w:pStyle w:val="Paragrafoelenco"/>
              <w:numPr>
                <w:ilvl w:val="0"/>
                <w:numId w:val="6"/>
              </w:numPr>
              <w:jc w:val="both"/>
              <w:rPr>
                <w:rFonts w:ascii="Times New Roman" w:hAnsi="Times New Roman" w:cs="Times New Roman"/>
                <w:sz w:val="21"/>
                <w:szCs w:val="21"/>
                <w:lang w:val="en-US"/>
              </w:rPr>
            </w:pPr>
            <w:r w:rsidRPr="00B16EB2">
              <w:rPr>
                <w:rFonts w:ascii="Times New Roman" w:hAnsi="Times New Roman" w:cs="Times New Roman"/>
                <w:sz w:val="21"/>
                <w:szCs w:val="21"/>
                <w:lang w:val="en-US"/>
              </w:rPr>
              <w:t>A rise in the mean transvalvular gradient of 20 mmHg resulted in a mean gradient of 30 mmHg, accompanied by a decrease in EOA of 0.6 cm² (50%) and/or a decrease in Doppler velocity index of 0.2 (40%), as compared with an echocardiographic assessment performed 1–3 months post-procedure, or a new occurrence or increase of 2 grades of intraprosthetic AR, resulting in severe AR.</w:t>
            </w:r>
          </w:p>
        </w:tc>
      </w:tr>
    </w:tbl>
    <w:p w14:paraId="12C96007" w14:textId="5888655D" w:rsidR="00B16EB2" w:rsidRPr="003F07FD" w:rsidRDefault="00B16EB2">
      <w:pPr>
        <w:rPr>
          <w:rFonts w:ascii="Times New Roman" w:hAnsi="Times New Roman" w:cs="Times New Roman"/>
          <w:sz w:val="21"/>
          <w:szCs w:val="21"/>
          <w:lang w:val="en-US"/>
        </w:rPr>
      </w:pPr>
      <w:r>
        <w:rPr>
          <w:rFonts w:ascii="Times New Roman" w:hAnsi="Times New Roman" w:cs="Times New Roman"/>
          <w:b/>
          <w:bCs/>
          <w:kern w:val="0"/>
          <w:sz w:val="22"/>
          <w:szCs w:val="22"/>
          <w:lang w:val="en-US"/>
        </w:rPr>
        <w:sym w:font="Symbol" w:char="F067"/>
      </w:r>
      <w:r w:rsidRPr="00B16EB2">
        <w:rPr>
          <w:rFonts w:ascii="Times New Roman" w:hAnsi="Times New Roman" w:cs="Times New Roman"/>
          <w:sz w:val="21"/>
          <w:szCs w:val="21"/>
          <w:lang w:val="en-US"/>
        </w:rPr>
        <w:t>This approach has been adapted from</w:t>
      </w:r>
      <w:r w:rsidR="003F07FD">
        <w:rPr>
          <w:rFonts w:ascii="Times New Roman" w:hAnsi="Times New Roman" w:cs="Times New Roman"/>
          <w:sz w:val="21"/>
          <w:szCs w:val="21"/>
          <w:lang w:val="en-US"/>
        </w:rPr>
        <w:t xml:space="preserve"> VARC 3 writing committee </w:t>
      </w:r>
      <w:r w:rsidR="003F07FD">
        <w:rPr>
          <w:rFonts w:ascii="Times New Roman" w:hAnsi="Times New Roman" w:cs="Times New Roman"/>
          <w:sz w:val="21"/>
          <w:szCs w:val="21"/>
          <w:lang w:val="en-US"/>
        </w:rPr>
        <w:sym w:font="Symbol" w:char="F05B"/>
      </w:r>
      <w:r w:rsidR="003F07FD">
        <w:rPr>
          <w:rFonts w:ascii="Times New Roman" w:hAnsi="Times New Roman" w:cs="Times New Roman"/>
          <w:sz w:val="21"/>
          <w:szCs w:val="21"/>
          <w:lang w:val="en-US"/>
        </w:rPr>
        <w:t>29</w:t>
      </w:r>
      <w:r w:rsidR="003F07FD">
        <w:rPr>
          <w:rFonts w:ascii="Times New Roman" w:hAnsi="Times New Roman" w:cs="Times New Roman"/>
          <w:sz w:val="21"/>
          <w:szCs w:val="21"/>
          <w:lang w:val="en-US"/>
        </w:rPr>
        <w:sym w:font="Symbol" w:char="F05D"/>
      </w:r>
      <w:r w:rsidR="003F07FD">
        <w:rPr>
          <w:rFonts w:ascii="Times New Roman" w:hAnsi="Times New Roman" w:cs="Times New Roman"/>
          <w:sz w:val="21"/>
          <w:szCs w:val="21"/>
          <w:lang w:val="en-US"/>
        </w:rPr>
        <w:t xml:space="preserve">, </w:t>
      </w:r>
      <w:r w:rsidR="00DD51A2" w:rsidRPr="00DD51A2">
        <w:rPr>
          <w:rFonts w:ascii="Times New Roman" w:hAnsi="Times New Roman" w:cs="Times New Roman"/>
          <w:sz w:val="21"/>
          <w:szCs w:val="21"/>
          <w:lang w:val="en-US"/>
        </w:rPr>
        <w:t xml:space="preserve">Lancellotti et al. </w:t>
      </w:r>
      <w:r w:rsidR="00DD51A2">
        <w:rPr>
          <w:rFonts w:ascii="Times New Roman" w:hAnsi="Times New Roman" w:cs="Times New Roman"/>
          <w:sz w:val="21"/>
          <w:szCs w:val="21"/>
          <w:lang w:val="en-US"/>
        </w:rPr>
        <w:sym w:font="Symbol" w:char="F05B"/>
      </w:r>
      <w:r w:rsidR="00DD51A2" w:rsidRPr="00DD51A2">
        <w:rPr>
          <w:rFonts w:ascii="Times New Roman" w:hAnsi="Times New Roman" w:cs="Times New Roman"/>
          <w:sz w:val="21"/>
          <w:szCs w:val="21"/>
          <w:lang w:val="fr-FR"/>
        </w:rPr>
        <w:t>Ref 1</w:t>
      </w:r>
      <w:r w:rsidR="003F07FD">
        <w:rPr>
          <w:rFonts w:ascii="Times New Roman" w:hAnsi="Times New Roman" w:cs="Times New Roman"/>
          <w:sz w:val="21"/>
          <w:szCs w:val="21"/>
          <w:lang w:val="fr-FR"/>
        </w:rPr>
        <w:t>0</w:t>
      </w:r>
      <w:r w:rsidR="00DD51A2" w:rsidRPr="00DD51A2">
        <w:rPr>
          <w:rFonts w:ascii="Times New Roman" w:hAnsi="Times New Roman" w:cs="Times New Roman"/>
          <w:sz w:val="21"/>
          <w:szCs w:val="21"/>
          <w:lang w:val="fr-FR"/>
        </w:rPr>
        <w:t xml:space="preserve"> suppl</w:t>
      </w:r>
      <w:r w:rsidR="00DD51A2">
        <w:rPr>
          <w:rFonts w:ascii="Times New Roman" w:hAnsi="Times New Roman" w:cs="Times New Roman"/>
          <w:sz w:val="21"/>
          <w:szCs w:val="21"/>
          <w:lang w:val="en-US"/>
        </w:rPr>
        <w:sym w:font="Symbol" w:char="F05D"/>
      </w:r>
      <w:r w:rsidR="00DD51A2" w:rsidRPr="00DD51A2">
        <w:rPr>
          <w:rFonts w:ascii="Times New Roman" w:hAnsi="Times New Roman" w:cs="Times New Roman"/>
          <w:sz w:val="21"/>
          <w:szCs w:val="21"/>
          <w:lang w:val="fr-FR"/>
        </w:rPr>
        <w:t>,</w:t>
      </w:r>
      <w:r w:rsidR="00DD51A2">
        <w:rPr>
          <w:rFonts w:ascii="Times New Roman" w:hAnsi="Times New Roman" w:cs="Times New Roman"/>
          <w:sz w:val="21"/>
          <w:szCs w:val="21"/>
          <w:lang w:val="fr-FR"/>
        </w:rPr>
        <w:t xml:space="preserve"> </w:t>
      </w:r>
      <w:r w:rsidRPr="00DD51A2">
        <w:rPr>
          <w:rFonts w:ascii="Times New Roman" w:hAnsi="Times New Roman" w:cs="Times New Roman"/>
          <w:sz w:val="21"/>
          <w:szCs w:val="21"/>
          <w:lang w:val="fr-FR"/>
        </w:rPr>
        <w:t xml:space="preserve">Capodanno et al. </w:t>
      </w:r>
      <w:r w:rsidR="00DD51A2">
        <w:rPr>
          <w:rFonts w:ascii="Times New Roman" w:hAnsi="Times New Roman" w:cs="Times New Roman"/>
          <w:sz w:val="21"/>
          <w:szCs w:val="21"/>
          <w:lang w:val="en-US"/>
        </w:rPr>
        <w:sym w:font="Symbol" w:char="F05B"/>
      </w:r>
      <w:r w:rsidR="00DD51A2" w:rsidRPr="00DD51A2">
        <w:rPr>
          <w:rFonts w:ascii="Times New Roman" w:hAnsi="Times New Roman" w:cs="Times New Roman"/>
          <w:sz w:val="21"/>
          <w:szCs w:val="21"/>
          <w:lang w:val="fr-FR"/>
        </w:rPr>
        <w:t>Ref 13 suppl</w:t>
      </w:r>
      <w:r w:rsidR="00DD51A2">
        <w:rPr>
          <w:rFonts w:ascii="Times New Roman" w:hAnsi="Times New Roman" w:cs="Times New Roman"/>
          <w:sz w:val="21"/>
          <w:szCs w:val="21"/>
          <w:lang w:val="en-US"/>
        </w:rPr>
        <w:sym w:font="Symbol" w:char="F05D"/>
      </w:r>
      <w:r w:rsidRPr="00DD51A2">
        <w:rPr>
          <w:rFonts w:ascii="Times New Roman" w:hAnsi="Times New Roman" w:cs="Times New Roman"/>
          <w:sz w:val="21"/>
          <w:szCs w:val="21"/>
          <w:lang w:val="fr-FR"/>
        </w:rPr>
        <w:t xml:space="preserve"> and Dvir et al. </w:t>
      </w:r>
      <w:r w:rsidR="00DD51A2" w:rsidRPr="00DD51A2">
        <w:rPr>
          <w:rFonts w:ascii="Times New Roman" w:hAnsi="Times New Roman" w:cs="Times New Roman"/>
          <w:sz w:val="21"/>
          <w:szCs w:val="21"/>
          <w:lang w:val="fr-FR"/>
        </w:rPr>
        <w:t xml:space="preserve"> </w:t>
      </w:r>
      <w:r w:rsidR="00DD51A2">
        <w:rPr>
          <w:rFonts w:ascii="Times New Roman" w:hAnsi="Times New Roman" w:cs="Times New Roman"/>
          <w:sz w:val="21"/>
          <w:szCs w:val="21"/>
          <w:lang w:val="en-US"/>
        </w:rPr>
        <w:sym w:font="Symbol" w:char="F05B"/>
      </w:r>
      <w:r w:rsidR="00DD51A2" w:rsidRPr="003F07FD">
        <w:rPr>
          <w:rFonts w:ascii="Times New Roman" w:hAnsi="Times New Roman" w:cs="Times New Roman"/>
          <w:sz w:val="21"/>
          <w:szCs w:val="21"/>
          <w:lang w:val="en-US"/>
        </w:rPr>
        <w:t>Ref 14 suppl</w:t>
      </w:r>
      <w:r w:rsidR="00DD51A2">
        <w:rPr>
          <w:rFonts w:ascii="Times New Roman" w:hAnsi="Times New Roman" w:cs="Times New Roman"/>
          <w:sz w:val="21"/>
          <w:szCs w:val="21"/>
          <w:lang w:val="en-US"/>
        </w:rPr>
        <w:sym w:font="Symbol" w:char="F05D"/>
      </w:r>
      <w:r w:rsidRPr="003F07FD">
        <w:rPr>
          <w:rFonts w:ascii="Times New Roman" w:hAnsi="Times New Roman" w:cs="Times New Roman"/>
          <w:sz w:val="21"/>
          <w:szCs w:val="21"/>
          <w:lang w:val="en-US"/>
        </w:rPr>
        <w:t>.</w:t>
      </w:r>
    </w:p>
    <w:p w14:paraId="767B891D" w14:textId="484C5D41" w:rsidR="00B16EB2" w:rsidRPr="00B16EB2" w:rsidRDefault="00B16EB2" w:rsidP="00B16EB2">
      <w:pPr>
        <w:jc w:val="both"/>
        <w:rPr>
          <w:rFonts w:ascii="Times New Roman" w:hAnsi="Times New Roman" w:cs="Times New Roman"/>
          <w:sz w:val="21"/>
          <w:szCs w:val="21"/>
          <w:lang w:val="en-US"/>
        </w:rPr>
      </w:pPr>
      <w:r>
        <w:rPr>
          <w:rFonts w:ascii="Times New Roman" w:hAnsi="Times New Roman" w:cs="Times New Roman"/>
          <w:b/>
          <w:bCs/>
          <w:kern w:val="0"/>
          <w:sz w:val="22"/>
          <w:szCs w:val="22"/>
          <w:lang w:val="en-US"/>
        </w:rPr>
        <w:t>#</w:t>
      </w:r>
      <w:r w:rsidRPr="00B16EB2">
        <w:rPr>
          <w:rFonts w:ascii="Times New Roman" w:hAnsi="Times New Roman" w:cs="Times New Roman"/>
          <w:sz w:val="21"/>
          <w:szCs w:val="21"/>
          <w:lang w:val="en-US"/>
        </w:rPr>
        <w:t>In order to assess the presence and severity of haemodynamic valve deterioration, it is first necessary to differentiate between true-haemodynamic changes and inter-echo variability in the measurement of gradient, EOA, DVI, or AR. In particular, it is recommended that a consistent window be employed for continuous-wave Doppler interrogation when comparing gradients in early (1-3 months) post-AVR echo versus follow-up echo. In order to confirm the presence of haemodynamic valve deterioration and to determine its stage and aetiology, each case must be subject to individual adjudication. It is crucial to emphasise that haemodynamic valve deterioration can be triggered both by structural valve deterioration and non-structural dysfunction. Non-structural dysfunction may include such factors as valve thrombosis and endocarditis. In order to establish a differential diagnosis between the various aetiologies of haemodynamic valve deterioration, it is essential to undertake a comprehensive evaluation of valve leaflet morphology and structure. The haemodynamic dysfunction criterion is dependent upon normal flow. The assessment of the 3-class grading scheme is fundamental to the evaluation of haemodynamic dysfunction.</w:t>
      </w:r>
    </w:p>
    <w:sectPr w:rsidR="00B16EB2" w:rsidRPr="00B16E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431"/>
    <w:multiLevelType w:val="hybridMultilevel"/>
    <w:tmpl w:val="8B8E5F0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250D1DFF"/>
    <w:multiLevelType w:val="hybridMultilevel"/>
    <w:tmpl w:val="F8A0AF5C"/>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4A0E4F"/>
    <w:multiLevelType w:val="hybridMultilevel"/>
    <w:tmpl w:val="1876AF72"/>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AA5662"/>
    <w:multiLevelType w:val="hybridMultilevel"/>
    <w:tmpl w:val="5E30EB6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BF44A6A"/>
    <w:multiLevelType w:val="hybridMultilevel"/>
    <w:tmpl w:val="2A765DB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ABC7DC1"/>
    <w:multiLevelType w:val="hybridMultilevel"/>
    <w:tmpl w:val="7194DBAA"/>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5704603">
    <w:abstractNumId w:val="1"/>
  </w:num>
  <w:num w:numId="2" w16cid:durableId="122239457">
    <w:abstractNumId w:val="4"/>
  </w:num>
  <w:num w:numId="3" w16cid:durableId="1437364379">
    <w:abstractNumId w:val="2"/>
  </w:num>
  <w:num w:numId="4" w16cid:durableId="1886988181">
    <w:abstractNumId w:val="3"/>
  </w:num>
  <w:num w:numId="5" w16cid:durableId="1228303766">
    <w:abstractNumId w:val="5"/>
  </w:num>
  <w:num w:numId="6" w16cid:durableId="44951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B2"/>
    <w:rsid w:val="000D3455"/>
    <w:rsid w:val="003F07FD"/>
    <w:rsid w:val="00B16EB2"/>
    <w:rsid w:val="00B7168A"/>
    <w:rsid w:val="00BD1216"/>
    <w:rsid w:val="00C641D5"/>
    <w:rsid w:val="00DD5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A02F6B6"/>
  <w15:chartTrackingRefBased/>
  <w15:docId w15:val="{4DB2E672-87DA-B743-9C9C-F80A2747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6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16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16E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16E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16E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16EB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6EB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6EB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6EB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6E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16E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16E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16E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16E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16E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6E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6E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6E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6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6E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6EB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6E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6EB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6EB2"/>
    <w:rPr>
      <w:i/>
      <w:iCs/>
      <w:color w:val="404040" w:themeColor="text1" w:themeTint="BF"/>
    </w:rPr>
  </w:style>
  <w:style w:type="paragraph" w:styleId="Paragrafoelenco">
    <w:name w:val="List Paragraph"/>
    <w:basedOn w:val="Normale"/>
    <w:uiPriority w:val="34"/>
    <w:qFormat/>
    <w:rsid w:val="00B16EB2"/>
    <w:pPr>
      <w:ind w:left="720"/>
      <w:contextualSpacing/>
    </w:pPr>
  </w:style>
  <w:style w:type="character" w:styleId="Enfasiintensa">
    <w:name w:val="Intense Emphasis"/>
    <w:basedOn w:val="Carpredefinitoparagrafo"/>
    <w:uiPriority w:val="21"/>
    <w:qFormat/>
    <w:rsid w:val="00B16EB2"/>
    <w:rPr>
      <w:i/>
      <w:iCs/>
      <w:color w:val="0F4761" w:themeColor="accent1" w:themeShade="BF"/>
    </w:rPr>
  </w:style>
  <w:style w:type="paragraph" w:styleId="Citazioneintensa">
    <w:name w:val="Intense Quote"/>
    <w:basedOn w:val="Normale"/>
    <w:next w:val="Normale"/>
    <w:link w:val="CitazioneintensaCarattere"/>
    <w:uiPriority w:val="30"/>
    <w:qFormat/>
    <w:rsid w:val="00B16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16EB2"/>
    <w:rPr>
      <w:i/>
      <w:iCs/>
      <w:color w:val="0F4761" w:themeColor="accent1" w:themeShade="BF"/>
    </w:rPr>
  </w:style>
  <w:style w:type="character" w:styleId="Riferimentointenso">
    <w:name w:val="Intense Reference"/>
    <w:basedOn w:val="Carpredefinitoparagrafo"/>
    <w:uiPriority w:val="32"/>
    <w:qFormat/>
    <w:rsid w:val="00B16EB2"/>
    <w:rPr>
      <w:b/>
      <w:bCs/>
      <w:smallCaps/>
      <w:color w:val="0F4761" w:themeColor="accent1" w:themeShade="BF"/>
      <w:spacing w:val="5"/>
    </w:rPr>
  </w:style>
  <w:style w:type="table" w:styleId="Grigliatabella">
    <w:name w:val="Table Grid"/>
    <w:basedOn w:val="Tabellanormale"/>
    <w:uiPriority w:val="39"/>
    <w:rsid w:val="00B16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397</Words>
  <Characters>2266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3</cp:revision>
  <dcterms:created xsi:type="dcterms:W3CDTF">2025-03-13T15:28:00Z</dcterms:created>
  <dcterms:modified xsi:type="dcterms:W3CDTF">2025-03-18T05:57:00Z</dcterms:modified>
</cp:coreProperties>
</file>