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EE6EB" w14:textId="77777777" w:rsidR="00580575" w:rsidRPr="002D018F" w:rsidRDefault="00580575" w:rsidP="00580575">
      <w:pPr>
        <w:rPr>
          <w:rFonts w:ascii="Times New Roman" w:hAnsi="Times New Roman" w:cs="Times New Roman"/>
          <w:sz w:val="16"/>
          <w:szCs w:val="16"/>
          <w:u w:val="single"/>
        </w:rPr>
      </w:pPr>
    </w:p>
    <w:p w14:paraId="4CDD8326" w14:textId="77777777" w:rsidR="00580575" w:rsidRPr="002D018F" w:rsidRDefault="00580575" w:rsidP="00580575">
      <w:pPr>
        <w:rPr>
          <w:rFonts w:ascii="Times New Roman" w:hAnsi="Times New Roman" w:cs="Times New Roman"/>
          <w:sz w:val="16"/>
          <w:szCs w:val="16"/>
          <w:u w:val="single"/>
        </w:rPr>
      </w:pPr>
      <w:r w:rsidRPr="002D018F">
        <w:rPr>
          <w:rFonts w:ascii="Times New Roman" w:hAnsi="Times New Roman" w:cs="Times New Roman"/>
          <w:sz w:val="16"/>
          <w:szCs w:val="16"/>
          <w:u w:val="single"/>
        </w:rPr>
        <w:t>Figure S2. Sensitivity analysis after setting to missing eyes that converted to wet AMD or GA during the study period</w:t>
      </w:r>
    </w:p>
    <w:p w14:paraId="5BE92A2A" w14:textId="0A2F0E16" w:rsidR="00E67EEE" w:rsidRDefault="00580575">
      <w:r w:rsidRPr="002D018F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A3C22CE" wp14:editId="00101740">
            <wp:extent cx="8229600" cy="3291840"/>
            <wp:effectExtent l="0" t="0" r="0" b="3810"/>
            <wp:docPr id="1957819434" name="Picture 6" descr="A graph of a disea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819434" name="Picture 6" descr="A graph of a diseas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86711" w14:textId="77777777" w:rsidR="00580575" w:rsidRPr="0024592E" w:rsidRDefault="00580575" w:rsidP="00580575">
      <w:pPr>
        <w:rPr>
          <w:rFonts w:ascii="Times New Roman" w:hAnsi="Times New Roman" w:cs="Times New Roman"/>
          <w:sz w:val="16"/>
          <w:szCs w:val="16"/>
        </w:rPr>
      </w:pPr>
      <w:r w:rsidRPr="002D018F">
        <w:rPr>
          <w:rFonts w:ascii="Times New Roman" w:hAnsi="Times New Roman" w:cs="Times New Roman"/>
          <w:sz w:val="16"/>
          <w:szCs w:val="16"/>
        </w:rPr>
        <w:t xml:space="preserve">Abbreviations: Abbreviations: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iAMD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-intermediate age-related macular degeneration;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iRORA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 incomplete retinal and retinal pigment epithelial atrophy; SDD-subretinal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drusenoid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 deposits; ETDRS-Early treatment Diabetic Retinopathy Study; BCVA-best corrected visual acuity; VA-visual acuity; GA-geographic atrophy.</w:t>
      </w:r>
    </w:p>
    <w:p w14:paraId="1F765ADC" w14:textId="77777777" w:rsidR="00580575" w:rsidRDefault="00580575"/>
    <w:sectPr w:rsidR="005805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75"/>
    <w:rsid w:val="003308AC"/>
    <w:rsid w:val="00580575"/>
    <w:rsid w:val="00C8532F"/>
    <w:rsid w:val="00E67EEE"/>
    <w:rsid w:val="00E7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45345"/>
  <w15:chartTrackingRefBased/>
  <w15:docId w15:val="{001D5609-1775-4C80-959E-83E27A6F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575"/>
    <w:pPr>
      <w:spacing w:line="278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5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5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57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57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57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57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57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57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57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5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5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5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5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5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5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5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580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57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580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575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580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575"/>
    <w:pPr>
      <w:spacing w:line="259" w:lineRule="auto"/>
      <w:ind w:left="720"/>
      <w:contextualSpacing/>
    </w:pPr>
    <w:rPr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5805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5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5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Sridevi Thottarath</dc:creator>
  <cp:keywords/>
  <dc:description/>
  <cp:lastModifiedBy>Sridevi Thottarath</cp:lastModifiedBy>
  <cp:revision>1</cp:revision>
  <dcterms:created xsi:type="dcterms:W3CDTF">2025-03-17T13:58:00Z</dcterms:created>
  <dcterms:modified xsi:type="dcterms:W3CDTF">2025-03-17T14:01:00Z</dcterms:modified>
</cp:coreProperties>
</file>